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PDS-09</w:t>
      </w:r>
    </w:p>
    <w:p>
      <w:pPr>
        <w:spacing w:after="100"/>
        <w:jc w:val="center"/>
      </w:pPr>
      <w:r>
        <w:rPr>
          <w:b/>
          <w:bCs/>
          <w:color w:val="1F4E79"/>
          <w:sz w:val="48"/>
          <w:szCs w:val="48"/>
        </w:rPr>
        <w:t xml:space="preserve">Engineering Principles</w:t>
      </w:r>
    </w:p>
    <w:p>
      <w:pPr>
        <w:spacing w:after="240"/>
        <w:jc w:val="center"/>
      </w:pPr>
      <w:r>
        <w:rPr>
          <w:color w:val="595959"/>
          <w:sz w:val="26"/>
          <w:szCs w:val="26"/>
        </w:rPr>
        <w:t xml:space="preserve">Product Design Specification — Platform Services</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PDS-09</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Engineering Principles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complete register of the principles, rules and standards that govern TEAIP, each stated with its rationale and a compliance test. Requirements become obsolete; principles endure. This document is the instrument that prevents architectural drift as the platform grows.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States the principles at foundation level. This document is the full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services that implement EP-001, EP-002 and EP-003.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Applies the classification model and hosts the business rules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obligations that make AP-002 and AP-003 concrete.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5055"/>
            <w:tcMar>
              <w:top w:type="dxa" w:w="60"/>
              <w:left w:type="dxa" w:w="100"/>
              <w:bottom w:type="dxa" w:w="60"/>
              <w:right w:type="dxa" w:w="100"/>
            </w:tcMar>
            <w:vAlign w:val="center"/>
          </w:tcPr>
          <w:p>
            <w:pPr>
              <w:spacing w:after="20" w:before="20"/>
            </w:pPr>
            <w:r>
              <w:rPr>
                <w:sz w:val="20"/>
                <w:szCs w:val="20"/>
              </w:rPr>
              <w:t xml:space="preserve">The conformance tests cited throughout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every granted exception to a principle.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Every requirement is written to comply with this register.</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Completeness and enforceability of the register</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Practicality of every compliance test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QA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Test coverage of every principle</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the principles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Standing</w:t>
      </w:r>
    </w:p>
    <w:p>
      <w:pPr>
        <w:pStyle w:val="Heading2"/>
        <w:spacing w:after="120" w:before="260"/>
      </w:pPr>
      <w:r>
        <w:rPr>
          <w:b/>
          <w:bCs/>
          <w:color w:val="2E74B5"/>
          <w:sz w:val="25"/>
          <w:szCs w:val="25"/>
        </w:rPr>
        <w:t xml:space="preserve">2.1 Why a principle register exists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Position  </w:t>
      </w:r>
      <w:r>
        <w:rPr>
          <w:sz w:val="20"/>
          <w:szCs w:val="20"/>
        </w:rPr>
        <w:t xml:space="preserve">Requirements become obsolete. Principles endure. A requirement describes what the platform must do today; a principle constrains what the platform may become.</w:t>
      </w:r>
    </w:p>
    <w:p>
      <w:pPr>
        <w:spacing w:after="120" w:before="0"/>
      </w:pPr>
      <w:r>
        <w:t xml:space="preserve">Every enterprise platform accumulates pressure to make an exception: one customer needs a mandatory field, one module needs to read another module data, one report needs to query the transactional store because it is faster. Each exception is individually defensible and collectively fatal. This register exists so that an exception is a visible, recorded, approved decision rather than an unnoticed drift.</w:t>
      </w:r>
    </w:p>
    <w:p>
      <w:pPr>
        <w:pStyle w:val="Heading2"/>
        <w:spacing w:after="120" w:before="260"/>
      </w:pPr>
      <w:r>
        <w:rPr>
          <w:b/>
          <w:bCs/>
          <w:color w:val="2E74B5"/>
          <w:sz w:val="25"/>
          <w:szCs w:val="25"/>
        </w:rPr>
        <w:t xml:space="preserve">2.2 Standing of the register</w:t>
      </w:r>
    </w:p>
    <w:p>
      <w:pPr>
        <w:pStyle w:val="ListParagraph"/>
        <w:numPr>
          <w:ilvl w:val="0"/>
          <w:numId w:val="2"/>
        </w:numPr>
        <w:spacing w:after="60"/>
      </w:pPr>
      <w:r>
        <w:t xml:space="preserve">A principle is binding on every document, module, service and requirement in the platform.</w:t>
      </w:r>
    </w:p>
    <w:p>
      <w:pPr>
        <w:pStyle w:val="ListParagraph"/>
        <w:numPr>
          <w:ilvl w:val="0"/>
          <w:numId w:val="2"/>
        </w:numPr>
        <w:spacing w:after="60"/>
      </w:pPr>
      <w:r>
        <w:t xml:space="preserve">A principle is not negotiable in delivery. It is changed only by an Architecture Decision Record in PDS-14.</w:t>
      </w:r>
    </w:p>
    <w:p>
      <w:pPr>
        <w:pStyle w:val="ListParagraph"/>
        <w:numPr>
          <w:ilvl w:val="0"/>
          <w:numId w:val="2"/>
        </w:numPr>
        <w:spacing w:after="60"/>
      </w:pPr>
      <w:r>
        <w:t xml:space="preserve">Every principle states a compliance test. A principle that cannot be tested is an aspiration and is not admitted to this register.</w:t>
      </w:r>
    </w:p>
    <w:p>
      <w:pPr>
        <w:pStyle w:val="ListParagraph"/>
        <w:numPr>
          <w:ilvl w:val="0"/>
          <w:numId w:val="2"/>
        </w:numPr>
        <w:spacing w:after="60"/>
      </w:pPr>
      <w:r>
        <w:t xml:space="preserve">Where a principle and a requirement conflict, the principle prevails until an ADR resolves the conflict.</w:t>
      </w:r>
    </w:p>
    <w:p>
      <w:pPr>
        <w:pStyle w:val="ListParagraph"/>
        <w:numPr>
          <w:ilvl w:val="0"/>
          <w:numId w:val="2"/>
        </w:numPr>
        <w:spacing w:after="60"/>
      </w:pPr>
      <w:r>
        <w:t xml:space="preserve">A granted exception is scoped, time-bounded and recorded. There is no permanent exception.</w:t>
      </w:r>
    </w:p>
    <w:p>
      <w:pPr>
        <w:pStyle w:val="Heading2"/>
        <w:spacing w:after="120" w:before="260"/>
      </w:pPr>
      <w:r>
        <w:rPr>
          <w:b/>
          <w:bCs/>
          <w:color w:val="2E74B5"/>
          <w:sz w:val="25"/>
          <w:szCs w:val="25"/>
        </w:rPr>
        <w:t xml:space="preserve">2.3 Register contents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1625"/>
        <w:gridCol w:w="1264"/>
        <w:gridCol w:w="3068"/>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Count</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principles</w:t>
            </w:r>
          </w:p>
        </w:tc>
        <w:tc>
          <w:tcPr>
            <w:tcW w:type="dxa" w:w="1625"/>
            <w:tcMar>
              <w:top w:type="dxa" w:w="60"/>
              <w:left w:type="dxa" w:w="100"/>
              <w:bottom w:type="dxa" w:w="60"/>
              <w:right w:type="dxa" w:w="100"/>
            </w:tcMar>
            <w:vAlign w:val="center"/>
          </w:tcPr>
          <w:p>
            <w:pPr>
              <w:spacing w:after="20" w:before="20"/>
            </w:pPr>
            <w:r>
              <w:rPr>
                <w:sz w:val="20"/>
                <w:szCs w:val="20"/>
              </w:rPr>
              <w:t xml:space="preserve">AP-nnn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experience principles</w:t>
            </w:r>
          </w:p>
        </w:tc>
        <w:tc>
          <w:tcPr>
            <w:tcW w:type="dxa" w:w="1625"/>
            <w:tcMar>
              <w:top w:type="dxa" w:w="60"/>
              <w:left w:type="dxa" w:w="100"/>
              <w:bottom w:type="dxa" w:w="60"/>
              <w:right w:type="dxa" w:w="100"/>
            </w:tcMar>
            <w:vAlign w:val="center"/>
          </w:tcPr>
          <w:p>
            <w:pPr>
              <w:spacing w:after="20" w:before="20"/>
            </w:pPr>
            <w:r>
              <w:rPr>
                <w:sz w:val="20"/>
                <w:szCs w:val="20"/>
              </w:rPr>
              <w:t xml:space="preserve">UX-nn</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c>
          <w:tcPr>
            <w:tcW w:type="dxa" w:w="3068"/>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Development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DEV-nn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Reporting principles</w:t>
            </w:r>
          </w:p>
        </w:tc>
        <w:tc>
          <w:tcPr>
            <w:tcW w:type="dxa" w:w="1625"/>
            <w:tcMar>
              <w:top w:type="dxa" w:w="60"/>
              <w:left w:type="dxa" w:w="100"/>
              <w:bottom w:type="dxa" w:w="60"/>
              <w:right w:type="dxa" w:w="100"/>
            </w:tcMar>
            <w:vAlign w:val="center"/>
          </w:tcPr>
          <w:p>
            <w:pPr>
              <w:spacing w:after="20" w:before="20"/>
            </w:pPr>
            <w:r>
              <w:rPr>
                <w:sz w:val="20"/>
                <w:szCs w:val="20"/>
              </w:rPr>
              <w:t xml:space="preserve">RPT-nn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standards</w:t>
            </w:r>
          </w:p>
        </w:tc>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1264"/>
            <w:tcMar>
              <w:top w:type="dxa" w:w="60"/>
              <w:left w:type="dxa" w:w="100"/>
              <w:bottom w:type="dxa" w:w="60"/>
              <w:right w:type="dxa" w:w="100"/>
            </w:tcMar>
            <w:vAlign w:val="center"/>
          </w:tcPr>
          <w:p>
            <w:pPr>
              <w:spacing w:after="20" w:before="20"/>
            </w:pPr>
            <w:r>
              <w:rPr>
                <w:sz w:val="20"/>
                <w:szCs w:val="20"/>
              </w:rPr>
              <w:t xml:space="preserve">1</w:t>
            </w:r>
          </w:p>
        </w:tc>
        <w:tc>
          <w:tcPr>
            <w:tcW w:type="dxa" w:w="3068"/>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8.2</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Total</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1264"/>
            <w:tcMar>
              <w:top w:type="dxa" w:w="60"/>
              <w:left w:type="dxa" w:w="100"/>
              <w:bottom w:type="dxa" w:w="60"/>
              <w:right w:type="dxa" w:w="100"/>
            </w:tcMar>
            <w:vAlign w:val="center"/>
          </w:tcPr>
          <w:p>
            <w:pPr>
              <w:spacing w:after="20" w:before="20"/>
            </w:pPr>
            <w:r>
              <w:rPr>
                <w:sz w:val="20"/>
                <w:szCs w:val="20"/>
              </w:rPr>
              <w:t xml:space="preserve">53</w:t>
            </w:r>
          </w:p>
        </w:tc>
        <w:tc>
          <w:tcPr>
            <w:tcW w:type="dxa" w:w="3068"/>
            <w:tcMar>
              <w:top w:type="dxa" w:w="60"/>
              <w:left w:type="dxa" w:w="100"/>
              <w:bottom w:type="dxa" w:w="60"/>
              <w:right w:type="dxa" w:w="100"/>
            </w:tcMar>
            <w:vAlign w:val="center"/>
          </w:tcPr>
          <w:p>
            <w:pPr>
              <w:spacing w:after="20" w:before="20"/>
            </w:pPr>
            <w:r>
              <w:rPr>
                <w:sz w:val="20"/>
                <w:szCs w:val="20"/>
              </w:rPr>
              <w:t xml:space="preserve">—</w:t>
            </w:r>
          </w:p>
        </w:tc>
      </w:tr>
    </w:tbl>
    <w:p>
      <w:r>
        <w:br w:type="page"/>
      </w:r>
    </w:p>
    <w:p>
      <w:pPr>
        <w:pStyle w:val="Heading1"/>
        <w:spacing w:after="160" w:before="320"/>
      </w:pPr>
      <w:r>
        <w:rPr>
          <w:b/>
          <w:bCs/>
          <w:color w:val="1F4E79"/>
          <w:sz w:val="30"/>
          <w:szCs w:val="30"/>
        </w:rPr>
        <w:t xml:space="preserve">3. Architecture Principles</w:t>
      </w:r>
    </w:p>
    <w:p>
      <w:pPr>
        <w:pStyle w:val="Heading2"/>
        <w:spacing w:after="120" w:before="260"/>
      </w:pPr>
      <w:r>
        <w:rPr>
          <w:b/>
          <w:bCs/>
          <w:color w:val="2E74B5"/>
          <w:sz w:val="25"/>
          <w:szCs w:val="25"/>
        </w:rPr>
        <w:t xml:space="preserve">AP-001 — Shared Business Object Model</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pStyle w:val="Heading3"/>
        <w:spacing w:after="100" w:before="200"/>
      </w:pPr>
      <w:r>
        <w:rPr>
          <w:b/>
          <w:bCs/>
          <w:color w:val="404040"/>
          <w:sz w:val="22"/>
          <w:szCs w:val="22"/>
        </w:rPr>
        <w:t xml:space="preserve">Rationale</w:t>
      </w:r>
    </w:p>
    <w:p>
      <w:pPr>
        <w:spacing w:after="120" w:before="0"/>
      </w:pPr>
      <w:r>
        <w:t xml:space="preserve">The most common cause of failure in a modular enterprise product is one entity existing in several modules with divergent definitions, validation and identity. Once that happens, reporting becomes unreliable, integration becomes bespoke per module, and the product can no longer be sold as a platform.</w:t>
      </w:r>
    </w:p>
    <w:p>
      <w:pPr>
        <w:pStyle w:val="Heading3"/>
        <w:spacing w:after="100" w:before="200"/>
      </w:pPr>
      <w:r>
        <w:rPr>
          <w:b/>
          <w:bCs/>
          <w:color w:val="404040"/>
          <w:sz w:val="22"/>
          <w:szCs w:val="22"/>
        </w:rPr>
        <w:t xml:space="preserve">Compliance test</w:t>
      </w:r>
    </w:p>
    <w:p>
      <w:pPr>
        <w:spacing w:after="120" w:before="0"/>
      </w:pPr>
      <w:r>
        <w:t xml:space="preserve">Register a module claiming to host an object already hosted elsewhere: refused with HostingConflict (PDS-08 CT-03). Every object appears exactly once in the PDS-05 hosting matrix.</w:t>
      </w:r>
    </w:p>
    <w:p>
      <w:pPr>
        <w:pStyle w:val="Heading2"/>
        <w:spacing w:after="120" w:before="260"/>
      </w:pPr>
      <w:r>
        <w:rPr>
          <w:b/>
          <w:bCs/>
          <w:color w:val="2E74B5"/>
          <w:sz w:val="25"/>
          <w:szCs w:val="25"/>
        </w:rPr>
        <w:t xml:space="preserve">AP-002 — Zero Duplicate Business Logic</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pStyle w:val="Heading3"/>
        <w:spacing w:after="100" w:before="200"/>
      </w:pPr>
      <w:r>
        <w:rPr>
          <w:b/>
          <w:bCs/>
          <w:color w:val="404040"/>
          <w:sz w:val="22"/>
          <w:szCs w:val="22"/>
        </w:rPr>
        <w:t xml:space="preserve">Rationale</w:t>
      </w:r>
    </w:p>
    <w:p>
      <w:pPr>
        <w:spacing w:after="120" w:before="0"/>
      </w:pPr>
      <w:r>
        <w:t xml:space="preserve">Duplicated logic diverges. Two approval implementations become two behaviors, then two defect backlogs, then two security postures.</w:t>
      </w:r>
    </w:p>
    <w:p>
      <w:pPr>
        <w:pStyle w:val="Heading3"/>
        <w:spacing w:after="100" w:before="200"/>
      </w:pPr>
      <w:r>
        <w:rPr>
          <w:b/>
          <w:bCs/>
          <w:color w:val="404040"/>
          <w:sz w:val="22"/>
          <w:szCs w:val="22"/>
        </w:rPr>
        <w:t xml:space="preserve">Compliance test</w:t>
      </w:r>
    </w:p>
    <w:p>
      <w:pPr>
        <w:spacing w:after="120" w:before="0"/>
      </w:pPr>
      <w:r>
        <w:t xml:space="preserve">Static analysis finds no approval, notification, audit, search, numbering or reporting implementation inside a module (PDS-08 CT-32).</w:t>
      </w:r>
    </w:p>
    <w:p>
      <w:pPr>
        <w:pStyle w:val="Heading2"/>
        <w:spacing w:after="120" w:before="260"/>
      </w:pPr>
      <w:r>
        <w:rPr>
          <w:b/>
          <w:bCs/>
          <w:color w:val="2E74B5"/>
          <w:sz w:val="25"/>
          <w:szCs w:val="25"/>
        </w:rPr>
        <w:t xml:space="preserve">AP-003 — API-First Integration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pStyle w:val="Heading3"/>
        <w:spacing w:after="100" w:before="200"/>
      </w:pPr>
      <w:r>
        <w:rPr>
          <w:b/>
          <w:bCs/>
          <w:color w:val="404040"/>
          <w:sz w:val="22"/>
          <w:szCs w:val="22"/>
        </w:rPr>
        <w:t xml:space="preserve">Rationale</w:t>
      </w:r>
    </w:p>
    <w:p>
      <w:pPr>
        <w:spacing w:after="120" w:before="0"/>
      </w:pPr>
      <w:r>
        <w:t xml:space="preserve">A capability reachable only through a screen cannot be automated, integrated, tested headlessly or offered to a partner. It also tends to accumulate business logic in the presentation layer.</w:t>
      </w:r>
    </w:p>
    <w:p>
      <w:pPr>
        <w:pStyle w:val="Heading3"/>
        <w:spacing w:after="100" w:before="200"/>
      </w:pPr>
      <w:r>
        <w:rPr>
          <w:b/>
          <w:bCs/>
          <w:color w:val="404040"/>
          <w:sz w:val="22"/>
          <w:szCs w:val="22"/>
        </w:rPr>
        <w:t xml:space="preserve">Compliance test</w:t>
      </w:r>
    </w:p>
    <w:p>
      <w:pPr>
        <w:spacing w:after="120" w:before="0"/>
      </w:pPr>
      <w:r>
        <w:t xml:space="preserve">Every screen action maps to a documented API operation. No API operation exists without a version. The interface is exercised end to end through the same APIs offered externally.</w:t>
      </w:r>
    </w:p>
    <w:p>
      <w:pPr>
        <w:pStyle w:val="Heading2"/>
        <w:spacing w:after="120" w:before="260"/>
      </w:pPr>
      <w:r>
        <w:rPr>
          <w:b/>
          <w:bCs/>
          <w:color w:val="2E74B5"/>
          <w:sz w:val="25"/>
          <w:szCs w:val="25"/>
        </w:rPr>
        <w:t xml:space="preserve">AP-004 — Plug-in First Design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3"/>
        <w:spacing w:after="100" w:before="200"/>
      </w:pPr>
      <w:r>
        <w:rPr>
          <w:b/>
          <w:bCs/>
          <w:color w:val="404040"/>
          <w:sz w:val="22"/>
          <w:szCs w:val="22"/>
        </w:rPr>
        <w:t xml:space="preserve">Rationale</w:t>
      </w:r>
    </w:p>
    <w:p>
      <w:pPr>
        <w:spacing w:after="120" w:before="0"/>
      </w:pPr>
      <w:r>
        <w:t xml:space="preserve">This is the principle that makes capability-based licensing possible. A customer licensing one module must receive a coherent, fully operable product.</w:t>
      </w:r>
    </w:p>
    <w:p>
      <w:pPr>
        <w:pStyle w:val="Heading3"/>
        <w:spacing w:after="100" w:before="200"/>
      </w:pPr>
      <w:r>
        <w:rPr>
          <w:b/>
          <w:bCs/>
          <w:color w:val="404040"/>
          <w:sz w:val="22"/>
          <w:szCs w:val="22"/>
        </w:rPr>
        <w:t xml:space="preserve">Compliance test</w:t>
      </w:r>
    </w:p>
    <w:p>
      <w:pPr>
        <w:spacing w:after="120" w:before="0"/>
      </w:pPr>
      <w:r>
        <w:t xml:space="preserve">Install each module alone on a Core-Platform-only tenant and exercise it fully (PDS-08 CT-10). Dependency analysis shows no Layer 1 reference to any Layer 2 component.</w:t>
      </w:r>
    </w:p>
    <w:p>
      <w:pPr>
        <w:pStyle w:val="Heading2"/>
        <w:spacing w:after="120" w:before="260"/>
      </w:pPr>
      <w:r>
        <w:rPr>
          <w:b/>
          <w:bCs/>
          <w:color w:val="2E74B5"/>
          <w:sz w:val="25"/>
          <w:szCs w:val="25"/>
        </w:rPr>
        <w:t xml:space="preserve">AP-005 — Event-Driven Communication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AP-005  </w:t>
      </w:r>
      <w:r>
        <w:rPr>
          <w:sz w:val="20"/>
          <w:szCs w:val="20"/>
        </w:rPr>
        <w:t xml:space="preserve">Modules and domains shall communicate through published domain events and public APIs only. No module shall read or write another module data store directly.</w:t>
      </w:r>
    </w:p>
    <w:p>
      <w:pPr>
        <w:pStyle w:val="Heading3"/>
        <w:spacing w:after="100" w:before="200"/>
      </w:pPr>
      <w:r>
        <w:rPr>
          <w:b/>
          <w:bCs/>
          <w:color w:val="404040"/>
          <w:sz w:val="22"/>
          <w:szCs w:val="22"/>
        </w:rPr>
        <w:t xml:space="preserve">Rationale</w:t>
      </w:r>
    </w:p>
    <w:p>
      <w:pPr>
        <w:spacing w:after="120" w:before="0"/>
      </w:pPr>
      <w:r>
        <w:t xml:space="preserve">Direct data access creates an undeclared dependency that defeats independent release and makes the dependency graph unknowable.</w:t>
      </w:r>
    </w:p>
    <w:p>
      <w:pPr>
        <w:pStyle w:val="Heading3"/>
        <w:spacing w:after="100" w:before="200"/>
      </w:pPr>
      <w:r>
        <w:rPr>
          <w:b/>
          <w:bCs/>
          <w:color w:val="404040"/>
          <w:sz w:val="22"/>
          <w:szCs w:val="22"/>
        </w:rPr>
        <w:t xml:space="preserve">Compliance test</w:t>
      </w:r>
    </w:p>
    <w:p>
      <w:pPr>
        <w:spacing w:after="120" w:before="0"/>
      </w:pPr>
      <w:r>
        <w:t xml:space="preserve">Static analysis finds no cross-schema access (PDS-08 CT-30). Publishing an undeclared event is refused (CT-33).</w:t>
      </w:r>
    </w:p>
    <w:p>
      <w:pPr>
        <w:pStyle w:val="Heading2"/>
        <w:spacing w:after="120" w:before="260"/>
      </w:pPr>
      <w:r>
        <w:rPr>
          <w:b/>
          <w:bCs/>
          <w:color w:val="2E74B5"/>
          <w:sz w:val="25"/>
          <w:szCs w:val="25"/>
        </w:rPr>
        <w:t xml:space="preserve">AP-006 — Configuration over Customization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pStyle w:val="Heading3"/>
        <w:spacing w:after="100" w:before="200"/>
      </w:pPr>
      <w:r>
        <w:rPr>
          <w:b/>
          <w:bCs/>
          <w:color w:val="404040"/>
          <w:sz w:val="22"/>
          <w:szCs w:val="22"/>
        </w:rPr>
        <w:t xml:space="preserve">Rationale</w:t>
      </w:r>
    </w:p>
    <w:p>
      <w:pPr>
        <w:spacing w:after="120" w:before="0"/>
      </w:pPr>
      <w:r>
        <w:t xml:space="preserve">Per-customer code multiplies the maintenance surface by the customer count and makes a platform release impossible to regression-test.</w:t>
      </w:r>
    </w:p>
    <w:p>
      <w:pPr>
        <w:pStyle w:val="Heading3"/>
        <w:spacing w:after="100" w:before="200"/>
      </w:pPr>
      <w:r>
        <w:rPr>
          <w:b/>
          <w:bCs/>
          <w:color w:val="404040"/>
          <w:sz w:val="22"/>
          <w:szCs w:val="22"/>
        </w:rPr>
        <w:t xml:space="preserve">Compliance test</w:t>
      </w:r>
    </w:p>
    <w:p>
      <w:pPr>
        <w:spacing w:after="120" w:before="0"/>
      </w:pPr>
      <w:r>
        <w:t xml:space="preserve">No conditional on customer or tenant identity exists in any module. Every behavioral difference between two reference tenants is expressed as configuration data.</w:t>
      </w:r>
    </w:p>
    <w:p>
      <w:pPr>
        <w:pStyle w:val="Heading2"/>
        <w:spacing w:after="120" w:before="260"/>
      </w:pPr>
      <w:r>
        <w:rPr>
          <w:b/>
          <w:bCs/>
          <w:color w:val="2E74B5"/>
          <w:sz w:val="25"/>
          <w:szCs w:val="25"/>
        </w:rPr>
        <w:t xml:space="preserve">AP-007 — Loose Coupling and High Cohesion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 Cyclic dependencies are prohibited.</w:t>
      </w:r>
    </w:p>
    <w:p>
      <w:pPr>
        <w:pStyle w:val="Heading3"/>
        <w:spacing w:after="100" w:before="200"/>
      </w:pPr>
      <w:r>
        <w:rPr>
          <w:b/>
          <w:bCs/>
          <w:color w:val="404040"/>
          <w:sz w:val="22"/>
          <w:szCs w:val="22"/>
        </w:rPr>
        <w:t xml:space="preserve">Rationale</w:t>
      </w:r>
    </w:p>
    <w:p>
      <w:pPr>
        <w:spacing w:after="120" w:before="0"/>
      </w:pPr>
      <w:r>
        <w:t xml:space="preserve">A cycle makes independent deployment, independent testing and independent reasoning impossible.</w:t>
      </w:r>
    </w:p>
    <w:p>
      <w:pPr>
        <w:pStyle w:val="Heading3"/>
        <w:spacing w:after="100" w:before="200"/>
      </w:pPr>
      <w:r>
        <w:rPr>
          <w:b/>
          <w:bCs/>
          <w:color w:val="404040"/>
          <w:sz w:val="22"/>
          <w:szCs w:val="22"/>
        </w:rPr>
        <w:t xml:space="preserve">Compliance test</w:t>
      </w:r>
    </w:p>
    <w:p>
      <w:pPr>
        <w:spacing w:after="120" w:before="0"/>
      </w:pPr>
      <w:r>
        <w:t xml:space="preserve">The PDS-04 dependency matrix is acyclic. No domain depends on a domain later in the order, with DOM-IAM as the declared cross-cutting exception.</w:t>
      </w:r>
    </w:p>
    <w:p>
      <w:r>
        <w:br w:type="page"/>
      </w:r>
    </w:p>
    <w:p>
      <w:pPr>
        <w:pStyle w:val="Heading1"/>
        <w:spacing w:after="160" w:before="320"/>
      </w:pPr>
      <w:r>
        <w:rPr>
          <w:b/>
          <w:bCs/>
          <w:color w:val="1F4E79"/>
          <w:sz w:val="30"/>
          <w:szCs w:val="30"/>
        </w:rPr>
        <w:t xml:space="preserve">4. Engineering Principles</w:t>
      </w:r>
    </w:p>
    <w:p>
      <w:pPr>
        <w:spacing w:after="120" w:before="0"/>
      </w:pPr>
      <w:r>
        <w:t xml:space="preserve">These three are the platform commercial differentiators as much as its engineering constraints. A customer can be operating on day one and can grow without re-implementation.</w:t>
      </w:r>
    </w:p>
    <w:p>
      <w:pPr>
        <w:pStyle w:val="Heading2"/>
        <w:spacing w:after="120" w:before="260"/>
      </w:pPr>
      <w:r>
        <w:rPr>
          <w:b/>
          <w:bCs/>
          <w:color w:val="2E74B5"/>
          <w:sz w:val="25"/>
          <w:szCs w:val="25"/>
        </w:rPr>
        <w:t xml:space="preserve">EP-001 — Progressive Adoption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pStyle w:val="Heading3"/>
        <w:spacing w:after="100" w:before="200"/>
      </w:pPr>
      <w:r>
        <w:rPr>
          <w:b/>
          <w:bCs/>
          <w:color w:val="404040"/>
          <w:sz w:val="22"/>
          <w:szCs w:val="22"/>
        </w:rPr>
        <w:t xml:space="preserve">Rationale</w:t>
      </w:r>
    </w:p>
    <w:p>
      <w:pPr>
        <w:spacing w:after="120" w:before="0"/>
      </w:pPr>
      <w:r>
        <w:t xml:space="preserve">Vendors who require a complete data model on day one lose the implementation in data collection. The first productive use is months away and small customers are excluded entirely. This is among the largest causes of enterprise software failure.</w:t>
      </w:r>
    </w:p>
    <w:p>
      <w:pPr>
        <w:pStyle w:val="Heading3"/>
        <w:spacing w:after="100" w:before="200"/>
      </w:pPr>
      <w:r>
        <w:rPr>
          <w:b/>
          <w:bCs/>
          <w:color w:val="404040"/>
          <w:sz w:val="22"/>
          <w:szCs w:val="22"/>
        </w:rPr>
        <w:t xml:space="preserve">Compliance test</w:t>
      </w:r>
    </w:p>
    <w:p>
      <w:pPr>
        <w:spacing w:after="120" w:before="0"/>
      </w:pPr>
      <w:r>
        <w:t xml:space="preserve">Create every object supplying only Required attributes on a minimal tenant: succeeds (PDS-08 CT-11). Enable a capability later: no migration, no revalidation, no downtime (CT-45).</w:t>
      </w:r>
    </w:p>
    <w:p>
      <w:pPr>
        <w:pStyle w:val="Heading2"/>
        <w:spacing w:after="120" w:before="260"/>
      </w:pPr>
      <w:r>
        <w:rPr>
          <w:b/>
          <w:bCs/>
          <w:color w:val="2E74B5"/>
          <w:sz w:val="25"/>
          <w:szCs w:val="25"/>
        </w:rPr>
        <w:t xml:space="preserve">EP-002 — Capability-Driven Validation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pStyle w:val="Heading3"/>
        <w:spacing w:after="100" w:before="200"/>
      </w:pPr>
      <w:r>
        <w:rPr>
          <w:b/>
          <w:bCs/>
          <w:color w:val="404040"/>
          <w:sz w:val="22"/>
          <w:szCs w:val="22"/>
        </w:rPr>
        <w:t xml:space="preserve">Rationale</w:t>
      </w:r>
    </w:p>
    <w:p>
      <w:pPr>
        <w:spacing w:after="120" w:before="0"/>
      </w:pPr>
      <w:r>
        <w:t xml:space="preserve">A field must be mandatory because the customer configuration requires it, never because the platform arbitrarily requires it. Where a capability is absent its data must be absent from the interface entirely, not merely optional.</w:t>
      </w:r>
    </w:p>
    <w:p>
      <w:pPr>
        <w:pStyle w:val="Heading3"/>
        <w:spacing w:after="100" w:before="200"/>
      </w:pPr>
      <w:r>
        <w:rPr>
          <w:b/>
          <w:bCs/>
          <w:color w:val="404040"/>
          <w:sz w:val="22"/>
          <w:szCs w:val="22"/>
        </w:rPr>
        <w:t xml:space="preserve">Compliance test</w:t>
      </w:r>
    </w:p>
    <w:p>
      <w:pPr>
        <w:spacing w:after="120" w:before="0"/>
      </w:pPr>
      <w:r>
        <w:t xml:space="preserve">Disable a capability and inspect every screen: no field of that capability is rendered, not even greyed (PDS-08 CT-22). Validation failure names the governing capability (CT-25).</w:t>
      </w:r>
    </w:p>
    <w:p>
      <w:pPr>
        <w:pStyle w:val="Heading2"/>
        <w:spacing w:after="120" w:before="260"/>
      </w:pPr>
      <w:r>
        <w:rPr>
          <w:b/>
          <w:bCs/>
          <w:color w:val="2E74B5"/>
          <w:sz w:val="25"/>
          <w:szCs w:val="25"/>
        </w:rPr>
        <w:t xml:space="preserve">EP-003 — Progressive Disclosure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pStyle w:val="Heading3"/>
        <w:spacing w:after="100" w:before="200"/>
      </w:pPr>
      <w:r>
        <w:rPr>
          <w:b/>
          <w:bCs/>
          <w:color w:val="404040"/>
          <w:sz w:val="22"/>
          <w:szCs w:val="22"/>
        </w:rPr>
        <w:t xml:space="preserve">Rationale</w:t>
      </w:r>
    </w:p>
    <w:p>
      <w:pPr>
        <w:spacing w:after="120" w:before="0"/>
      </w:pPr>
      <w:r>
        <w:t xml:space="preserve">A screen with fifty fields, most irrelevant to the customer configuration, is the practical reason implementations stall. This is an architectural requirement, not a cosmetic one.</w:t>
      </w:r>
    </w:p>
    <w:p>
      <w:pPr>
        <w:pStyle w:val="Heading3"/>
        <w:spacing w:after="100" w:before="200"/>
      </w:pPr>
      <w:r>
        <w:rPr>
          <w:b/>
          <w:bCs/>
          <w:color w:val="404040"/>
          <w:sz w:val="22"/>
          <w:szCs w:val="22"/>
        </w:rPr>
        <w:t xml:space="preserve">Compliance test</w:t>
      </w:r>
    </w:p>
    <w:p>
      <w:pPr>
        <w:spacing w:after="120" w:before="0"/>
      </w:pPr>
      <w:r>
        <w:t xml:space="preserve">Every screen offers Basic and Advanced modes resolved from PS-015 metadata. No screen implements its own disclosure logic (PDS-08 CT-22).</w:t>
      </w:r>
    </w:p>
    <w:p>
      <w:pPr>
        <w:pStyle w:val="Heading2"/>
        <w:spacing w:after="120" w:before="260"/>
      </w:pPr>
      <w:r>
        <w:rPr>
          <w:b/>
          <w:bCs/>
          <w:color w:val="2E74B5"/>
          <w:sz w:val="25"/>
          <w:szCs w:val="25"/>
        </w:rPr>
        <w:t xml:space="preserve">4.4 The data classification model</w:t>
      </w:r>
    </w:p>
    <w:p>
      <w:pPr>
        <w:spacing w:after="120" w:before="0"/>
      </w:pPr>
      <w:r>
        <w:t xml:space="preserve">EP-001 and EP-002 are realized through one mechanism applied to every attribute of every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249"/>
        <w:gridCol w:w="397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97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3249"/>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972"/>
            <w:tcMar>
              <w:top w:type="dxa" w:w="60"/>
              <w:left w:type="dxa" w:w="100"/>
              <w:bottom w:type="dxa" w:w="60"/>
              <w:right w:type="dxa" w:w="100"/>
            </w:tcMar>
            <w:vAlign w:val="center"/>
          </w:tcPr>
          <w:p>
            <w:pPr>
              <w:spacing w:after="20" w:before="20"/>
            </w:pPr>
            <w:r>
              <w:rPr>
                <w:sz w:val="20"/>
                <w:szCs w:val="20"/>
              </w:rPr>
              <w:t xml:space="preserve">Enforced always. Cannot be relaxed by 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Materially improves value but is not needed to operate.</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data quality, never blocking.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3249"/>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972"/>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disabled; may be raised to Required by the tenant profile when enabled.</w:t>
            </w:r>
          </w:p>
        </w:tc>
      </w:tr>
    </w:tbl>
    <w:p>
      <w:pPr>
        <w:pStyle w:val="Heading2"/>
        <w:spacing w:after="120" w:before="260"/>
      </w:pPr>
      <w:r>
        <w:rPr>
          <w:b/>
          <w:bCs/>
          <w:color w:val="2E74B5"/>
          <w:sz w:val="25"/>
          <w:szCs w:val="25"/>
        </w:rPr>
        <w:t xml:space="preserve">4.5 The minimum viable platform</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Create an organization         Name</w:t>
      </w:r>
      <w:r>
        <w:rPr>
          <w:rFonts w:ascii="Consolas" w:cs="Consolas" w:eastAsia="Consolas" w:hAnsi="Consolas"/>
          <w:sz w:val="18"/>
          <w:szCs w:val="18"/>
        </w:rPr>
        <w:br/>
        <w:t xml:space="preserve">Create one warehouse           Name + Code</w:t>
      </w:r>
      <w:r>
        <w:rPr>
          <w:rFonts w:ascii="Consolas" w:cs="Consolas" w:eastAsia="Consolas" w:hAnsi="Consolas"/>
          <w:sz w:val="18"/>
          <w:szCs w:val="18"/>
        </w:rPr>
        <w:br/>
        <w:t xml:space="preserve">Create one asset               Name + Type + Status</w:t>
      </w:r>
      <w:r>
        <w:rPr>
          <w:rFonts w:ascii="Consolas" w:cs="Consolas" w:eastAsia="Consolas" w:hAnsi="Consolas"/>
          <w:sz w:val="18"/>
          <w:szCs w:val="18"/>
        </w:rPr>
        <w:br/>
        <w:t xml:space="preserve">Start using the system.</w:t>
      </w:r>
      <w:r>
        <w:rPr>
          <w:rFonts w:ascii="Consolas" w:cs="Consolas" w:eastAsia="Consolas" w:hAnsi="Consolas"/>
          <w:sz w:val="18"/>
          <w:szCs w:val="18"/>
        </w:rPr>
        <w:br/>
        <w:t xml:space="preserve"/>
      </w:r>
      <w:r>
        <w:rPr>
          <w:rFonts w:ascii="Consolas" w:cs="Consolas" w:eastAsia="Consolas" w:hAnsi="Consolas"/>
          <w:sz w:val="18"/>
          <w:szCs w:val="18"/>
        </w:rPr>
        <w:br/>
        <w:t xml:space="preserve">Everything else is added progressively, at the customer pace,</w:t>
      </w:r>
      <w:r>
        <w:rPr>
          <w:rFonts w:ascii="Consolas" w:cs="Consolas" w:eastAsia="Consolas" w:hAnsi="Consolas"/>
          <w:sz w:val="18"/>
          <w:szCs w:val="18"/>
        </w:rPr>
        <w:br/>
        <w:t xml:space="preserve">with no migration and no redesign at any point.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Commercial consequence  </w:t>
      </w:r>
      <w:r>
        <w:rPr>
          <w:sz w:val="20"/>
          <w:szCs w:val="20"/>
        </w:rPr>
        <w:t xml:space="preserve">The same platform serves a company with 200 assets and a multinational with 2,000,000 assets, without change. Most competitors require the larger configuration from both.</w:t>
      </w:r>
    </w:p>
    <w:p>
      <w:r>
        <w:br w:type="page"/>
      </w:r>
    </w:p>
    <w:p>
      <w:pPr>
        <w:pStyle w:val="Heading1"/>
        <w:spacing w:after="160" w:before="320"/>
      </w:pPr>
      <w:r>
        <w:rPr>
          <w:b/>
          <w:bCs/>
          <w:color w:val="1F4E79"/>
          <w:sz w:val="30"/>
          <w:szCs w:val="30"/>
        </w:rPr>
        <w:t xml:space="preserve">5. User Experience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UX-01</w:t>
            </w:r>
          </w:p>
        </w:tc>
        <w:tc>
          <w:tcPr>
            <w:tcW w:type="dxa" w:w="1986"/>
            <w:tcMar>
              <w:top w:type="dxa" w:w="60"/>
              <w:left w:type="dxa" w:w="100"/>
              <w:bottom w:type="dxa" w:w="60"/>
              <w:right w:type="dxa" w:w="100"/>
            </w:tcMar>
            <w:vAlign w:val="center"/>
          </w:tcPr>
          <w:p>
            <w:pPr>
              <w:spacing w:after="20" w:before="20"/>
            </w:pPr>
            <w:r>
              <w:rPr>
                <w:sz w:val="20"/>
                <w:szCs w:val="20"/>
              </w:rPr>
              <w:t xml:space="preserve">One-click access to frequently used actions</w:t>
            </w:r>
          </w:p>
        </w:tc>
        <w:tc>
          <w:tcPr>
            <w:tcW w:type="dxa" w:w="3430"/>
            <w:tcMar>
              <w:top w:type="dxa" w:w="60"/>
              <w:left w:type="dxa" w:w="100"/>
              <w:bottom w:type="dxa" w:w="60"/>
              <w:right w:type="dxa" w:w="100"/>
            </w:tcMar>
            <w:vAlign w:val="center"/>
          </w:tcPr>
          <w:p>
            <w:pPr>
              <w:spacing w:after="20" w:before="20"/>
            </w:pPr>
            <w:r>
              <w:rPr>
                <w:sz w:val="20"/>
                <w:szCs w:val="20"/>
              </w:rPr>
              <w:t xml:space="preserve">The actions an operator performs many times a day are reachable in a single interaction from the relevant context.</w:t>
            </w:r>
          </w:p>
        </w:tc>
        <w:tc>
          <w:tcPr>
            <w:tcW w:type="dxa" w:w="2888"/>
            <w:tcMar>
              <w:top w:type="dxa" w:w="60"/>
              <w:left w:type="dxa" w:w="100"/>
              <w:bottom w:type="dxa" w:w="60"/>
              <w:right w:type="dxa" w:w="100"/>
            </w:tcMar>
            <w:vAlign w:val="center"/>
          </w:tcPr>
          <w:p>
            <w:pPr>
              <w:spacing w:after="20" w:before="20"/>
            </w:pPr>
            <w:r>
              <w:rPr>
                <w:sz w:val="20"/>
                <w:szCs w:val="20"/>
              </w:rPr>
              <w:t xml:space="preserve">Task frequency analysis; the top five actions per role are single-click.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navigation</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Navigation structure, placement and behavior are identical across the whole platform, including across modules.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Navigation is generated from the subdomain structure, not authored per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UX-03</w:t>
            </w:r>
          </w:p>
        </w:tc>
        <w:tc>
          <w:tcPr>
            <w:tcW w:type="dxa" w:w="1986"/>
            <w:tcMar>
              <w:top w:type="dxa" w:w="60"/>
              <w:left w:type="dxa" w:w="100"/>
              <w:bottom w:type="dxa" w:w="60"/>
              <w:right w:type="dxa" w:w="100"/>
            </w:tcMar>
            <w:vAlign w:val="center"/>
          </w:tcPr>
          <w:p>
            <w:pPr>
              <w:spacing w:after="20" w:before="20"/>
            </w:pPr>
            <w:r>
              <w:rPr>
                <w:sz w:val="20"/>
                <w:szCs w:val="20"/>
              </w:rPr>
              <w:t xml:space="preserve">Search-first experience</w:t>
            </w:r>
          </w:p>
        </w:tc>
        <w:tc>
          <w:tcPr>
            <w:tcW w:type="dxa" w:w="3430"/>
            <w:tcMar>
              <w:top w:type="dxa" w:w="60"/>
              <w:left w:type="dxa" w:w="100"/>
              <w:bottom w:type="dxa" w:w="60"/>
              <w:right w:type="dxa" w:w="100"/>
            </w:tcMar>
            <w:vAlign w:val="center"/>
          </w:tcPr>
          <w:p>
            <w:pPr>
              <w:spacing w:after="20" w:before="20"/>
            </w:pPr>
            <w:r>
              <w:rPr>
                <w:sz w:val="20"/>
                <w:szCs w:val="20"/>
              </w:rPr>
              <w:t xml:space="preserve">Search is always available and always the fastest route to a known record.</w:t>
            </w:r>
          </w:p>
        </w:tc>
        <w:tc>
          <w:tcPr>
            <w:tcW w:type="dxa" w:w="2888"/>
            <w:tcMar>
              <w:top w:type="dxa" w:w="60"/>
              <w:left w:type="dxa" w:w="100"/>
              <w:bottom w:type="dxa" w:w="60"/>
              <w:right w:type="dxa" w:w="100"/>
            </w:tcMar>
            <w:vAlign w:val="center"/>
          </w:tcPr>
          <w:p>
            <w:pPr>
              <w:spacing w:after="20" w:before="20"/>
            </w:pPr>
            <w:r>
              <w:rPr>
                <w:sz w:val="20"/>
                <w:szCs w:val="20"/>
              </w:rPr>
              <w:t xml:space="preserve">Global search reachable from every screen; first page within the PS-008 target.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common task is completed in at most three interactions after the record is located.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Click-path measurement per common task (PDS-08 CT-43).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UX-05</w:t>
            </w:r>
          </w:p>
        </w:tc>
        <w:tc>
          <w:tcPr>
            <w:tcW w:type="dxa" w:w="1986"/>
            <w:tcMar>
              <w:top w:type="dxa" w:w="60"/>
              <w:left w:type="dxa" w:w="100"/>
              <w:bottom w:type="dxa" w:w="60"/>
              <w:right w:type="dxa" w:w="100"/>
            </w:tcMar>
            <w:vAlign w:val="center"/>
          </w:tcPr>
          <w:p>
            <w:pPr>
              <w:spacing w:after="20" w:before="20"/>
            </w:pPr>
            <w:r>
              <w:rPr>
                <w:sz w:val="20"/>
                <w:szCs w:val="20"/>
              </w:rPr>
              <w:t xml:space="preserve">Every list supports filtering, export and saved views</w:t>
            </w:r>
          </w:p>
        </w:tc>
        <w:tc>
          <w:tcPr>
            <w:tcW w:type="dxa" w:w="3430"/>
            <w:tcMar>
              <w:top w:type="dxa" w:w="60"/>
              <w:left w:type="dxa" w:w="100"/>
              <w:bottom w:type="dxa" w:w="60"/>
              <w:right w:type="dxa" w:w="100"/>
            </w:tcMar>
            <w:vAlign w:val="center"/>
          </w:tcPr>
          <w:p>
            <w:pPr>
              <w:spacing w:after="20" w:before="20"/>
            </w:pPr>
            <w:r>
              <w:rPr>
                <w:sz w:val="20"/>
                <w:szCs w:val="20"/>
              </w:rPr>
              <w:t xml:space="preserve">Without exception, including lists contributed by modules.</w:t>
            </w:r>
          </w:p>
        </w:tc>
        <w:tc>
          <w:tcPr>
            <w:tcW w:type="dxa" w:w="2888"/>
            <w:tcMar>
              <w:top w:type="dxa" w:w="60"/>
              <w:left w:type="dxa" w:w="100"/>
              <w:bottom w:type="dxa" w:w="60"/>
              <w:right w:type="dxa" w:w="100"/>
            </w:tcMar>
            <w:vAlign w:val="center"/>
          </w:tcPr>
          <w:p>
            <w:pPr>
              <w:spacing w:after="20" w:before="20"/>
            </w:pPr>
            <w:r>
              <w:rPr>
                <w:sz w:val="20"/>
                <w:szCs w:val="20"/>
              </w:rPr>
              <w:t xml:space="preserve">Automated audit of every list screen (PDS-08 CT-42).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behavior across web, tablet and handheld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same operation behaves the same way on every channel, differing only by channel projection.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The three channels consume the same PS-015 metadata; channel differences are declared, not coded.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UX-07</w:t>
            </w:r>
          </w:p>
        </w:tc>
        <w:tc>
          <w:tcPr>
            <w:tcW w:type="dxa" w:w="1986"/>
            <w:tcMar>
              <w:top w:type="dxa" w:w="60"/>
              <w:left w:type="dxa" w:w="100"/>
              <w:bottom w:type="dxa" w:w="60"/>
              <w:right w:type="dxa" w:w="100"/>
            </w:tcMar>
            <w:vAlign w:val="center"/>
          </w:tcPr>
          <w:p>
            <w:pPr>
              <w:spacing w:after="20" w:before="20"/>
            </w:pPr>
            <w:r>
              <w:rPr>
                <w:sz w:val="20"/>
                <w:szCs w:val="20"/>
              </w:rPr>
              <w:t xml:space="preserve">Right-to-left parity</w:t>
            </w:r>
          </w:p>
        </w:tc>
        <w:tc>
          <w:tcPr>
            <w:tcW w:type="dxa" w:w="3430"/>
            <w:tcMar>
              <w:top w:type="dxa" w:w="60"/>
              <w:left w:type="dxa" w:w="100"/>
              <w:bottom w:type="dxa" w:w="60"/>
              <w:right w:type="dxa" w:w="100"/>
            </w:tcMar>
            <w:vAlign w:val="center"/>
          </w:tcPr>
          <w:p>
            <w:pPr>
              <w:spacing w:after="20" w:before="20"/>
            </w:pPr>
            <w:r>
              <w:rPr>
                <w:sz w:val="20"/>
                <w:szCs w:val="20"/>
              </w:rPr>
              <w:t xml:space="preserve">An Arabic interface is a full mirror, not a translation of a left-to-right layout.</w:t>
            </w:r>
          </w:p>
        </w:tc>
        <w:tc>
          <w:tcPr>
            <w:tcW w:type="dxa" w:w="2888"/>
            <w:tcMar>
              <w:top w:type="dxa" w:w="60"/>
              <w:left w:type="dxa" w:w="100"/>
              <w:bottom w:type="dxa" w:w="60"/>
              <w:right w:type="dxa" w:w="100"/>
            </w:tcMar>
            <w:vAlign w:val="center"/>
          </w:tcPr>
          <w:p>
            <w:pPr>
              <w:spacing w:after="20" w:before="20"/>
            </w:pPr>
            <w:r>
              <w:rPr>
                <w:sz w:val="20"/>
                <w:szCs w:val="20"/>
              </w:rPr>
              <w:t xml:space="preserve">Full interface mirroring; Latin identifiers isolated and correctly rendered (PDS-08 CT-41).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Status is always visible and always colored consistently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status color comes from one configurable legend used by lists, dashboards and maps alike.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Legend resolved from PS-015 GetLegend everywhere; no hardcoded status color exists.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UX-09</w:t>
            </w:r>
          </w:p>
        </w:tc>
        <w:tc>
          <w:tcPr>
            <w:tcW w:type="dxa" w:w="1986"/>
            <w:tcMar>
              <w:top w:type="dxa" w:w="60"/>
              <w:left w:type="dxa" w:w="100"/>
              <w:bottom w:type="dxa" w:w="60"/>
              <w:right w:type="dxa" w:w="100"/>
            </w:tcMar>
            <w:vAlign w:val="center"/>
          </w:tcPr>
          <w:p>
            <w:pPr>
              <w:spacing w:after="20" w:before="20"/>
            </w:pPr>
            <w:r>
              <w:rPr>
                <w:sz w:val="20"/>
                <w:szCs w:val="20"/>
              </w:rPr>
              <w:t xml:space="preserve">Destructive and irreversible actions are explicit</w:t>
            </w:r>
          </w:p>
        </w:tc>
        <w:tc>
          <w:tcPr>
            <w:tcW w:type="dxa" w:w="3430"/>
            <w:tcMar>
              <w:top w:type="dxa" w:w="60"/>
              <w:left w:type="dxa" w:w="100"/>
              <w:bottom w:type="dxa" w:w="60"/>
              <w:right w:type="dxa" w:w="100"/>
            </w:tcMar>
            <w:vAlign w:val="center"/>
          </w:tcPr>
          <w:p>
            <w:pPr>
              <w:spacing w:after="20" w:before="20"/>
            </w:pPr>
            <w:r>
              <w:rPr>
                <w:sz w:val="20"/>
                <w:szCs w:val="20"/>
              </w:rPr>
              <w:t xml:space="preserve">Closing an inventory session, sealing evidence, overriding an alarm and disposing an asset require explicit confirmation naming the consequence.</w:t>
            </w:r>
          </w:p>
        </w:tc>
        <w:tc>
          <w:tcPr>
            <w:tcW w:type="dxa" w:w="2888"/>
            <w:tcMar>
              <w:top w:type="dxa" w:w="60"/>
              <w:left w:type="dxa" w:w="100"/>
              <w:bottom w:type="dxa" w:w="60"/>
              <w:right w:type="dxa" w:w="100"/>
            </w:tcMar>
            <w:vAlign w:val="center"/>
          </w:tcPr>
          <w:p>
            <w:pPr>
              <w:spacing w:after="20" w:before="20"/>
            </w:pPr>
            <w:r>
              <w:rPr>
                <w:sz w:val="20"/>
                <w:szCs w:val="20"/>
              </w:rPr>
              <w:t xml:space="preserve">Every irreversible transition in PDS-05 section 8.2 has a confirmation naming the irreversibility.</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An operator is never blocked by missing optional data</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recommended field that is empty is reported, never enforced.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Data quality reports the gap; the operation completes (BR-176).</w:t>
            </w:r>
          </w:p>
        </w:tc>
      </w:tr>
    </w:tbl>
    <w:p>
      <w:r>
        <w:br w:type="page"/>
      </w:r>
    </w:p>
    <w:p>
      <w:pPr>
        <w:pStyle w:val="Heading1"/>
        <w:spacing w:after="160" w:before="320"/>
      </w:pPr>
      <w:r>
        <w:rPr>
          <w:b/>
          <w:bCs/>
          <w:color w:val="1F4E79"/>
          <w:sz w:val="30"/>
          <w:szCs w:val="30"/>
        </w:rPr>
        <w:t xml:space="preserve">6. Development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DEV-01</w:t>
            </w:r>
          </w:p>
        </w:tc>
        <w:tc>
          <w:tcPr>
            <w:tcW w:type="dxa" w:w="1986"/>
            <w:tcMar>
              <w:top w:type="dxa" w:w="60"/>
              <w:left w:type="dxa" w:w="100"/>
              <w:bottom w:type="dxa" w:w="60"/>
              <w:right w:type="dxa" w:w="100"/>
            </w:tcMar>
            <w:vAlign w:val="center"/>
          </w:tcPr>
          <w:p>
            <w:pPr>
              <w:spacing w:after="20" w:before="20"/>
            </w:pPr>
            <w:r>
              <w:rPr>
                <w:sz w:val="20"/>
                <w:szCs w:val="20"/>
              </w:rPr>
              <w:t xml:space="preserve">No direct database access across modules</w:t>
            </w:r>
          </w:p>
        </w:tc>
        <w:tc>
          <w:tcPr>
            <w:tcW w:type="dxa" w:w="3430"/>
            <w:tcMar>
              <w:top w:type="dxa" w:w="60"/>
              <w:left w:type="dxa" w:w="100"/>
              <w:bottom w:type="dxa" w:w="60"/>
              <w:right w:type="dxa" w:w="100"/>
            </w:tcMar>
            <w:vAlign w:val="center"/>
          </w:tcPr>
          <w:p>
            <w:pPr>
              <w:spacing w:after="20" w:before="20"/>
            </w:pPr>
            <w:r>
              <w:rPr>
                <w:sz w:val="20"/>
                <w:szCs w:val="20"/>
              </w:rPr>
              <w:t xml:space="preserve">A module accesses only its own persistence.</w:t>
            </w:r>
          </w:p>
        </w:tc>
        <w:tc>
          <w:tcPr>
            <w:tcW w:type="dxa" w:w="2888"/>
            <w:tcMar>
              <w:top w:type="dxa" w:w="60"/>
              <w:left w:type="dxa" w:w="100"/>
              <w:bottom w:type="dxa" w:w="60"/>
              <w:right w:type="dxa" w:w="100"/>
            </w:tcMar>
            <w:vAlign w:val="center"/>
          </w:tcPr>
          <w:p>
            <w:pPr>
              <w:spacing w:after="20" w:before="20"/>
            </w:pPr>
            <w:r>
              <w:rPr>
                <w:sz w:val="20"/>
                <w:szCs w:val="20"/>
              </w:rPr>
              <w:t xml:space="preserve">Static analysis (PDS-08 CT-30).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change is auditable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state change is attributable to an authenticated actor and recorded without the caller asking.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Perform a state change and inspect the audit log (PDS-08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DEV-03</w:t>
            </w:r>
          </w:p>
        </w:tc>
        <w:tc>
          <w:tcPr>
            <w:tcW w:type="dxa" w:w="1986"/>
            <w:tcMar>
              <w:top w:type="dxa" w:w="60"/>
              <w:left w:type="dxa" w:w="100"/>
              <w:bottom w:type="dxa" w:w="60"/>
              <w:right w:type="dxa" w:w="100"/>
            </w:tcMar>
            <w:vAlign w:val="center"/>
          </w:tcPr>
          <w:p>
            <w:pPr>
              <w:spacing w:after="20" w:before="20"/>
            </w:pPr>
            <w:r>
              <w:rPr>
                <w:sz w:val="20"/>
                <w:szCs w:val="20"/>
              </w:rPr>
              <w:t xml:space="preserve">Business rules reside in services, not in the user interface</w:t>
            </w:r>
          </w:p>
        </w:tc>
        <w:tc>
          <w:tcPr>
            <w:tcW w:type="dxa" w:w="3430"/>
            <w:tcMar>
              <w:top w:type="dxa" w:w="60"/>
              <w:left w:type="dxa" w:w="100"/>
              <w:bottom w:type="dxa" w:w="60"/>
              <w:right w:type="dxa" w:w="100"/>
            </w:tcMar>
            <w:vAlign w:val="center"/>
          </w:tcPr>
          <w:p>
            <w:pPr>
              <w:spacing w:after="20" w:before="20"/>
            </w:pPr>
            <w:r>
              <w:rPr>
                <w:sz w:val="20"/>
                <w:szCs w:val="20"/>
              </w:rPr>
              <w:t xml:space="preserve">A rule enforced only in a screen is not enforced.</w:t>
            </w:r>
          </w:p>
        </w:tc>
        <w:tc>
          <w:tcPr>
            <w:tcW w:type="dxa" w:w="2888"/>
            <w:tcMar>
              <w:top w:type="dxa" w:w="60"/>
              <w:left w:type="dxa" w:w="100"/>
              <w:bottom w:type="dxa" w:w="60"/>
              <w:right w:type="dxa" w:w="100"/>
            </w:tcMar>
            <w:vAlign w:val="center"/>
          </w:tcPr>
          <w:p>
            <w:pPr>
              <w:spacing w:after="20" w:before="20"/>
            </w:pPr>
            <w:r>
              <w:rPr>
                <w:sz w:val="20"/>
                <w:szCs w:val="20"/>
              </w:rPr>
              <w:t xml:space="preserve">Every business rule in PDS-05 section 9 is exercised through the API without the interface.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duplicated validations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rule is expressed once and resolved by PS-014.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Static analysis finds no mandatory-field constant in any module (PDS-08 CT-11).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DEV-05</w:t>
            </w:r>
          </w:p>
        </w:tc>
        <w:tc>
          <w:tcPr>
            <w:tcW w:type="dxa" w:w="1986"/>
            <w:tcMar>
              <w:top w:type="dxa" w:w="60"/>
              <w:left w:type="dxa" w:w="100"/>
              <w:bottom w:type="dxa" w:w="60"/>
              <w:right w:type="dxa" w:w="100"/>
            </w:tcMar>
            <w:vAlign w:val="center"/>
          </w:tcPr>
          <w:p>
            <w:pPr>
              <w:spacing w:after="20" w:before="20"/>
            </w:pPr>
            <w:r>
              <w:rPr>
                <w:sz w:val="20"/>
                <w:szCs w:val="20"/>
              </w:rPr>
              <w:t xml:space="preserve">Every API is versioned</w:t>
            </w:r>
          </w:p>
        </w:tc>
        <w:tc>
          <w:tcPr>
            <w:tcW w:type="dxa" w:w="3430"/>
            <w:tcMar>
              <w:top w:type="dxa" w:w="60"/>
              <w:left w:type="dxa" w:w="100"/>
              <w:bottom w:type="dxa" w:w="60"/>
              <w:right w:type="dxa" w:w="100"/>
            </w:tcMar>
            <w:vAlign w:val="center"/>
          </w:tcPr>
          <w:p>
            <w:pPr>
              <w:spacing w:after="20" w:before="20"/>
            </w:pPr>
            <w:r>
              <w:rPr>
                <w:sz w:val="20"/>
                <w:szCs w:val="20"/>
              </w:rPr>
              <w:t xml:space="preserve">And at least one previous version remains available.</w:t>
            </w:r>
          </w:p>
        </w:tc>
        <w:tc>
          <w:tcPr>
            <w:tcW w:type="dxa" w:w="2888"/>
            <w:tcMar>
              <w:top w:type="dxa" w:w="60"/>
              <w:left w:type="dxa" w:w="100"/>
              <w:bottom w:type="dxa" w:w="60"/>
              <w:right w:type="dxa" w:w="100"/>
            </w:tcMar>
            <w:vAlign w:val="center"/>
          </w:tcPr>
          <w:p>
            <w:pPr>
              <w:spacing w:after="20" w:before="20"/>
            </w:pPr>
            <w:r>
              <w:rPr>
                <w:sz w:val="20"/>
                <w:szCs w:val="20"/>
              </w:rPr>
              <w:t xml:space="preserve">API inventory shows a version on every operation; n-1 is served.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entity has a declared owner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object declares its hosting domain, and every module declares its capabilities.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PDS-05 hosting matrix and PDS-08 manifest validation.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DEV-07</w:t>
            </w:r>
          </w:p>
        </w:tc>
        <w:tc>
          <w:tcPr>
            <w:tcW w:type="dxa" w:w="1986"/>
            <w:tcMar>
              <w:top w:type="dxa" w:w="60"/>
              <w:left w:type="dxa" w:w="100"/>
              <w:bottom w:type="dxa" w:w="60"/>
              <w:right w:type="dxa" w:w="100"/>
            </w:tcMar>
            <w:vAlign w:val="center"/>
          </w:tcPr>
          <w:p>
            <w:pPr>
              <w:spacing w:after="20" w:before="20"/>
            </w:pPr>
            <w:r>
              <w:rPr>
                <w:sz w:val="20"/>
                <w:szCs w:val="20"/>
              </w:rPr>
              <w:t xml:space="preserve">Idempotency on every unreliable channel</w:t>
            </w:r>
          </w:p>
        </w:tc>
        <w:tc>
          <w:tcPr>
            <w:tcW w:type="dxa" w:w="3430"/>
            <w:tcMar>
              <w:top w:type="dxa" w:w="60"/>
              <w:left w:type="dxa" w:w="100"/>
              <w:bottom w:type="dxa" w:w="60"/>
              <w:right w:type="dxa" w:w="100"/>
            </w:tcMar>
            <w:vAlign w:val="center"/>
          </w:tcPr>
          <w:p>
            <w:pPr>
              <w:spacing w:after="20" w:before="20"/>
            </w:pPr>
            <w:r>
              <w:rPr>
                <w:sz w:val="20"/>
                <w:szCs w:val="20"/>
              </w:rPr>
              <w:t xml:space="preserve">Handheld, connector and webhook operations accept an idempotency key.</w:t>
            </w:r>
          </w:p>
        </w:tc>
        <w:tc>
          <w:tcPr>
            <w:tcW w:type="dxa" w:w="2888"/>
            <w:tcMar>
              <w:top w:type="dxa" w:w="60"/>
              <w:left w:type="dxa" w:w="100"/>
              <w:bottom w:type="dxa" w:w="60"/>
              <w:right w:type="dxa" w:w="100"/>
            </w:tcMar>
            <w:vAlign w:val="center"/>
          </w:tcPr>
          <w:p>
            <w:pPr>
              <w:spacing w:after="20" w:before="20"/>
            </w:pPr>
            <w:r>
              <w:rPr>
                <w:sz w:val="20"/>
                <w:szCs w:val="20"/>
              </w:rPr>
              <w:t xml:space="preserve">Duplicate submission creates one record (PDS-08 CT-34).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Errors come from a closed set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free-text error reaches a caller; every error carries a class, a code and a correlation identifier.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contract test against PDS-07 section 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DEV-09</w:t>
            </w:r>
          </w:p>
        </w:tc>
        <w:tc>
          <w:tcPr>
            <w:tcW w:type="dxa" w:w="1986"/>
            <w:tcMar>
              <w:top w:type="dxa" w:w="60"/>
              <w:left w:type="dxa" w:w="100"/>
              <w:bottom w:type="dxa" w:w="60"/>
              <w:right w:type="dxa" w:w="100"/>
            </w:tcMar>
            <w:vAlign w:val="center"/>
          </w:tcPr>
          <w:p>
            <w:pPr>
              <w:spacing w:after="20" w:before="20"/>
            </w:pPr>
            <w:r>
              <w:rPr>
                <w:sz w:val="20"/>
                <w:szCs w:val="20"/>
              </w:rPr>
              <w:t xml:space="preserve">No secret in a log, an audit image, a report or an export</w:t>
            </w:r>
          </w:p>
        </w:tc>
        <w:tc>
          <w:tcPr>
            <w:tcW w:type="dxa" w:w="3430"/>
            <w:tcMar>
              <w:top w:type="dxa" w:w="60"/>
              <w:left w:type="dxa" w:w="100"/>
              <w:bottom w:type="dxa" w:w="60"/>
              <w:right w:type="dxa" w:w="100"/>
            </w:tcMar>
            <w:vAlign w:val="center"/>
          </w:tcPr>
          <w:p>
            <w:pPr>
              <w:spacing w:after="20" w:before="20"/>
            </w:pPr>
            <w:r>
              <w:rPr>
                <w:sz w:val="20"/>
                <w:szCs w:val="20"/>
              </w:rPr>
              <w:t xml:space="preserve">Credentials, keys, multi-factor secrets and encrypted configuration values never leave the platform boundary.</w:t>
            </w:r>
          </w:p>
        </w:tc>
        <w:tc>
          <w:tcPr>
            <w:tcW w:type="dxa" w:w="2888"/>
            <w:tcMar>
              <w:top w:type="dxa" w:w="60"/>
              <w:left w:type="dxa" w:w="100"/>
              <w:bottom w:type="dxa" w:w="60"/>
              <w:right w:type="dxa" w:w="100"/>
            </w:tcMar>
            <w:vAlign w:val="center"/>
          </w:tcPr>
          <w:p>
            <w:pPr>
              <w:spacing w:after="20" w:before="20"/>
            </w:pPr>
            <w:r>
              <w:rPr>
                <w:sz w:val="20"/>
                <w:szCs w:val="20"/>
              </w:rPr>
              <w:t xml:space="preserve">Automated scan of logs, audit images and export artifacts (BR-008, BR-200).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Graceful degradation of every optional dependency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absence of a connector or an external system never blocks a platform operation, and never produces a silent success.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Disable every connector and exercise each module (PDS-08 CT-12); verification degrades to Inconclusive, never Pass (BR-136).</w:t>
            </w:r>
          </w:p>
        </w:tc>
      </w:tr>
    </w:tbl>
    <w:p>
      <w:r>
        <w:br w:type="page"/>
      </w:r>
    </w:p>
    <w:p>
      <w:pPr>
        <w:pStyle w:val="Heading1"/>
        <w:spacing w:after="160" w:before="320"/>
      </w:pPr>
      <w:r>
        <w:rPr>
          <w:b/>
          <w:bCs/>
          <w:color w:val="1F4E79"/>
          <w:sz w:val="30"/>
          <w:szCs w:val="30"/>
        </w:rPr>
        <w:t xml:space="preserve">7. Reporting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RPT-01</w:t>
            </w:r>
          </w:p>
        </w:tc>
        <w:tc>
          <w:tcPr>
            <w:tcW w:type="dxa" w:w="1986"/>
            <w:tcMar>
              <w:top w:type="dxa" w:w="60"/>
              <w:left w:type="dxa" w:w="100"/>
              <w:bottom w:type="dxa" w:w="60"/>
              <w:right w:type="dxa" w:w="100"/>
            </w:tcMar>
            <w:vAlign w:val="center"/>
          </w:tcPr>
          <w:p>
            <w:pPr>
              <w:spacing w:after="20" w:before="20"/>
            </w:pPr>
            <w:r>
              <w:rPr>
                <w:sz w:val="20"/>
                <w:szCs w:val="20"/>
              </w:rPr>
              <w:t xml:space="preserve">Every module contributes to a unified reporting framework</w:t>
            </w:r>
          </w:p>
        </w:tc>
        <w:tc>
          <w:tcPr>
            <w:tcW w:type="dxa" w:w="3430"/>
            <w:tcMar>
              <w:top w:type="dxa" w:w="60"/>
              <w:left w:type="dxa" w:w="100"/>
              <w:bottom w:type="dxa" w:w="60"/>
              <w:right w:type="dxa" w:w="100"/>
            </w:tcMar>
            <w:vAlign w:val="center"/>
          </w:tcPr>
          <w:p>
            <w:pPr>
              <w:spacing w:after="20" w:before="20"/>
            </w:pPr>
            <w:r>
              <w:rPr>
                <w:sz w:val="20"/>
                <w:szCs w:val="20"/>
              </w:rPr>
              <w:t xml:space="preserve">A module registers a reporting data source; it does not build its own reports.</w:t>
            </w:r>
          </w:p>
        </w:tc>
        <w:tc>
          <w:tcPr>
            <w:tcW w:type="dxa" w:w="2888"/>
            <w:tcMar>
              <w:top w:type="dxa" w:w="60"/>
              <w:left w:type="dxa" w:w="100"/>
              <w:bottom w:type="dxa" w:w="60"/>
              <w:right w:type="dxa" w:w="100"/>
            </w:tcMar>
            <w:vAlign w:val="center"/>
          </w:tcPr>
          <w:p>
            <w:pPr>
              <w:spacing w:after="20" w:before="20"/>
            </w:pPr>
            <w:r>
              <w:rPr>
                <w:sz w:val="20"/>
                <w:szCs w:val="20"/>
              </w:rPr>
              <w:t xml:space="preserve">No analytical query exists outside PS-011 (PDS-08 CT-32).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AI and natural-language queries operate on the reporting framework, never on transactional databases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assistant reads the reporting surface only, and never writes anywhere.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 shows every query resolved against a registered source (BR-175).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RPT-03</w:t>
            </w:r>
          </w:p>
        </w:tc>
        <w:tc>
          <w:tcPr>
            <w:tcW w:type="dxa" w:w="1986"/>
            <w:tcMar>
              <w:top w:type="dxa" w:w="60"/>
              <w:left w:type="dxa" w:w="100"/>
              <w:bottom w:type="dxa" w:w="60"/>
              <w:right w:type="dxa" w:w="100"/>
            </w:tcMar>
            <w:vAlign w:val="center"/>
          </w:tcPr>
          <w:p>
            <w:pPr>
              <w:spacing w:after="20" w:before="20"/>
            </w:pPr>
            <w:r>
              <w:rPr>
                <w:sz w:val="20"/>
                <w:szCs w:val="20"/>
              </w:rPr>
              <w:t xml:space="preserve">Reports are metadata-driven</w:t>
            </w:r>
          </w:p>
        </w:tc>
        <w:tc>
          <w:tcPr>
            <w:tcW w:type="dxa" w:w="3430"/>
            <w:tcMar>
              <w:top w:type="dxa" w:w="60"/>
              <w:left w:type="dxa" w:w="100"/>
              <w:bottom w:type="dxa" w:w="60"/>
              <w:right w:type="dxa" w:w="100"/>
            </w:tcMar>
            <w:vAlign w:val="center"/>
          </w:tcPr>
          <w:p>
            <w:pPr>
              <w:spacing w:after="20" w:before="20"/>
            </w:pPr>
            <w:r>
              <w:rPr>
                <w:sz w:val="20"/>
                <w:szCs w:val="20"/>
              </w:rPr>
              <w:t xml:space="preserve">A report is a definition, not code.</w:t>
            </w:r>
          </w:p>
        </w:tc>
        <w:tc>
          <w:tcPr>
            <w:tcW w:type="dxa" w:w="2888"/>
            <w:tcMar>
              <w:top w:type="dxa" w:w="60"/>
              <w:left w:type="dxa" w:w="100"/>
              <w:bottom w:type="dxa" w:w="60"/>
              <w:right w:type="dxa" w:w="100"/>
            </w:tcMar>
            <w:vAlign w:val="center"/>
          </w:tcPr>
          <w:p>
            <w:pPr>
              <w:spacing w:after="20" w:before="20"/>
            </w:pPr>
            <w:r>
              <w:rPr>
                <w:sz w:val="20"/>
                <w:szCs w:val="20"/>
              </w:rPr>
              <w:t xml:space="preserve">Every report in the platform is a Report Definition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Dashboards are configurable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Composition, widgets and sharing are configuration.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Every dashboard is a Dashboard Definition record.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RPT-05</w:t>
            </w:r>
          </w:p>
        </w:tc>
        <w:tc>
          <w:tcPr>
            <w:tcW w:type="dxa" w:w="1986"/>
            <w:tcMar>
              <w:top w:type="dxa" w:w="60"/>
              <w:left w:type="dxa" w:w="100"/>
              <w:bottom w:type="dxa" w:w="60"/>
              <w:right w:type="dxa" w:w="100"/>
            </w:tcMar>
            <w:vAlign w:val="center"/>
          </w:tcPr>
          <w:p>
            <w:pPr>
              <w:spacing w:after="20" w:before="20"/>
            </w:pPr>
            <w:r>
              <w:rPr>
                <w:sz w:val="20"/>
                <w:szCs w:val="20"/>
              </w:rPr>
              <w:t xml:space="preserve">Access scope applies to every output</w:t>
            </w:r>
          </w:p>
        </w:tc>
        <w:tc>
          <w:tcPr>
            <w:tcW w:type="dxa" w:w="3430"/>
            <w:tcMar>
              <w:top w:type="dxa" w:w="60"/>
              <w:left w:type="dxa" w:w="100"/>
              <w:bottom w:type="dxa" w:w="60"/>
              <w:right w:type="dxa" w:w="100"/>
            </w:tcMar>
            <w:vAlign w:val="center"/>
          </w:tcPr>
          <w:p>
            <w:pPr>
              <w:spacing w:after="20" w:before="20"/>
            </w:pPr>
            <w:r>
              <w:rPr>
                <w:sz w:val="20"/>
                <w:szCs w:val="20"/>
              </w:rPr>
              <w:t xml:space="preserve">Reports, dashboards, maps, exports and scheduled distributions apply the recipient scope, not the author scope.</w:t>
            </w:r>
          </w:p>
        </w:tc>
        <w:tc>
          <w:tcPr>
            <w:tcW w:type="dxa" w:w="2888"/>
            <w:tcMar>
              <w:top w:type="dxa" w:w="60"/>
              <w:left w:type="dxa" w:w="100"/>
              <w:bottom w:type="dxa" w:w="60"/>
              <w:right w:type="dxa" w:w="100"/>
            </w:tcMar>
            <w:vAlign w:val="center"/>
          </w:tcPr>
          <w:p>
            <w:pPr>
              <w:spacing w:after="20" w:before="20"/>
            </w:pPr>
            <w:r>
              <w:rPr>
                <w:sz w:val="20"/>
                <w:szCs w:val="20"/>
              </w:rPr>
              <w:t xml:space="preserve">Scheduled distribution test with two recipients of differing scope returns two different result sets (BR-019, BR-173).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generated figure is attributable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An insight or a narrative names the report or KPI that produced each figure.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 records carry source references (BR-171).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RPT-07</w:t>
            </w:r>
          </w:p>
        </w:tc>
        <w:tc>
          <w:tcPr>
            <w:tcW w:type="dxa" w:w="1986"/>
            <w:tcMar>
              <w:top w:type="dxa" w:w="60"/>
              <w:left w:type="dxa" w:w="100"/>
              <w:bottom w:type="dxa" w:w="60"/>
              <w:right w:type="dxa" w:w="100"/>
            </w:tcMar>
            <w:vAlign w:val="center"/>
          </w:tcPr>
          <w:p>
            <w:pPr>
              <w:spacing w:after="20" w:before="20"/>
            </w:pPr>
            <w:r>
              <w:rPr>
                <w:sz w:val="20"/>
                <w:szCs w:val="20"/>
              </w:rPr>
              <w:t xml:space="preserve">Historical comparability is preserved</w:t>
            </w:r>
          </w:p>
        </w:tc>
        <w:tc>
          <w:tcPr>
            <w:tcW w:type="dxa" w:w="3430"/>
            <w:tcMar>
              <w:top w:type="dxa" w:w="60"/>
              <w:left w:type="dxa" w:w="100"/>
              <w:bottom w:type="dxa" w:w="60"/>
              <w:right w:type="dxa" w:w="100"/>
            </w:tcMar>
            <w:vAlign w:val="center"/>
          </w:tcPr>
          <w:p>
            <w:pPr>
              <w:spacing w:after="20" w:before="20"/>
            </w:pPr>
            <w:r>
              <w:rPr>
                <w:sz w:val="20"/>
                <w:szCs w:val="20"/>
              </w:rPr>
              <w:t xml:space="preserve">A KPI definition change is versioned, and a metric snapshot records the version under which it was computed.</w:t>
            </w:r>
          </w:p>
        </w:tc>
        <w:tc>
          <w:tcPr>
            <w:tcW w:type="dxa" w:w="2888"/>
            <w:tcMar>
              <w:top w:type="dxa" w:w="60"/>
              <w:left w:type="dxa" w:w="100"/>
              <w:bottom w:type="dxa" w:w="60"/>
              <w:right w:type="dxa" w:w="100"/>
            </w:tcMar>
            <w:vAlign w:val="center"/>
          </w:tcPr>
          <w:p>
            <w:pPr>
              <w:spacing w:after="20" w:before="20"/>
            </w:pPr>
            <w:r>
              <w:rPr>
                <w:sz w:val="20"/>
                <w:szCs w:val="20"/>
              </w:rPr>
              <w:t xml:space="preserve">Snapshot inspection after a KPI change (BR-161, BR-162).</w:t>
            </w:r>
          </w:p>
        </w:tc>
      </w:tr>
    </w:tbl>
    <w:p>
      <w:r>
        <w:br w:type="page"/>
      </w:r>
    </w:p>
    <w:p>
      <w:pPr>
        <w:pStyle w:val="Heading1"/>
        <w:spacing w:after="160" w:before="320"/>
      </w:pPr>
      <w:r>
        <w:rPr>
          <w:b/>
          <w:bCs/>
          <w:color w:val="1F4E79"/>
          <w:sz w:val="30"/>
          <w:szCs w:val="30"/>
        </w:rPr>
        <w:t xml:space="preserve">8. Governance Rules</w:t>
      </w:r>
    </w:p>
    <w:p>
      <w:pPr>
        <w:pStyle w:val="Heading2"/>
        <w:spacing w:after="120" w:before="260"/>
      </w:pPr>
      <w:r>
        <w:rPr>
          <w:b/>
          <w:bCs/>
          <w:color w:val="2E74B5"/>
          <w:sz w:val="25"/>
          <w:szCs w:val="25"/>
        </w:rPr>
        <w:t xml:space="preserve">8.1 Platform governance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Every object appears exactly once in the PDS-05 hosting matrix. Registration of a duplicate host is refused.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cross-domain reference register in PDS-05 section 7.2 resolves to a hosting domain for every consumed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The PDS-02 capability catalog contains no capability twice and no capability name in two domains.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PDS-04 subdomain index contains no subdomain twice.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Every process in the CRS cites at least one CAP identifier.</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Review against the PDS-03 section 4.3 prohibition list; the same code path serves two tenants with different capability sets.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PDS-08 conformance suite, sections 6.1 and 6.4.</w:t>
            </w:r>
          </w:p>
        </w:tc>
      </w:tr>
    </w:tbl>
    <w:p>
      <w:pPr>
        <w:pStyle w:val="Heading2"/>
        <w:spacing w:after="120" w:before="260"/>
      </w:pPr>
      <w:r>
        <w:rPr>
          <w:b/>
          <w:bCs/>
          <w:color w:val="2E74B5"/>
          <w:sz w:val="25"/>
          <w:szCs w:val="25"/>
        </w:rPr>
        <w:t xml:space="preserve">8.2 Extension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812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812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ER-01</w:t>
            </w:r>
          </w:p>
        </w:tc>
        <w:tc>
          <w:tcPr>
            <w:tcW w:type="dxa" w:w="8123"/>
            <w:tcMar>
              <w:top w:type="dxa" w:w="60"/>
              <w:left w:type="dxa" w:w="100"/>
              <w:bottom w:type="dxa" w:w="60"/>
              <w:right w:type="dxa" w:w="100"/>
            </w:tcMar>
            <w:vAlign w:val="center"/>
          </w:tcPr>
          <w:p>
            <w:pPr>
              <w:spacing w:after="20" w:before="20"/>
            </w:pPr>
            <w:r>
              <w:rPr>
                <w:sz w:val="20"/>
                <w:szCs w:val="20"/>
              </w:rPr>
              <w:t xml:space="preserve">A module may add namespaced extension attributes to an object it does not host.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ER-02</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attribute shall never be used as an identity, uniqueness or referential integrity key on the host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ER-03</w:t>
            </w:r>
          </w:p>
        </w:tc>
        <w:tc>
          <w:tcPr>
            <w:tcW w:type="dxa" w:w="8123"/>
            <w:tcMar>
              <w:top w:type="dxa" w:w="60"/>
              <w:left w:type="dxa" w:w="100"/>
              <w:bottom w:type="dxa" w:w="60"/>
              <w:right w:type="dxa" w:w="100"/>
            </w:tcMar>
            <w:vAlign w:val="center"/>
          </w:tcPr>
          <w:p>
            <w:pPr>
              <w:spacing w:after="20" w:before="20"/>
            </w:pPr>
            <w:r>
              <w:rPr>
                <w:sz w:val="20"/>
                <w:szCs w:val="20"/>
              </w:rPr>
              <w:t xml:space="preserve">An extension attribute shall be referenced only by the module that contributed it.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ER-04</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shall be removable without affecting the host object or any other module.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ER-05</w:t>
            </w:r>
          </w:p>
        </w:tc>
        <w:tc>
          <w:tcPr>
            <w:tcW w:type="dxa" w:w="8123"/>
            <w:tcMar>
              <w:top w:type="dxa" w:w="60"/>
              <w:left w:type="dxa" w:w="100"/>
              <w:bottom w:type="dxa" w:w="60"/>
              <w:right w:type="dxa" w:w="100"/>
            </w:tcMar>
            <w:vAlign w:val="center"/>
          </w:tcPr>
          <w:p>
            <w:pPr>
              <w:spacing w:after="20" w:before="20"/>
            </w:pPr>
            <w:r>
              <w:rPr>
                <w:sz w:val="20"/>
                <w:szCs w:val="20"/>
              </w:rPr>
              <w:t xml:space="preserve">A module shall never change the classification of a host attribute.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ER-06</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 module shall never extend an evidentiary object — Permit, Permit Line, Gate Event, Plate Read, Verification Result, Evidence Record, Audit Log.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ER-07</w:t>
            </w:r>
          </w:p>
        </w:tc>
        <w:tc>
          <w:tcPr>
            <w:tcW w:type="dxa" w:w="8123"/>
            <w:tcMar>
              <w:top w:type="dxa" w:w="60"/>
              <w:left w:type="dxa" w:w="100"/>
              <w:bottom w:type="dxa" w:w="60"/>
              <w:right w:type="dxa" w:w="100"/>
            </w:tcMar>
            <w:vAlign w:val="center"/>
          </w:tcPr>
          <w:p>
            <w:pPr>
              <w:spacing w:after="20" w:before="20"/>
            </w:pPr>
            <w:r>
              <w:rPr>
                <w:sz w:val="20"/>
                <w:szCs w:val="20"/>
              </w:rPr>
              <w:t xml:space="preserve">Where a module needs a new concept rather than a new attribute, a new object is defined in PDS-05 and hosted by the appropriate domain.</w:t>
            </w:r>
          </w:p>
        </w:tc>
      </w:tr>
    </w:tbl>
    <w:p>
      <w:pPr>
        <w:pStyle w:val="Heading2"/>
        <w:spacing w:after="120" w:before="260"/>
      </w:pPr>
      <w:r>
        <w:rPr>
          <w:b/>
          <w:bCs/>
          <w:color w:val="2E74B5"/>
          <w:sz w:val="25"/>
          <w:szCs w:val="25"/>
        </w:rPr>
        <w:t xml:space="preserve">8.3 Mandatory engineering rules</w:t>
      </w:r>
    </w:p>
    <w:p>
      <w:pPr>
        <w:pStyle w:val="ListParagraph"/>
        <w:numPr>
          <w:ilvl w:val="0"/>
          <w:numId w:val="2"/>
        </w:numPr>
        <w:spacing w:after="60"/>
      </w:pPr>
      <w:r>
        <w:t xml:space="preserve">The Core Platform shall never depend on a plug-in.</w:t>
      </w:r>
    </w:p>
    <w:p>
      <w:pPr>
        <w:pStyle w:val="ListParagraph"/>
        <w:numPr>
          <w:ilvl w:val="0"/>
          <w:numId w:val="2"/>
        </w:numPr>
        <w:spacing w:after="60"/>
      </w:pPr>
      <w:r>
        <w:t xml:space="preserve">A plug-in shall never access another plug-in database directly.</w:t>
      </w:r>
    </w:p>
    <w:p>
      <w:pPr>
        <w:pStyle w:val="ListParagraph"/>
        <w:numPr>
          <w:ilvl w:val="0"/>
          <w:numId w:val="2"/>
        </w:numPr>
        <w:spacing w:after="60"/>
      </w:pPr>
      <w:r>
        <w:t xml:space="preserve">All inter-module communication shall use published APIs or domain events.</w:t>
      </w:r>
    </w:p>
    <w:p>
      <w:pPr>
        <w:pStyle w:val="ListParagraph"/>
        <w:numPr>
          <w:ilvl w:val="0"/>
          <w:numId w:val="2"/>
        </w:numPr>
        <w:spacing w:after="60"/>
      </w:pPr>
      <w:r>
        <w:t xml:space="preserve">There shall be exactly one canonical definition for every shared entity.</w:t>
      </w:r>
    </w:p>
    <w:p>
      <w:pPr>
        <w:pStyle w:val="ListParagraph"/>
        <w:numPr>
          <w:ilvl w:val="0"/>
          <w:numId w:val="2"/>
        </w:numPr>
        <w:spacing w:after="60"/>
      </w:pPr>
      <w:r>
        <w:t xml:space="preserve">Configuration shall be preferred over customization.</w:t>
      </w:r>
    </w:p>
    <w:p>
      <w:pPr>
        <w:pStyle w:val="ListParagraph"/>
        <w:numPr>
          <w:ilvl w:val="0"/>
          <w:numId w:val="2"/>
        </w:numPr>
        <w:spacing w:after="60"/>
      </w:pPr>
      <w:r>
        <w:t xml:space="preserve">All modules shall inherit security, workflow, audit, notification, search, document and reporting services from the Core Platform.</w:t>
      </w:r>
    </w:p>
    <w:p>
      <w:pPr>
        <w:pStyle w:val="ListParagraph"/>
        <w:numPr>
          <w:ilvl w:val="0"/>
          <w:numId w:val="2"/>
        </w:numPr>
        <w:spacing w:after="60"/>
      </w:pPr>
      <w:r>
        <w:t xml:space="preserve">Cyclic dependencies between domains are prohibited.</w:t>
      </w:r>
    </w:p>
    <w:p>
      <w:pPr>
        <w:pStyle w:val="ListParagraph"/>
        <w:numPr>
          <w:ilvl w:val="0"/>
          <w:numId w:val="2"/>
        </w:numPr>
        <w:spacing w:after="60"/>
      </w:pPr>
      <w:r>
        <w:t xml:space="preserve">No capability shall exist that is not declared in PDS-02.</w:t>
      </w:r>
    </w:p>
    <w:p>
      <w:r>
        <w:br w:type="page"/>
      </w:r>
    </w:p>
    <w:p>
      <w:pPr>
        <w:pStyle w:val="Heading1"/>
        <w:spacing w:after="160" w:before="320"/>
      </w:pPr>
      <w:r>
        <w:rPr>
          <w:b/>
          <w:bCs/>
          <w:color w:val="1F4E79"/>
          <w:sz w:val="30"/>
          <w:szCs w:val="30"/>
        </w:rPr>
        <w:t xml:space="preserve">9. Governance Standard GS-001 — End-to-End Traceability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pStyle w:val="Heading2"/>
        <w:spacing w:after="120" w:before="260"/>
      </w:pPr>
      <w:r>
        <w:rPr>
          <w:b/>
          <w:bCs/>
          <w:color w:val="2E74B5"/>
          <w:sz w:val="25"/>
          <w:szCs w:val="25"/>
        </w:rPr>
        <w:t xml:space="preserve">9.1 What it guarantees</w:t>
      </w:r>
    </w:p>
    <w:p>
      <w:pPr>
        <w:pStyle w:val="ListParagraph"/>
        <w:numPr>
          <w:ilvl w:val="0"/>
          <w:numId w:val="3"/>
        </w:numPr>
        <w:spacing w:after="60"/>
      </w:pPr>
      <w:r>
        <w:t xml:space="preserve">No orphan requirements — every requirement traces up to a capability and a business need.</w:t>
      </w:r>
    </w:p>
    <w:p>
      <w:pPr>
        <w:pStyle w:val="ListParagraph"/>
        <w:numPr>
          <w:ilvl w:val="0"/>
          <w:numId w:val="3"/>
        </w:numPr>
        <w:spacing w:after="60"/>
      </w:pPr>
      <w:r>
        <w:t xml:space="preserve">No undocumented features — every implemented behavior traces down from a requirement.</w:t>
      </w:r>
    </w:p>
    <w:p>
      <w:pPr>
        <w:pStyle w:val="ListParagraph"/>
        <w:numPr>
          <w:ilvl w:val="0"/>
          <w:numId w:val="3"/>
        </w:numPr>
        <w:spacing w:after="60"/>
      </w:pPr>
      <w:r>
        <w:t xml:space="preserve">No duplicate functionality — two requirements citing the same capability are reconciled.</w:t>
      </w:r>
    </w:p>
    <w:p>
      <w:pPr>
        <w:pStyle w:val="ListParagraph"/>
        <w:numPr>
          <w:ilvl w:val="0"/>
          <w:numId w:val="3"/>
        </w:numPr>
        <w:spacing w:after="60"/>
      </w:pPr>
      <w:r>
        <w:t xml:space="preserve">Controlled change-impact analysis — the consequences of a change are enumerable.</w:t>
      </w:r>
    </w:p>
    <w:p>
      <w:pPr>
        <w:pStyle w:val="ListParagraph"/>
        <w:numPr>
          <w:ilvl w:val="0"/>
          <w:numId w:val="3"/>
        </w:numPr>
        <w:spacing w:after="60"/>
      </w:pPr>
      <w:r>
        <w:t xml:space="preserve">Easier maintenance and faster onboarding of new engineers.</w:t>
      </w:r>
    </w:p>
    <w:p>
      <w:pPr>
        <w:pStyle w:val="ListParagraph"/>
        <w:numPr>
          <w:ilvl w:val="0"/>
          <w:numId w:val="3"/>
        </w:numPr>
        <w:spacing w:after="60"/>
      </w:pPr>
      <w:r>
        <w:t xml:space="preserve">Enterprise-grade documentation quality, verifiable rather than asserted.</w:t>
      </w:r>
    </w:p>
    <w:p>
      <w:pPr>
        <w:pStyle w:val="Heading2"/>
        <w:spacing w:after="120" w:before="260"/>
      </w:pPr>
      <w:r>
        <w:rPr>
          <w:b/>
          <w:bCs/>
          <w:color w:val="2E74B5"/>
          <w:sz w:val="25"/>
          <w:szCs w:val="25"/>
        </w:rPr>
        <w:t xml:space="preserve">9.2 The chain</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   CAP-xxx-nnn</w:t>
      </w:r>
      <w:r>
        <w:rPr>
          <w:rFonts w:ascii="Consolas" w:cs="Consolas" w:eastAsia="Consolas" w:hAnsi="Consolas"/>
          <w:sz w:val="18"/>
          <w:szCs w:val="18"/>
        </w:rPr>
        <w:br/>
        <w:t xml:space="preserve">   -&gt; Platform Domain           PDS-04   DOM-xxx</w:t>
      </w:r>
      <w:r>
        <w:rPr>
          <w:rFonts w:ascii="Consolas" w:cs="Consolas" w:eastAsia="Consolas" w:hAnsi="Consolas"/>
          <w:sz w:val="18"/>
          <w:szCs w:val="18"/>
        </w:rPr>
        <w:br/>
        <w:t xml:space="preserve">   -&gt; Shared Business Object    PDS-05   SBO-nnn</w:t>
      </w:r>
      <w:r>
        <w:rPr>
          <w:rFonts w:ascii="Consolas" w:cs="Consolas" w:eastAsia="Consolas" w:hAnsi="Consolas"/>
          <w:sz w:val="18"/>
          <w:szCs w:val="18"/>
        </w:rPr>
        <w:br/>
        <w:t xml:space="preserve">   -&gt; Platform Service          PDS-07   PS-nnn</w:t>
      </w:r>
      <w:r>
        <w:rPr>
          <w:rFonts w:ascii="Consolas" w:cs="Consolas" w:eastAsia="Consolas" w:hAnsi="Consolas"/>
          <w:sz w:val="18"/>
          <w:szCs w:val="18"/>
        </w:rPr>
        <w:br/>
        <w:t xml:space="preserve">   -&gt; Business Process          CRS      BP-nnn</w:t>
      </w:r>
      <w:r>
        <w:rPr>
          <w:rFonts w:ascii="Consolas" w:cs="Consolas" w:eastAsia="Consolas" w:hAnsi="Consolas"/>
          <w:sz w:val="18"/>
          <w:szCs w:val="18"/>
        </w:rPr>
        <w:br/>
        <w:t xml:space="preserve">   -&gt; Business Rule             PDS-05   BR-nnn</w:t>
      </w:r>
      <w:r>
        <w:rPr>
          <w:rFonts w:ascii="Consolas" w:cs="Consolas" w:eastAsia="Consolas" w:hAnsi="Consolas"/>
          <w:sz w:val="18"/>
          <w:szCs w:val="18"/>
        </w:rPr>
        <w:br/>
        <w:t xml:space="preserve">   -&gt; Functional Requirement    CRS      FR-&lt;MOD&gt;-nnn</w:t>
      </w:r>
      <w:r>
        <w:rPr>
          <w:rFonts w:ascii="Consolas" w:cs="Consolas" w:eastAsia="Consolas" w:hAnsi="Consolas"/>
          <w:sz w:val="18"/>
          <w:szCs w:val="18"/>
        </w:rPr>
        <w:br/>
        <w:t xml:space="preserve">   -&gt; Screen                    Screens  SCR-nnn</w:t>
      </w:r>
      <w:r>
        <w:rPr>
          <w:rFonts w:ascii="Consolas" w:cs="Consolas" w:eastAsia="Consolas" w:hAnsi="Consolas"/>
          <w:sz w:val="18"/>
          <w:szCs w:val="18"/>
        </w:rPr>
        <w:br/>
        <w:t xml:space="preserve">   -&gt; API                       APIs     API-nnn</w:t>
      </w:r>
      <w:r>
        <w:rPr>
          <w:rFonts w:ascii="Consolas" w:cs="Consolas" w:eastAsia="Consolas" w:hAnsi="Consolas"/>
          <w:sz w:val="18"/>
          <w:szCs w:val="18"/>
        </w:rPr>
        <w:br/>
        <w:t xml:space="preserve">   -&gt; Database Entity           DB       derived from SBO</w:t>
      </w:r>
      <w:r>
        <w:rPr>
          <w:rFonts w:ascii="Consolas" w:cs="Consolas" w:eastAsia="Consolas" w:hAnsi="Consolas"/>
          <w:sz w:val="18"/>
          <w:szCs w:val="18"/>
        </w:rPr>
        <w:br/>
        <w:t xml:space="preserve">   -&gt; User Story                Backlog  US-nnn</w:t>
      </w:r>
      <w:r>
        <w:rPr>
          <w:rFonts w:ascii="Consolas" w:cs="Consolas" w:eastAsia="Consolas" w:hAnsi="Consolas"/>
          <w:sz w:val="18"/>
          <w:szCs w:val="18"/>
        </w:rPr>
        <w:br/>
        <w:t xml:space="preserve">   -&gt; Task  -&gt;  Test Case (TC-nnn)  -&gt;  Release</w:t>
      </w:r>
    </w:p>
    <w:p>
      <w:pPr>
        <w:pStyle w:val="Heading2"/>
        <w:spacing w:after="120" w:before="260"/>
      </w:pPr>
      <w:r>
        <w:rPr>
          <w:b/>
          <w:bCs/>
          <w:color w:val="2E74B5"/>
          <w:sz w:val="25"/>
          <w:szCs w:val="25"/>
        </w:rPr>
        <w:t xml:space="preserve">9.3 Obligations on each artifact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288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Must cite</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w:t>
            </w:r>
          </w:p>
        </w:tc>
        <w:tc>
          <w:tcPr>
            <w:tcW w:type="dxa" w:w="4332"/>
            <w:tcMar>
              <w:top w:type="dxa" w:w="60"/>
              <w:left w:type="dxa" w:w="100"/>
              <w:bottom w:type="dxa" w:w="60"/>
              <w:right w:type="dxa" w:w="100"/>
            </w:tcMar>
            <w:vAlign w:val="center"/>
          </w:tcPr>
          <w:p>
            <w:pPr>
              <w:spacing w:after="20" w:before="20"/>
            </w:pPr>
            <w:r>
              <w:rPr>
                <w:sz w:val="20"/>
                <w:szCs w:val="20"/>
              </w:rPr>
              <w:t xml:space="preserve">A subdomain, and therefore a domain.</w:t>
            </w:r>
          </w:p>
        </w:tc>
        <w:tc>
          <w:tcPr>
            <w:tcW w:type="dxa" w:w="2889"/>
            <w:tcMar>
              <w:top w:type="dxa" w:w="60"/>
              <w:left w:type="dxa" w:w="100"/>
              <w:bottom w:type="dxa" w:w="60"/>
              <w:right w:type="dxa" w:w="100"/>
            </w:tcMar>
            <w:vAlign w:val="center"/>
          </w:tcPr>
          <w:p>
            <w:pPr>
              <w:spacing w:after="20" w:before="20"/>
            </w:pPr>
            <w:r>
              <w:rPr>
                <w:sz w:val="20"/>
                <w:szCs w:val="20"/>
              </w:rPr>
              <w:t xml:space="preserve">PDS-02 catalog completeness.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hosting domain.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hosting matrix.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4332"/>
            <w:tcMar>
              <w:top w:type="dxa" w:w="60"/>
              <w:left w:type="dxa" w:w="100"/>
              <w:bottom w:type="dxa" w:w="60"/>
              <w:right w:type="dxa" w:w="100"/>
            </w:tcMar>
            <w:vAlign w:val="center"/>
          </w:tcPr>
          <w:p>
            <w:pPr>
              <w:spacing w:after="20" w:before="20"/>
            </w:pPr>
            <w:r>
              <w:rPr>
                <w:sz w:val="20"/>
                <w:szCs w:val="20"/>
              </w:rPr>
              <w:t xml:space="preserve">An enforcement point.</w:t>
            </w:r>
          </w:p>
        </w:tc>
        <w:tc>
          <w:tcPr>
            <w:tcW w:type="dxa" w:w="2889"/>
            <w:tcMar>
              <w:top w:type="dxa" w:w="60"/>
              <w:left w:type="dxa" w:w="100"/>
              <w:bottom w:type="dxa" w:w="60"/>
              <w:right w:type="dxa" w:w="100"/>
            </w:tcMar>
            <w:vAlign w:val="center"/>
          </w:tcPr>
          <w:p>
            <w:pPr>
              <w:spacing w:after="20" w:before="20"/>
            </w:pPr>
            <w:r>
              <w:rPr>
                <w:sz w:val="20"/>
                <w:szCs w:val="20"/>
              </w:rPr>
              <w:t xml:space="preserve">PDS-05 section 9.</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capability, a domain, the objects it acts on, and the rules it enforces.</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CRS review; no requirement without a CAP citation.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Screen</w:t>
            </w:r>
          </w:p>
        </w:tc>
        <w:tc>
          <w:tcPr>
            <w:tcW w:type="dxa" w:w="4332"/>
            <w:tcMar>
              <w:top w:type="dxa" w:w="60"/>
              <w:left w:type="dxa" w:w="100"/>
              <w:bottom w:type="dxa" w:w="60"/>
              <w:right w:type="dxa" w:w="100"/>
            </w:tcMar>
            <w:vAlign w:val="center"/>
          </w:tcPr>
          <w:p>
            <w:pPr>
              <w:spacing w:after="20" w:before="20"/>
            </w:pPr>
            <w:r>
              <w:rPr>
                <w:sz w:val="20"/>
                <w:szCs w:val="20"/>
              </w:rPr>
              <w:t xml:space="preserve">An object type and the requirements it satisfies.</w:t>
            </w:r>
          </w:p>
        </w:tc>
        <w:tc>
          <w:tcPr>
            <w:tcW w:type="dxa" w:w="288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service or a hosting domain, and a version.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 story</w:t>
            </w:r>
          </w:p>
        </w:tc>
        <w:tc>
          <w:tcPr>
            <w:tcW w:type="dxa" w:w="4332"/>
            <w:tcMar>
              <w:top w:type="dxa" w:w="60"/>
              <w:left w:type="dxa" w:w="100"/>
              <w:bottom w:type="dxa" w:w="60"/>
              <w:right w:type="dxa" w:w="100"/>
            </w:tcMar>
            <w:vAlign w:val="center"/>
          </w:tcPr>
          <w:p>
            <w:pPr>
              <w:spacing w:after="20" w:before="20"/>
            </w:pPr>
            <w:r>
              <w:rPr>
                <w:sz w:val="20"/>
                <w:szCs w:val="20"/>
              </w:rPr>
              <w:t xml:space="preserve">A functional requirement.</w:t>
            </w:r>
          </w:p>
        </w:tc>
        <w:tc>
          <w:tcPr>
            <w:tcW w:type="dxa" w:w="2889"/>
            <w:tcMar>
              <w:top w:type="dxa" w:w="60"/>
              <w:left w:type="dxa" w:w="100"/>
              <w:bottom w:type="dxa" w:w="60"/>
              <w:right w:type="dxa" w:w="100"/>
            </w:tcMar>
            <w:vAlign w:val="center"/>
          </w:tcPr>
          <w:p>
            <w:pPr>
              <w:spacing w:after="20" w:before="20"/>
            </w:pPr>
            <w:r>
              <w:rPr>
                <w:sz w:val="20"/>
                <w:szCs w:val="20"/>
              </w:rPr>
              <w:t xml:space="preserve">Backlog grooming.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requirement or a business rule.</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Test plan coverage report.</w:t>
            </w:r>
          </w:p>
        </w:tc>
      </w:tr>
    </w:tbl>
    <w:p>
      <w:pPr>
        <w:pStyle w:val="Heading2"/>
        <w:spacing w:after="120" w:before="260"/>
      </w:pPr>
      <w:r>
        <w:rPr>
          <w:b/>
          <w:bCs/>
          <w:color w:val="2E74B5"/>
          <w:sz w:val="25"/>
          <w:szCs w:val="25"/>
        </w:rPr>
        <w:t xml:space="preserve">9.4 Coverage measures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55"/>
        <w:gridCol w:w="3971"/>
      </w:tblGrid>
      <w:tr>
        <w:trPr>
          <w:tblHeader/>
        </w:trPr>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Capabilities with at least one functional requirement</w:t>
            </w:r>
          </w:p>
        </w:tc>
        <w:tc>
          <w:tcPr>
            <w:tcW w:type="dxa" w:w="3971"/>
            <w:tcMar>
              <w:top w:type="dxa" w:w="60"/>
              <w:left w:type="dxa" w:w="100"/>
              <w:bottom w:type="dxa" w:w="60"/>
              <w:right w:type="dxa" w:w="100"/>
            </w:tcMar>
            <w:vAlign w:val="center"/>
          </w:tcPr>
          <w:p>
            <w:pPr>
              <w:spacing w:after="20" w:before="20"/>
            </w:pPr>
            <w:r>
              <w:rPr>
                <w:sz w:val="20"/>
                <w:szCs w:val="20"/>
              </w:rPr>
              <w:t xml:space="preserve">100 percent of Release 1 scope</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 citing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Business rules with at least one test case</w:t>
            </w:r>
          </w:p>
        </w:tc>
        <w:tc>
          <w:tcPr>
            <w:tcW w:type="dxa" w:w="3971"/>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Requirements with acceptance criteria</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Orphan requirements</w:t>
            </w:r>
          </w:p>
        </w:tc>
        <w:tc>
          <w:tcPr>
            <w:tcW w:type="dxa" w:w="3971"/>
            <w:tcMar>
              <w:top w:type="dxa" w:w="60"/>
              <w:left w:type="dxa" w:w="100"/>
              <w:bottom w:type="dxa" w:w="60"/>
              <w:right w:type="dxa" w:w="100"/>
            </w:tcMar>
            <w:vAlign w:val="center"/>
          </w:tcPr>
          <w:p>
            <w:pPr>
              <w:spacing w:after="20" w:before="20"/>
            </w:pPr>
            <w:r>
              <w:rPr>
                <w:sz w:val="20"/>
                <w:szCs w:val="20"/>
              </w:rPr>
              <w:t xml:space="preserve">Zero</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Undocumented implemented behavior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Zero</w:t>
            </w:r>
          </w:p>
        </w:tc>
      </w:tr>
    </w:tbl>
    <w:p>
      <w:r>
        <w:br w:type="page"/>
      </w:r>
    </w:p>
    <w:p>
      <w:pPr>
        <w:pStyle w:val="Heading1"/>
        <w:spacing w:after="160" w:before="320"/>
      </w:pPr>
      <w:r>
        <w:rPr>
          <w:b/>
          <w:bCs/>
          <w:color w:val="1F4E79"/>
          <w:sz w:val="30"/>
          <w:szCs w:val="30"/>
        </w:rPr>
        <w:t xml:space="preserve">10. Platform Maturity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708"/>
        <w:gridCol w:w="559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Which principles it proves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708"/>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596"/>
            <w:tcMar>
              <w:top w:type="dxa" w:w="60"/>
              <w:left w:type="dxa" w:w="100"/>
              <w:bottom w:type="dxa" w:w="60"/>
              <w:right w:type="dxa" w:w="100"/>
            </w:tcMar>
            <w:vAlign w:val="center"/>
          </w:tcPr>
          <w:p>
            <w:pPr>
              <w:spacing w:after="20" w:before="20"/>
            </w:pPr>
            <w:r>
              <w:rPr>
                <w:sz w:val="20"/>
                <w:szCs w:val="20"/>
              </w:rPr>
              <w:t xml:space="preserve">AP-004 and EP-001: the platform is operable and sellable with one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AP-001, AP-002 and AP-005: multiple modules coexist over one object model.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708"/>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596"/>
            <w:tcMar>
              <w:top w:type="dxa" w:w="60"/>
              <w:left w:type="dxa" w:w="100"/>
              <w:bottom w:type="dxa" w:w="60"/>
              <w:right w:type="dxa" w:w="100"/>
            </w:tcMar>
            <w:vAlign w:val="center"/>
          </w:tcPr>
          <w:p>
            <w:pPr>
              <w:spacing w:after="20" w:before="20"/>
            </w:pPr>
            <w:r>
              <w:rPr>
                <w:sz w:val="20"/>
                <w:szCs w:val="20"/>
              </w:rPr>
              <w:t xml:space="preserve">RPT-01 to RPT-07: the intelligence layer consumes everything and nothing depends on it.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AP-003 and the PDS-08 isolation rules: third parties build on the platform.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708"/>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596"/>
            <w:tcMar>
              <w:top w:type="dxa" w:w="60"/>
              <w:left w:type="dxa" w:w="100"/>
              <w:bottom w:type="dxa" w:w="60"/>
              <w:right w:type="dxa" w:w="100"/>
            </w:tcMar>
            <w:vAlign w:val="center"/>
          </w:tcPr>
          <w:p>
            <w:pPr>
              <w:spacing w:after="20" w:before="20"/>
            </w:pPr>
            <w:r>
              <w:rPr>
                <w:sz w:val="20"/>
                <w:szCs w:val="20"/>
              </w:rPr>
              <w:t xml:space="preserve">AP-006: industry solutions are configurations, not forks.</w:t>
            </w:r>
          </w:p>
        </w:tc>
      </w:tr>
    </w:tbl>
    <w:p>
      <w:r>
        <w:br w:type="page"/>
      </w:r>
    </w:p>
    <w:p>
      <w:pPr>
        <w:pStyle w:val="Heading1"/>
        <w:spacing w:after="160" w:before="320"/>
      </w:pPr>
      <w:r>
        <w:rPr>
          <w:b/>
          <w:bCs/>
          <w:color w:val="1F4E79"/>
          <w:sz w:val="30"/>
          <w:szCs w:val="30"/>
        </w:rPr>
        <w:t xml:space="preserve">11. Exceptions and Enforcement</w:t>
      </w:r>
    </w:p>
    <w:p>
      <w:pPr>
        <w:pStyle w:val="Heading2"/>
        <w:spacing w:after="120" w:before="260"/>
      </w:pPr>
      <w:r>
        <w:rPr>
          <w:b/>
          <w:bCs/>
          <w:color w:val="2E74B5"/>
          <w:sz w:val="25"/>
          <w:szCs w:val="25"/>
        </w:rPr>
        <w:t xml:space="preserve">11.1 How an exception is granted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Step</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1. Raise</w:t>
            </w:r>
          </w:p>
        </w:tc>
        <w:tc>
          <w:tcPr>
            <w:tcW w:type="dxa" w:w="7582"/>
            <w:tcMar>
              <w:top w:type="dxa" w:w="60"/>
              <w:left w:type="dxa" w:w="100"/>
              <w:bottom w:type="dxa" w:w="60"/>
              <w:right w:type="dxa" w:w="100"/>
            </w:tcMar>
            <w:vAlign w:val="center"/>
          </w:tcPr>
          <w:p>
            <w:pPr>
              <w:spacing w:after="20" w:before="20"/>
            </w:pPr>
            <w:r>
              <w:rPr>
                <w:sz w:val="20"/>
                <w:szCs w:val="20"/>
              </w:rPr>
              <w:t xml:space="preserve">The exception is raised as an Architecture Decision Record in PDS-14, naming the principle and the specific case.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 Justify</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why compliance is not possible, what was attempted, and the cost of compliance.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3. Bound</w:t>
            </w:r>
          </w:p>
        </w:tc>
        <w:tc>
          <w:tcPr>
            <w:tcW w:type="dxa" w:w="7582"/>
            <w:tcMar>
              <w:top w:type="dxa" w:w="60"/>
              <w:left w:type="dxa" w:w="100"/>
              <w:bottom w:type="dxa" w:w="60"/>
              <w:right w:type="dxa" w:w="100"/>
            </w:tcMar>
            <w:vAlign w:val="center"/>
          </w:tcPr>
          <w:p>
            <w:pPr>
              <w:spacing w:after="20" w:before="20"/>
            </w:pPr>
            <w:r>
              <w:rPr>
                <w:sz w:val="20"/>
                <w:szCs w:val="20"/>
              </w:rPr>
              <w:t xml:space="preserve">Every exception is scoped to a named component and time-bounded with a removal date.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 Mitigate</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how the risk the principle protects against is otherwise mitigated.</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5. Approve</w:t>
            </w:r>
          </w:p>
        </w:tc>
        <w:tc>
          <w:tcPr>
            <w:tcW w:type="dxa" w:w="7582"/>
            <w:tcMar>
              <w:top w:type="dxa" w:w="60"/>
              <w:left w:type="dxa" w:w="100"/>
              <w:bottom w:type="dxa" w:w="60"/>
              <w:right w:type="dxa" w:w="100"/>
            </w:tcMar>
            <w:vAlign w:val="center"/>
          </w:tcPr>
          <w:p>
            <w:pPr>
              <w:spacing w:after="20" w:before="20"/>
            </w:pPr>
            <w:r>
              <w:rPr>
                <w:sz w:val="20"/>
                <w:szCs w:val="20"/>
              </w:rPr>
              <w:t xml:space="preserve">Chief Architect and Product Owner. An exception to AP-001, GR-001 or any evidentiary rule additionally requires the Security Lead.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 Track</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Open exceptions are reviewed at every release. An expired exception is a release blocker.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ADR rather than quietly ignored.</w:t>
      </w:r>
    </w:p>
    <w:p>
      <w:pPr>
        <w:pStyle w:val="Heading2"/>
        <w:spacing w:after="120" w:before="260"/>
      </w:pPr>
      <w:r>
        <w:rPr>
          <w:b/>
          <w:bCs/>
          <w:color w:val="2E74B5"/>
          <w:sz w:val="25"/>
          <w:szCs w:val="25"/>
        </w:rPr>
        <w:t xml:space="preserve">11.2 Enforcement points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Stage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is enforced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By whom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review</w:t>
            </w:r>
          </w:p>
        </w:tc>
        <w:tc>
          <w:tcPr>
            <w:tcW w:type="dxa" w:w="4513"/>
            <w:tcMar>
              <w:top w:type="dxa" w:w="60"/>
              <w:left w:type="dxa" w:w="100"/>
              <w:bottom w:type="dxa" w:w="60"/>
              <w:right w:type="dxa" w:w="100"/>
            </w:tcMar>
            <w:vAlign w:val="center"/>
          </w:tcPr>
          <w:p>
            <w:pPr>
              <w:spacing w:after="20" w:before="20"/>
            </w:pPr>
            <w:r>
              <w:rPr>
                <w:sz w:val="20"/>
                <w:szCs w:val="20"/>
              </w:rPr>
              <w:t xml:space="preserve">Every principle. A document that violates one is not frozen.</w:t>
            </w:r>
          </w:p>
        </w:tc>
        <w:tc>
          <w:tcPr>
            <w:tcW w:type="dxa" w:w="2347"/>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Module registration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AP-001, AP-004, GR-008, ER-01 to ER-07. Registration is refused automatically.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automatically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Continuous integration</w:t>
            </w:r>
          </w:p>
        </w:tc>
        <w:tc>
          <w:tcPr>
            <w:tcW w:type="dxa" w:w="4513"/>
            <w:tcMar>
              <w:top w:type="dxa" w:w="60"/>
              <w:left w:type="dxa" w:w="100"/>
              <w:bottom w:type="dxa" w:w="60"/>
              <w:right w:type="dxa" w:w="100"/>
            </w:tcMar>
            <w:vAlign w:val="center"/>
          </w:tcPr>
          <w:p>
            <w:pPr>
              <w:spacing w:after="20" w:before="20"/>
            </w:pPr>
            <w:r>
              <w:rPr>
                <w:sz w:val="20"/>
                <w:szCs w:val="20"/>
              </w:rPr>
              <w:t xml:space="preserve">DEV-01 to DEV-10, and the PDS-08 conformance suite.</w:t>
            </w:r>
          </w:p>
        </w:tc>
        <w:tc>
          <w:tcPr>
            <w:tcW w:type="dxa" w:w="2347"/>
            <w:tcMar>
              <w:top w:type="dxa" w:w="60"/>
              <w:left w:type="dxa" w:w="100"/>
              <w:bottom w:type="dxa" w:w="60"/>
              <w:right w:type="dxa" w:w="100"/>
            </w:tcMar>
            <w:vAlign w:val="center"/>
          </w:tcPr>
          <w:p>
            <w:pPr>
              <w:spacing w:after="20" w:before="20"/>
            </w:pPr>
            <w:r>
              <w:rPr>
                <w:sz w:val="20"/>
                <w:szCs w:val="20"/>
              </w:rPr>
              <w:t xml:space="preserve">Automated, blocking the build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 review</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AP-002, AP-006, DEV-03, DEV-04.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Engineering leads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Release certification</w:t>
            </w:r>
          </w:p>
        </w:tc>
        <w:tc>
          <w:tcPr>
            <w:tcW w:type="dxa" w:w="4513"/>
            <w:tcMar>
              <w:top w:type="dxa" w:w="60"/>
              <w:left w:type="dxa" w:w="100"/>
              <w:bottom w:type="dxa" w:w="60"/>
              <w:right w:type="dxa" w:w="100"/>
            </w:tcMar>
            <w:vAlign w:val="center"/>
          </w:tcPr>
          <w:p>
            <w:pPr>
              <w:spacing w:after="20" w:before="20"/>
            </w:pPr>
            <w:r>
              <w:rPr>
                <w:sz w:val="20"/>
                <w:szCs w:val="20"/>
              </w:rPr>
              <w:t xml:space="preserve">The full PDS-08 conformance suite plus open exception review.</w:t>
            </w:r>
          </w:p>
        </w:tc>
        <w:tc>
          <w:tcPr>
            <w:tcW w:type="dxa" w:w="2347"/>
            <w:tcMar>
              <w:top w:type="dxa" w:w="60"/>
              <w:left w:type="dxa" w:w="100"/>
              <w:bottom w:type="dxa" w:w="60"/>
              <w:right w:type="dxa" w:w="100"/>
            </w:tcMar>
            <w:vAlign w:val="center"/>
          </w:tcPr>
          <w:p>
            <w:pPr>
              <w:spacing w:after="20" w:before="20"/>
            </w:pPr>
            <w:r>
              <w:rPr>
                <w:sz w:val="20"/>
                <w:szCs w:val="20"/>
              </w:rPr>
              <w:t xml:space="preserve">QA Lead and 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Operational monitoring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Service level targets in PDS-07; alarm delivery and escalation.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operations</w:t>
            </w:r>
          </w:p>
        </w:tc>
      </w:tr>
    </w:tbl>
    <w:p>
      <w:pPr>
        <w:pStyle w:val="Heading2"/>
        <w:spacing w:after="120" w:before="260"/>
      </w:pPr>
      <w:r>
        <w:rPr>
          <w:b/>
          <w:bCs/>
          <w:color w:val="2E74B5"/>
          <w:sz w:val="25"/>
          <w:szCs w:val="25"/>
        </w:rPr>
        <w:t xml:space="preserve">11.3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37 principles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principle in PDS-01 appears here with the same identifier and wording.</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governance rule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compliance test names an executable check or a named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GS-001 states coverage measures with targets.</w:t>
            </w:r>
          </w:p>
        </w:tc>
        <w:tc>
          <w:tcPr>
            <w:tcW w:type="dxa" w:w="3249"/>
            <w:tcMar>
              <w:top w:type="dxa" w:w="60"/>
              <w:left w:type="dxa" w:w="100"/>
              <w:bottom w:type="dxa" w:w="60"/>
              <w:right w:type="dxa" w:w="100"/>
            </w:tcMar>
            <w:vAlign w:val="center"/>
          </w:tcPr>
          <w:p>
            <w:pPr>
              <w:spacing w:after="20" w:before="20"/>
            </w:pPr>
            <w:r>
              <w:rPr>
                <w:sz w:val="20"/>
                <w:szCs w:val="20"/>
              </w:rPr>
              <w:t xml:space="preserve">Pass — section 9.4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11.1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class has an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11.2</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PDS-09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PDS-09 — Engineering Principles</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PDS-09 Engineering Principles</dc:title>
  <dc:creator>Trangant</dc:creator>
  <dc:description>Product Design Specification — Platform Services</dc:description>
  <cp:lastModifiedBy>Un-named</cp:lastModifiedBy>
  <cp:revision>1</cp:revision>
  <dcterms:created xsi:type="dcterms:W3CDTF">2026-08-13T19:05:03.757Z</dcterms:created>
  <dcterms:modified xsi:type="dcterms:W3CDTF">2026-08-13T19:05:03.758Z</dcterms:modified>
</cp:coreProperties>
</file>

<file path=docProps/custom.xml><?xml version="1.0" encoding="utf-8"?>
<Properties xmlns="http://schemas.openxmlformats.org/officeDocument/2006/custom-properties" xmlns:vt="http://schemas.openxmlformats.org/officeDocument/2006/docPropsVTypes"/>
</file>