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p>
    <w:p>
      <w:pPr>
        <w:spacing w:after="60" w:before="0"/>
        <w:jc w:val="center"/>
      </w:pPr>
      <w:r>
        <w:rPr>
          <w:rFonts w:ascii="Calibri" w:cs="Calibri" w:eastAsia="Calibri" w:hAnsi="Calibri"/>
          <w:b/>
          <w:bCs/>
          <w:color w:val="64748B"/>
          <w:spacing w:val="80"/>
          <w:sz w:val="22"/>
          <w:szCs w:val="22"/>
        </w:rPr>
        <w:t xml:space="preserve">W H I T E  P A P E R</w:t>
      </w:r>
    </w:p>
    <w:p>
      <w:pPr>
        <w:spacing w:after="60" w:before="60"/>
        <w:jc w:val="center"/>
      </w:pPr>
      <w:r>
        <w:rPr>
          <w:rFonts w:ascii="Georgia" w:cs="Georgia" w:eastAsia="Georgia" w:hAnsi="Georgia"/>
          <w:b/>
          <w:bCs/>
          <w:color w:val="0D1F3C"/>
          <w:sz w:val="52"/>
          <w:szCs w:val="52"/>
        </w:rPr>
        <w:t xml:space="preserve">The Gender Cancer Divide</w:t>
      </w:r>
    </w:p>
    <w:p>
      <w:pPr>
        <w:spacing w:after="240" w:before="0"/>
        <w:jc w:val="center"/>
      </w:pPr>
      <w:r>
        <w:rPr>
          <w:rFonts w:ascii="Calibri" w:cs="Calibri" w:eastAsia="Calibri" w:hAnsi="Calibri"/>
          <w:color w:val="1E6BB8"/>
          <w:sz w:val="26"/>
          <w:szCs w:val="26"/>
        </w:rPr>
        <w:t xml:space="preserve">A Data Analysis of Worldwide Cancer Mortality by Sex</w:t>
      </w:r>
    </w:p>
    <w:p>
      <w:pPr>
        <w:pBdr>
          <w:bottom w:val="single" w:color="0D1F3C" w:sz="6"/>
        </w:pBdr>
        <w:spacing w:after="60" w:before="60"/>
      </w:pPr>
    </w:p>
    <w:p>
      <w:pPr>
        <w:spacing w:after="0" w:before="120"/>
      </w:pPr>
    </w:p>
    <w:p>
      <w:pPr>
        <w:spacing w:after="60" w:before="0"/>
        <w:jc w:val="center"/>
      </w:pPr>
      <w:r>
        <w:rPr>
          <w:rFonts w:ascii="Georgia" w:cs="Georgia" w:eastAsia="Georgia" w:hAnsi="Georgia"/>
          <w:b/>
          <w:bCs/>
          <w:color w:val="0D1F3C"/>
          <w:sz w:val="28"/>
          <w:szCs w:val="28"/>
        </w:rPr>
        <w:t xml:space="preserve">Mostapha Balon</w:t>
      </w:r>
    </w:p>
    <w:p>
      <w:pPr>
        <w:spacing w:after="60" w:before="0"/>
        <w:jc w:val="center"/>
      </w:pPr>
      <w:r>
        <w:rPr>
          <w:rFonts w:ascii="Calibri" w:cs="Calibri" w:eastAsia="Calibri" w:hAnsi="Calibri"/>
          <w:color w:val="64748B"/>
          <w:sz w:val="24"/>
          <w:szCs w:val="24"/>
        </w:rPr>
        <w:t xml:space="preserve">DSC 680 · Bellevue University</w:t>
      </w:r>
    </w:p>
    <w:p>
      <w:pPr>
        <w:spacing w:after="360" w:before="0"/>
        <w:jc w:val="center"/>
      </w:pPr>
      <w:r>
        <w:rPr>
          <w:rFonts w:ascii="Calibri" w:cs="Calibri" w:eastAsia="Calibri" w:hAnsi="Calibri"/>
          <w:color w:val="64748B"/>
          <w:sz w:val="24"/>
          <w:szCs w:val="24"/>
        </w:rPr>
        <w:t xml:space="preserve">April 5,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B8" w:sz="8"/>
              <w:left w:val="single" w:color="1E6BB8" w:sz="8"/>
              <w:bottom w:val="single" w:color="1E6BB8" w:sz="8"/>
              <w:right w:val="single" w:color="1E6BB8" w:sz="8"/>
            </w:tcBorders>
            <w:shd w:fill="EBF2FB" w:val="clear"/>
            <w:tcMar>
              <w:top w:type="dxa" w:w="160"/>
              <w:left w:type="dxa" w:w="240"/>
              <w:bottom w:type="dxa" w:w="160"/>
              <w:right w:type="dxa" w:w="240"/>
            </w:tcMar>
          </w:tcPr>
          <w:p>
            <w:pPr>
              <w:spacing w:after="80" w:before="0"/>
            </w:pPr>
            <w:r>
              <w:rPr>
                <w:rFonts w:ascii="Calibri" w:cs="Calibri" w:eastAsia="Calibri" w:hAnsi="Calibri"/>
                <w:b/>
                <w:bCs/>
                <w:color w:val="1E6BB8"/>
                <w:spacing w:val="60"/>
                <w:sz w:val="22"/>
                <w:szCs w:val="22"/>
              </w:rPr>
              <w:t xml:space="preserve">A B S T R A C T</w:t>
            </w:r>
          </w:p>
          <w:p>
            <w:pPr>
              <w:spacing w:after="120" w:before="0" w:line="340" w:lineRule="auto"/>
              <w:jc w:val="both"/>
            </w:pPr>
            <w:r>
              <w:rPr>
                <w:rFonts w:ascii="Calibri" w:cs="Calibri" w:eastAsia="Calibri" w:hAnsi="Calibri"/>
                <w:color w:val="1A1A2E"/>
                <w:sz w:val="22"/>
                <w:szCs w:val="22"/>
              </w:rPr>
              <w:t xml:space="preserve">Cancer does not affect men and women equally. Using global mortality data spanning 1950–2019 from the Global Burden of Disease Study, this paper examines how the cancer death burden differs by sex, why lung cancer has historically dominated male mortality, and the share attributable to modifiable risk factors. The analysis shows that male-predominant cancers carry a substantial and underappreciated death toll, that the lung cancer gender gap is behavioral in origin, and that over a quarter of all cancer deaths remain preventable. Recommendations focus on sex-disaggregated public health messaging and equity-centered screening investment.</w:t>
            </w:r>
          </w:p>
          <w:p>
            <w:pPr>
              <w:spacing w:after="0" w:before="0"/>
            </w:pPr>
            <w:r>
              <w:rPr>
                <w:rFonts w:ascii="Calibri" w:cs="Calibri" w:eastAsia="Calibri" w:hAnsi="Calibri"/>
                <w:b/>
                <w:bCs/>
                <w:color w:val="0D1F3C"/>
                <w:sz w:val="20"/>
                <w:szCs w:val="20"/>
              </w:rPr>
              <w:t xml:space="preserve">Keywords: </w:t>
            </w:r>
            <w:r>
              <w:rPr>
                <w:rFonts w:ascii="Calibri" w:cs="Calibri" w:eastAsia="Calibri" w:hAnsi="Calibri"/>
                <w:color w:val="64748B"/>
                <w:sz w:val="20"/>
                <w:szCs w:val="20"/>
              </w:rPr>
              <w:t xml:space="preserve">cancer epidemiology · sex disparity · lung cancer · tobacco · global health</w:t>
            </w:r>
          </w:p>
          <w:p>
            <w:pPr>
              <w:spacing w:after="0" w:before="60"/>
            </w:pPr>
            <w:r>
              <w:rPr>
                <w:rFonts w:ascii="Calibri" w:cs="Calibri" w:eastAsia="Calibri" w:hAnsi="Calibri"/>
                <w:b/>
                <w:bCs/>
                <w:color w:val="0D1F3C"/>
                <w:sz w:val="20"/>
                <w:szCs w:val="20"/>
              </w:rPr>
              <w:t xml:space="preserve">Data: </w:t>
            </w:r>
            <w:r>
              <w:rPr>
                <w:rFonts w:ascii="Calibri" w:cs="Calibri" w:eastAsia="Calibri" w:hAnsi="Calibri"/>
                <w:color w:val="64748B"/>
                <w:sz w:val="20"/>
                <w:szCs w:val="20"/>
              </w:rPr>
              <w:t xml:space="preserve">IHME Global Burden of Disease Study 2019 · Our World in Data (2022)</w:t>
            </w:r>
          </w:p>
        </w:tc>
      </w:tr>
    </w:tbl>
    <w:p>
      <w:pPr>
        <w:spacing w:after="0" w:before="240"/>
      </w:pPr>
    </w:p>
    <w:p>
      <w:r>
        <w:br w:type="page"/>
      </w:r>
    </w:p>
    <w:p>
      <w:pPr>
        <w:pStyle w:val="Heading1"/>
        <w:spacing w:after="120" w:before="360"/>
      </w:pPr>
      <w:r>
        <w:rPr>
          <w:rFonts w:ascii="Georgia" w:cs="Georgia" w:eastAsia="Georgia" w:hAnsi="Georgia"/>
          <w:b/>
          <w:bCs/>
          <w:color w:val="0D1F3C"/>
          <w:sz w:val="32"/>
          <w:szCs w:val="32"/>
        </w:rPr>
        <w:t xml:space="preserve">1. Business Problem</w:t>
      </w:r>
    </w:p>
    <w:p>
      <w:pPr>
        <w:pBdr>
          <w:bottom w:val="single" w:color="1E6BB8" w:sz="6"/>
        </w:pBdr>
        <w:spacing w:after="160" w:before="0"/>
      </w:pPr>
    </w:p>
    <w:p>
      <w:pPr>
        <w:spacing w:after="160" w:before="0" w:line="360" w:lineRule="auto"/>
        <w:jc w:val="both"/>
      </w:pPr>
      <w:r>
        <w:rPr>
          <w:rFonts w:ascii="Calibri" w:cs="Calibri" w:eastAsia="Calibri" w:hAnsi="Calibri"/>
          <w:color w:val="1A1A2E"/>
          <w:sz w:val="24"/>
          <w:szCs w:val="24"/>
        </w:rPr>
        <w:t xml:space="preserve">Resources for cancer screening and prevention are limited, requiring allocation decisions aligned with global disease burden. According to the International Agency for Research on Cancer (IARC, 2022), lung cancer is the leading cause of cancer death at 18–19% of global totals, yet cancer mortality is higher among males (55–56% of deaths; age-standardized rate ~105–110 per 100,000 vs. ~75–80 for females). This analysis aims to:</w:t>
      </w:r>
    </w:p>
    <w:p>
      <w:pPr>
        <w:pStyle w:val="ListParagraph"/>
        <w:numPr>
          <w:ilvl w:val="0"/>
          <w:numId w:val="2"/>
        </w:numPr>
        <w:spacing w:after="100" w:before="0"/>
      </w:pPr>
      <w:r>
        <w:rPr>
          <w:rFonts w:ascii="Calibri" w:cs="Calibri" w:eastAsia="Calibri" w:hAnsi="Calibri"/>
          <w:color w:val="1A1A2E"/>
          <w:sz w:val="24"/>
          <w:szCs w:val="24"/>
        </w:rPr>
        <w:t xml:space="preserve">Quantify sex-based differences in cancer mortality</w:t>
      </w:r>
    </w:p>
    <w:p>
      <w:pPr>
        <w:pStyle w:val="ListParagraph"/>
        <w:numPr>
          <w:ilvl w:val="0"/>
          <w:numId w:val="2"/>
        </w:numPr>
        <w:spacing w:after="100" w:before="0"/>
      </w:pPr>
      <w:r>
        <w:rPr>
          <w:rFonts w:ascii="Calibri" w:cs="Calibri" w:eastAsia="Calibri" w:hAnsi="Calibri"/>
          <w:color w:val="1A1A2E"/>
          <w:sz w:val="24"/>
          <w:szCs w:val="24"/>
        </w:rPr>
        <w:t xml:space="preserve">Examine lung cancer trends and tobacco exposure over time</w:t>
      </w:r>
    </w:p>
    <w:p>
      <w:pPr>
        <w:pStyle w:val="ListParagraph"/>
        <w:numPr>
          <w:ilvl w:val="0"/>
          <w:numId w:val="2"/>
        </w:numPr>
        <w:spacing w:after="100" w:before="0"/>
      </w:pPr>
      <w:r>
        <w:rPr>
          <w:rFonts w:ascii="Calibri" w:cs="Calibri" w:eastAsia="Calibri" w:hAnsi="Calibri"/>
          <w:color w:val="1A1A2E"/>
          <w:sz w:val="24"/>
          <w:szCs w:val="24"/>
        </w:rPr>
        <w:t xml:space="preserve">Assess the role of modifiable risk factors in explaining the male cancer burden</w:t>
      </w:r>
    </w:p>
    <w:p>
      <w:pPr>
        <w:spacing w:after="0" w:before="80"/>
      </w:pPr>
    </w:p>
    <w:p>
      <w:pPr>
        <w:pStyle w:val="Heading1"/>
        <w:spacing w:after="120" w:before="360"/>
      </w:pPr>
      <w:r>
        <w:rPr>
          <w:rFonts w:ascii="Georgia" w:cs="Georgia" w:eastAsia="Georgia" w:hAnsi="Georgia"/>
          <w:b/>
          <w:bCs/>
          <w:color w:val="0D1F3C"/>
          <w:sz w:val="32"/>
          <w:szCs w:val="32"/>
        </w:rPr>
        <w:t xml:space="preserve">2. Background and History</w:t>
      </w:r>
    </w:p>
    <w:p>
      <w:pPr>
        <w:pBdr>
          <w:bottom w:val="single" w:color="1E6BB8" w:sz="6"/>
        </w:pBdr>
        <w:spacing w:after="160" w:before="0"/>
      </w:pPr>
    </w:p>
    <w:p>
      <w:pPr>
        <w:spacing w:after="160" w:before="0" w:line="360" w:lineRule="auto"/>
        <w:jc w:val="both"/>
      </w:pPr>
      <w:r>
        <w:rPr>
          <w:rFonts w:ascii="Calibri" w:cs="Calibri" w:eastAsia="Calibri" w:hAnsi="Calibri"/>
          <w:color w:val="1A1A2E"/>
          <w:sz w:val="24"/>
          <w:szCs w:val="24"/>
        </w:rPr>
        <w:t xml:space="preserve">Breast cancer advocacy in the 1970s–80s became the dominant global prevention frame, creating an asymmetry in public perception relative to overall burden. Lung cancer has been the leading cause of cancer death since the 1980s, killing predominantly men for most of the 20th century (Bray et al., 2018). The tobacco–cancer link — established by Doll and Hill in 1950 — explains why lung, laryngeal, and esophageal cancers skew male: male smoking prevalence has historically been two to three times higher than female rates globally (WHO, 2023), and the 20-to-30-year lag between peak smoking and peak mortality continues shaping current data (Siegel et al., 2022).</w:t>
      </w:r>
    </w:p>
    <w:p>
      <w:pPr>
        <w:pStyle w:val="Heading1"/>
        <w:spacing w:after="120" w:before="360"/>
      </w:pPr>
      <w:r>
        <w:rPr>
          <w:rFonts w:ascii="Georgia" w:cs="Georgia" w:eastAsia="Georgia" w:hAnsi="Georgia"/>
          <w:b/>
          <w:bCs/>
          <w:color w:val="0D1F3C"/>
          <w:sz w:val="32"/>
          <w:szCs w:val="32"/>
        </w:rPr>
        <w:t xml:space="preserve">3. Data Explanation</w:t>
      </w:r>
    </w:p>
    <w:p>
      <w:pPr>
        <w:pBdr>
          <w:bottom w:val="single" w:color="1E6BB8" w:sz="6"/>
        </w:pBdr>
        <w:spacing w:after="160" w:before="0"/>
      </w:pPr>
    </w:p>
    <w:p>
      <w:pPr>
        <w:spacing w:after="160" w:before="0" w:line="360" w:lineRule="auto"/>
        <w:jc w:val="both"/>
      </w:pPr>
      <w:r>
        <w:rPr>
          <w:rFonts w:ascii="Calibri" w:cs="Calibri" w:eastAsia="Calibri" w:hAnsi="Calibri"/>
          <w:color w:val="1A1A2E"/>
          <w:sz w:val="24"/>
          <w:szCs w:val="24"/>
        </w:rPr>
        <w:t xml:space="preserve">All data were sourced from Our World in Data's cancer dataset archive (2022), drawing on the Global Burden of Disease Study 2019 (IHME). Five primary CSV files were used:</w:t>
      </w:r>
    </w:p>
    <w:p>
      <w:pPr>
        <w:pStyle w:val="ListParagraph"/>
        <w:numPr>
          <w:ilvl w:val="0"/>
          <w:numId w:val="2"/>
        </w:numPr>
        <w:spacing w:after="100" w:before="0"/>
      </w:pPr>
      <w:r>
        <w:rPr>
          <w:rFonts w:ascii="Calibri" w:cs="Calibri" w:eastAsia="Calibri" w:hAnsi="Calibri"/>
          <w:color w:val="1A1A2E"/>
          <w:sz w:val="24"/>
          <w:szCs w:val="24"/>
        </w:rPr>
        <w:t xml:space="preserve">cancer-deaths-by-type-grouped (RQ1, 1990–2016)</w:t>
      </w:r>
    </w:p>
    <w:p>
      <w:pPr>
        <w:pStyle w:val="ListParagraph"/>
        <w:numPr>
          <w:ilvl w:val="0"/>
          <w:numId w:val="2"/>
        </w:numPr>
        <w:spacing w:after="100" w:before="0"/>
      </w:pPr>
      <w:r>
        <w:rPr>
          <w:rFonts w:ascii="Calibri" w:cs="Calibri" w:eastAsia="Calibri" w:hAnsi="Calibri"/>
          <w:color w:val="1A1A2E"/>
          <w:sz w:val="24"/>
          <w:szCs w:val="24"/>
        </w:rPr>
        <w:t xml:space="preserve">lung-cancer-deaths-per-100k-by-sex (RQ2, 1950–2020)</w:t>
      </w:r>
    </w:p>
    <w:p>
      <w:pPr>
        <w:pStyle w:val="ListParagraph"/>
        <w:numPr>
          <w:ilvl w:val="0"/>
          <w:numId w:val="2"/>
        </w:numPr>
        <w:spacing w:after="100" w:before="0"/>
      </w:pPr>
      <w:r>
        <w:rPr>
          <w:rFonts w:ascii="Calibri" w:cs="Calibri" w:eastAsia="Calibri" w:hAnsi="Calibri"/>
          <w:color w:val="1A1A2E"/>
          <w:sz w:val="24"/>
          <w:szCs w:val="24"/>
        </w:rPr>
        <w:t xml:space="preserve">cancer-deaths-attributed-to-tobacco (RQ3, 1990–2019)</w:t>
      </w:r>
    </w:p>
    <w:p>
      <w:pPr>
        <w:pStyle w:val="ListParagraph"/>
        <w:numPr>
          <w:ilvl w:val="0"/>
          <w:numId w:val="2"/>
        </w:numPr>
        <w:spacing w:after="100" w:before="0"/>
      </w:pPr>
      <w:r>
        <w:rPr>
          <w:rFonts w:ascii="Calibri" w:cs="Calibri" w:eastAsia="Calibri" w:hAnsi="Calibri"/>
          <w:color w:val="1A1A2E"/>
          <w:sz w:val="24"/>
          <w:szCs w:val="24"/>
        </w:rPr>
        <w:t xml:space="preserve">cancer-deaths-attributed-to-risk-factors (RQ3, 2019)</w:t>
      </w:r>
    </w:p>
    <w:p>
      <w:pPr>
        <w:pStyle w:val="ListParagraph"/>
        <w:numPr>
          <w:ilvl w:val="0"/>
          <w:numId w:val="2"/>
        </w:numPr>
        <w:spacing w:after="100" w:before="0"/>
      </w:pPr>
      <w:r>
        <w:rPr>
          <w:rFonts w:ascii="Calibri" w:cs="Calibri" w:eastAsia="Calibri" w:hAnsi="Calibri"/>
          <w:color w:val="1A1A2E"/>
          <w:sz w:val="24"/>
          <w:szCs w:val="24"/>
        </w:rPr>
        <w:t xml:space="preserve">five-year-survival-rates-by-cancer-type (~1999–2009)</w:t>
      </w:r>
    </w:p>
    <w:p>
      <w:pPr>
        <w:spacing w:after="0" w:before="80"/>
      </w:pPr>
    </w:p>
    <w:p>
      <w:pPr>
        <w:spacing w:after="160" w:before="0" w:line="360" w:lineRule="auto"/>
        <w:jc w:val="both"/>
      </w:pPr>
      <w:r>
        <w:rPr>
          <w:rFonts w:ascii="Calibri" w:cs="Calibri" w:eastAsia="Calibri" w:hAnsi="Calibri"/>
          <w:color w:val="1A1A2E"/>
          <w:sz w:val="24"/>
          <w:szCs w:val="24"/>
        </w:rPr>
        <w:t xml:space="preserve">All files were filtered to World-level aggregates; age-standardized rates were used throughout to enable valid cross-sex comparison.</w:t>
      </w:r>
    </w:p>
    <w:p>
      <w:pPr>
        <w:pStyle w:val="Heading1"/>
        <w:spacing w:after="120" w:before="360"/>
      </w:pPr>
      <w:r>
        <w:rPr>
          <w:rFonts w:ascii="Georgia" w:cs="Georgia" w:eastAsia="Georgia" w:hAnsi="Georgia"/>
          <w:b/>
          <w:bCs/>
          <w:color w:val="0D1F3C"/>
          <w:sz w:val="32"/>
          <w:szCs w:val="32"/>
        </w:rPr>
        <w:t xml:space="preserve">4. Methods</w:t>
      </w:r>
    </w:p>
    <w:p>
      <w:pPr>
        <w:pBdr>
          <w:bottom w:val="single" w:color="1E6BB8" w:sz="6"/>
        </w:pBdr>
        <w:spacing w:after="160" w:before="0"/>
      </w:pPr>
    </w:p>
    <w:p>
      <w:pPr>
        <w:spacing w:after="160" w:before="0" w:line="360" w:lineRule="auto"/>
        <w:jc w:val="both"/>
      </w:pPr>
      <w:r>
        <w:rPr>
          <w:rFonts w:ascii="Calibri" w:cs="Calibri" w:eastAsia="Calibri" w:hAnsi="Calibri"/>
          <w:color w:val="1A1A2E"/>
          <w:sz w:val="24"/>
          <w:szCs w:val="24"/>
        </w:rPr>
        <w:t xml:space="preserve">This is a descriptive comparative analysis using no inferential statistical testing. The workflow comprised five stages:</w:t>
      </w:r>
    </w:p>
    <w:p>
      <w:pPr>
        <w:pStyle w:val="ListParagraph"/>
        <w:numPr>
          <w:ilvl w:val="0"/>
          <w:numId w:val="2"/>
        </w:numPr>
        <w:spacing w:after="100" w:before="0"/>
      </w:pPr>
      <w:r>
        <w:rPr>
          <w:rFonts w:ascii="Calibri" w:cs="Calibri" w:eastAsia="Calibri" w:hAnsi="Calibri"/>
          <w:color w:val="1A1A2E"/>
          <w:sz w:val="24"/>
          <w:szCs w:val="24"/>
        </w:rPr>
        <w:t xml:space="preserve">Data ingestion — loading CSV files into pandas DataFrames filtered to World-level rows</w:t>
      </w:r>
    </w:p>
    <w:p>
      <w:pPr>
        <w:pStyle w:val="ListParagraph"/>
        <w:numPr>
          <w:ilvl w:val="0"/>
          <w:numId w:val="2"/>
        </w:numPr>
        <w:spacing w:after="100" w:before="0"/>
      </w:pPr>
      <w:r>
        <w:rPr>
          <w:rFonts w:ascii="Calibri" w:cs="Calibri" w:eastAsia="Calibri" w:hAnsi="Calibri"/>
          <w:color w:val="1A1A2E"/>
          <w:sz w:val="24"/>
          <w:szCs w:val="24"/>
        </w:rPr>
        <w:t xml:space="preserve">Cleaning — removing catch-all categories and aligning terminology across files</w:t>
      </w:r>
    </w:p>
    <w:p>
      <w:pPr>
        <w:pStyle w:val="ListParagraph"/>
        <w:numPr>
          <w:ilvl w:val="0"/>
          <w:numId w:val="2"/>
        </w:numPr>
        <w:spacing w:after="100" w:before="0"/>
      </w:pPr>
      <w:r>
        <w:rPr>
          <w:rFonts w:ascii="Calibri" w:cs="Calibri" w:eastAsia="Calibri" w:hAnsi="Calibri"/>
          <w:color w:val="1A1A2E"/>
          <w:sz w:val="24"/>
          <w:szCs w:val="24"/>
        </w:rPr>
        <w:t xml:space="preserve">Descriptive summary — computing death totals, percent shares, M:F rate ratios, and year-over-year trends</w:t>
      </w:r>
    </w:p>
    <w:p>
      <w:pPr>
        <w:pStyle w:val="ListParagraph"/>
        <w:numPr>
          <w:ilvl w:val="0"/>
          <w:numId w:val="2"/>
        </w:numPr>
        <w:spacing w:after="100" w:before="0"/>
      </w:pPr>
      <w:r>
        <w:rPr>
          <w:rFonts w:ascii="Calibri" w:cs="Calibri" w:eastAsia="Calibri" w:hAnsi="Calibri"/>
          <w:color w:val="1A1A2E"/>
          <w:sz w:val="24"/>
          <w:szCs w:val="24"/>
        </w:rPr>
        <w:t xml:space="preserve">Comparative analysis — classifying cancers by sex predominance and risk-factor attributability</w:t>
      </w:r>
    </w:p>
    <w:p>
      <w:pPr>
        <w:pStyle w:val="ListParagraph"/>
        <w:numPr>
          <w:ilvl w:val="0"/>
          <w:numId w:val="2"/>
        </w:numPr>
        <w:spacing w:after="100" w:before="0"/>
      </w:pPr>
      <w:r>
        <w:rPr>
          <w:rFonts w:ascii="Calibri" w:cs="Calibri" w:eastAsia="Calibri" w:hAnsi="Calibri"/>
          <w:color w:val="1A1A2E"/>
          <w:sz w:val="24"/>
          <w:szCs w:val="24"/>
        </w:rPr>
        <w:t xml:space="preserve">Visualization — producing five matplotlib figures corresponding to each research question</w:t>
      </w:r>
    </w:p>
    <w:p>
      <w:pPr>
        <w:spacing w:after="0" w:before="80"/>
      </w:pPr>
    </w:p>
    <w:p>
      <w:pPr>
        <w:pStyle w:val="Heading1"/>
        <w:spacing w:after="120" w:before="360"/>
      </w:pPr>
      <w:r>
        <w:rPr>
          <w:rFonts w:ascii="Georgia" w:cs="Georgia" w:eastAsia="Georgia" w:hAnsi="Georgia"/>
          <w:b/>
          <w:bCs/>
          <w:color w:val="0D1F3C"/>
          <w:sz w:val="32"/>
          <w:szCs w:val="32"/>
        </w:rPr>
        <w:t xml:space="preserve">5. Analysis</w:t>
      </w:r>
    </w:p>
    <w:p>
      <w:pPr>
        <w:pBdr>
          <w:bottom w:val="single" w:color="1E6BB8" w:sz="6"/>
        </w:pBdr>
        <w:spacing w:after="160" w:before="0"/>
      </w:pPr>
    </w:p>
    <w:p>
      <w:pPr>
        <w:pStyle w:val="Heading2"/>
        <w:spacing w:after="80" w:before="240"/>
      </w:pPr>
      <w:r>
        <w:rPr>
          <w:rFonts w:ascii="Calibri" w:cs="Calibri" w:eastAsia="Calibri" w:hAnsi="Calibri"/>
          <w:b/>
          <w:bCs/>
          <w:color w:val="1E6BB8"/>
          <w:sz w:val="26"/>
          <w:szCs w:val="26"/>
        </w:rPr>
        <w:t xml:space="preserve">5.1 Global Cancer Death Burden (RQ1)</w:t>
      </w:r>
    </w:p>
    <w:p>
      <w:pPr>
        <w:spacing w:after="160" w:before="0" w:line="360" w:lineRule="auto"/>
        <w:jc w:val="both"/>
      </w:pPr>
      <w:r>
        <w:rPr>
          <w:rFonts w:ascii="Calibri" w:cs="Calibri" w:eastAsia="Calibri" w:hAnsi="Calibri"/>
          <w:color w:val="1A1A2E"/>
          <w:sz w:val="24"/>
          <w:szCs w:val="24"/>
        </w:rPr>
        <w:t xml:space="preserve">In 2016, global cancer deaths totaled approximately 7.5 million. Lung cancer led at 1.71 million — more than double the second-ranked cancer. Stomach, colorectal, and liver cancer rounded out the top four, all with documented male predominance. Female-specific cancers (breast, cervical, and ovarian combined) accounted for approximately 958,000 deaths, or roughly 12.8% of the total (Arnold et al., 2020).</w:t>
      </w:r>
    </w:p>
    <w:p>
      <w:pPr>
        <w:spacing w:after="200" w:before="60"/>
        <w:jc w:val="center"/>
      </w:pPr>
      <w:r>
        <w:rPr>
          <w:rFonts w:ascii="Calibri" w:cs="Calibri" w:eastAsia="Calibri" w:hAnsi="Calibri"/>
          <w:i/>
          <w:iCs/>
          <w:color w:val="64748B"/>
          <w:sz w:val="20"/>
          <w:szCs w:val="20"/>
        </w:rPr>
        <w:t xml:space="preserve">Figure 1. Global cancer deaths by type, 2016. Blue = male-predominant; Pink = female-specific; Teal = both sexes. Source: IHME GBD 2019 via Our World in Data.</w:t>
      </w:r>
    </w:p>
    <w:p>
      <w:pPr>
        <w:pStyle w:val="Heading2"/>
        <w:spacing w:after="80" w:before="240"/>
      </w:pPr>
      <w:r>
        <w:rPr>
          <w:rFonts w:ascii="Calibri" w:cs="Calibri" w:eastAsia="Calibri" w:hAnsi="Calibri"/>
          <w:b/>
          <w:bCs/>
          <w:color w:val="1E6BB8"/>
          <w:sz w:val="26"/>
          <w:szCs w:val="26"/>
        </w:rPr>
        <w:t xml:space="preserve">5.2 The Lung Cancer Sex Divergence (RQ2)</w:t>
      </w:r>
    </w:p>
    <w:p>
      <w:pPr>
        <w:spacing w:after="160" w:before="0" w:line="360" w:lineRule="auto"/>
        <w:jc w:val="both"/>
      </w:pPr>
      <w:r>
        <w:rPr>
          <w:rFonts w:ascii="Calibri" w:cs="Calibri" w:eastAsia="Calibri" w:hAnsi="Calibri"/>
          <w:color w:val="1A1A2E"/>
          <w:sz w:val="24"/>
          <w:szCs w:val="24"/>
        </w:rPr>
        <w:t xml:space="preserve">The male lung cancer death rate rose sharply through the mid-1980s before declining — tracking the 20-to-30-year lag after male smoking peaked (~1988). The female rate continued rising through 2020, reflecting delayed tobacco uptake. The gender gap narrowed substantially but has not closed (Bray et al., 2018). This divergence constitutes a 70-year natural experiment in how tobacco marketing, occupational norms, and social permissibility of smoking shape population-level mortality by sex.</w:t>
      </w:r>
    </w:p>
    <w:p>
      <w:pPr>
        <w:spacing w:after="200" w:before="60"/>
        <w:jc w:val="center"/>
      </w:pPr>
      <w:r>
        <w:rPr>
          <w:rFonts w:ascii="Calibri" w:cs="Calibri" w:eastAsia="Calibri" w:hAnsi="Calibri"/>
          <w:i/>
          <w:iCs/>
          <w:color w:val="64748B"/>
          <w:sz w:val="20"/>
          <w:szCs w:val="20"/>
        </w:rPr>
        <w:t xml:space="preserve">Figure 2. Age-standardized lung cancer death rate per 100,000 by sex, 1950–2020. Source: IHME GBD 2019 via Our World in Data.</w:t>
      </w:r>
    </w:p>
    <w:p>
      <w:pPr>
        <w:pStyle w:val="Heading2"/>
        <w:spacing w:after="80" w:before="240"/>
      </w:pPr>
      <w:r>
        <w:rPr>
          <w:rFonts w:ascii="Calibri" w:cs="Calibri" w:eastAsia="Calibri" w:hAnsi="Calibri"/>
          <w:b/>
          <w:bCs/>
          <w:color w:val="1E6BB8"/>
          <w:sz w:val="26"/>
          <w:szCs w:val="26"/>
        </w:rPr>
        <w:t xml:space="preserve">5.3 Risk Factor Attribution (RQ3)</w:t>
      </w:r>
    </w:p>
    <w:p>
      <w:pPr>
        <w:spacing w:after="160" w:before="0" w:line="360" w:lineRule="auto"/>
        <w:jc w:val="both"/>
      </w:pPr>
      <w:r>
        <w:rPr>
          <w:rFonts w:ascii="Calibri" w:cs="Calibri" w:eastAsia="Calibri" w:hAnsi="Calibri"/>
          <w:color w:val="1A1A2E"/>
          <w:sz w:val="24"/>
          <w:szCs w:val="24"/>
        </w:rPr>
        <w:t xml:space="preserve">The cancers with the largest male-to-female death ratios are also the most preventable. Mesothelioma (92% attributable), lung cancer (80%), larynx (71%), and esophageal cancer (68%) head the list of cancers most strongly tied to known risk factors. The male cancer burden is shaped by structural forces — tobacco marketing and occupational carcinogen exposure — not primarily by biology (Siegel et al., 2022). This finding carries direct policy implications: targeted behavioral and occupational interventions could produce measurable mortality reductions concentrated in the male population.</w:t>
      </w:r>
    </w:p>
    <w:p>
      <w:pPr>
        <w:spacing w:after="200" w:before="60"/>
        <w:jc w:val="center"/>
      </w:pPr>
      <w:r>
        <w:rPr>
          <w:rFonts w:ascii="Calibri" w:cs="Calibri" w:eastAsia="Calibri" w:hAnsi="Calibri"/>
          <w:i/>
          <w:iCs/>
          <w:color w:val="64748B"/>
          <w:sz w:val="20"/>
          <w:szCs w:val="20"/>
        </w:rPr>
        <w:t xml:space="preserve">Figure 3. Share of cancer deaths attributable to known risk factors by type, 2019. Source: IHME GBD 2019 via Our World in Data.</w:t>
      </w:r>
    </w:p>
    <w:p>
      <w:pPr>
        <w:pStyle w:val="Heading2"/>
        <w:spacing w:after="80" w:before="240"/>
      </w:pPr>
      <w:r>
        <w:rPr>
          <w:rFonts w:ascii="Calibri" w:cs="Calibri" w:eastAsia="Calibri" w:hAnsi="Calibri"/>
          <w:b/>
          <w:bCs/>
          <w:color w:val="1E6BB8"/>
          <w:sz w:val="26"/>
          <w:szCs w:val="26"/>
        </w:rPr>
        <w:t xml:space="preserve">5.4 Survival Rate Disparities</w:t>
      </w:r>
    </w:p>
    <w:p>
      <w:pPr>
        <w:spacing w:after="160" w:before="0" w:line="360" w:lineRule="auto"/>
        <w:jc w:val="both"/>
      </w:pPr>
      <w:r>
        <w:rPr>
          <w:rFonts w:ascii="Calibri" w:cs="Calibri" w:eastAsia="Calibri" w:hAnsi="Calibri"/>
          <w:color w:val="1A1A2E"/>
          <w:sz w:val="24"/>
          <w:szCs w:val="24"/>
        </w:rPr>
        <w:t xml:space="preserve">Prostate (~86%) and breast cancer (~78%) — subjects of decades of organized screening investment — rank among the highest five-year survival rates. Lung cancer shows only ~14% five-year survival, primarily due to late-stage diagnosis. This survival gap reflects a structural inequity in research and screening investment, not biological inevitability. The National Lung Screening Trial demonstrated that annual low-dose CT screening reduces lung cancer mortality in high-risk individuals by approximately 20%, yet deployment remains limited.</w:t>
      </w:r>
    </w:p>
    <w:p>
      <w:pPr>
        <w:spacing w:after="200" w:before="60"/>
        <w:jc w:val="center"/>
      </w:pPr>
      <w:r>
        <w:rPr>
          <w:rFonts w:ascii="Calibri" w:cs="Calibri" w:eastAsia="Calibri" w:hAnsi="Calibri"/>
          <w:i/>
          <w:iCs/>
          <w:color w:val="64748B"/>
          <w:sz w:val="20"/>
          <w:szCs w:val="20"/>
        </w:rPr>
        <w:t xml:space="preserve">Figure 4. Average 5-year cancer survival rates by type, ~2009. Source: IHME GBD 2019 via Our World in Data.</w:t>
      </w:r>
    </w:p>
    <w:p>
      <w:pPr>
        <w:pStyle w:val="Heading2"/>
        <w:spacing w:after="80" w:before="240"/>
      </w:pPr>
      <w:r>
        <w:rPr>
          <w:rFonts w:ascii="Calibri" w:cs="Calibri" w:eastAsia="Calibri" w:hAnsi="Calibri"/>
          <w:b/>
          <w:bCs/>
          <w:color w:val="1E6BB8"/>
          <w:sz w:val="26"/>
          <w:szCs w:val="26"/>
        </w:rPr>
        <w:t xml:space="preserve">5.5 Tobacco's Declining but Substantial Share</w:t>
      </w:r>
    </w:p>
    <w:p>
      <w:pPr>
        <w:spacing w:after="160" w:before="0" w:line="360" w:lineRule="auto"/>
        <w:jc w:val="both"/>
      </w:pPr>
      <w:r>
        <w:rPr>
          <w:rFonts w:ascii="Calibri" w:cs="Calibri" w:eastAsia="Calibri" w:hAnsi="Calibri"/>
          <w:color w:val="1A1A2E"/>
          <w:sz w:val="24"/>
          <w:szCs w:val="24"/>
        </w:rPr>
        <w:t xml:space="preserve">Smoking accounted for approximately 25.7% of all cancer deaths in 2019, down from a peak of approximately 27.5% in the early 1990s. Because male smoking prevalence has historically been 2–3× higher than female rates globally, this figure disproportionately represents male deaths. Approximately 2.5 million tobacco-attributable cancer deaths occur annually — making tobacco the single largest modifiable contributor to cancer mortality in the dataset.</w:t>
      </w:r>
    </w:p>
    <w:p>
      <w:pPr>
        <w:spacing w:after="200" w:before="60"/>
        <w:jc w:val="center"/>
      </w:pPr>
      <w:r>
        <w:rPr>
          <w:rFonts w:ascii="Calibri" w:cs="Calibri" w:eastAsia="Calibri" w:hAnsi="Calibri"/>
          <w:i/>
          <w:iCs/>
          <w:color w:val="64748B"/>
          <w:sz w:val="20"/>
          <w:szCs w:val="20"/>
        </w:rPr>
        <w:t xml:space="preserve">Figure 5. Share of all cancer deaths attributable to smoking, World, 1990–2019. Source: IHME GBD 2019 via Our World in Data.</w:t>
      </w:r>
    </w:p>
    <w:p>
      <w:pPr>
        <w:pStyle w:val="Heading1"/>
        <w:spacing w:after="120" w:before="360"/>
      </w:pPr>
      <w:r>
        <w:rPr>
          <w:rFonts w:ascii="Georgia" w:cs="Georgia" w:eastAsia="Georgia" w:hAnsi="Georgia"/>
          <w:b/>
          <w:bCs/>
          <w:color w:val="0D1F3C"/>
          <w:sz w:val="32"/>
          <w:szCs w:val="32"/>
        </w:rPr>
        <w:t xml:space="preserve">6. Conclusion</w:t>
      </w:r>
    </w:p>
    <w:p>
      <w:pPr>
        <w:pBdr>
          <w:bottom w:val="single" w:color="1E6BB8" w:sz="6"/>
        </w:pBdr>
        <w:spacing w:after="160" w:before="0"/>
      </w:pPr>
    </w:p>
    <w:p>
      <w:pPr>
        <w:spacing w:after="160" w:before="0" w:line="360" w:lineRule="auto"/>
        <w:jc w:val="both"/>
      </w:pPr>
      <w:r>
        <w:rPr>
          <w:rFonts w:ascii="Calibri" w:cs="Calibri" w:eastAsia="Calibri" w:hAnsi="Calibri"/>
          <w:color w:val="1A1A2E"/>
          <w:sz w:val="24"/>
          <w:szCs w:val="24"/>
        </w:rPr>
        <w:t xml:space="preserve">Men bear a substantial and underappreciated cancer mortality burden, driven primarily by behavioral risk factors that are structurally shaped. The lung cancer sex gap is a 70-year natural experiment in how tobacco marketing and occupational exposure shaped population-level mortality. The top male-skewed cancers are also the most risk-factor-attributable, meaning targeted interventions carry enormous potential impact. Expanding the breast and prostate screening model to lung cancer represents a clear, evidence-backed public health opportunity that is currently unrealized at scale.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1E6BB8" w:val="clear"/>
          </w:tcPr>
          <w:p/>
        </w:tc>
        <w:tc>
          <w:tcPr>
            <w:tcW w:type="dxa" w:w="9180"/>
            <w:tcBorders>
              <w:top w:val="none" w:color="FFFFFF" w:sz="0"/>
              <w:left w:val="none" w:color="FFFFFF" w:sz="0"/>
              <w:bottom w:val="none" w:color="FFFFFF" w:sz="0"/>
              <w:right w:val="none" w:color="FFFFFF" w:sz="0"/>
            </w:tcBorders>
            <w:shd w:fill="E6F1FB" w:val="clear"/>
            <w:tcMar>
              <w:top w:type="dxa" w:w="100"/>
              <w:left w:type="dxa" w:w="160"/>
              <w:bottom w:type="dxa" w:w="100"/>
              <w:right w:type="dxa" w:w="160"/>
            </w:tcMar>
          </w:tcPr>
          <w:p>
            <w:pPr>
              <w:spacing w:after="60" w:before="0"/>
            </w:pPr>
            <w:r>
              <w:rPr>
                <w:rFonts w:ascii="Calibri" w:cs="Calibri" w:eastAsia="Calibri" w:hAnsi="Calibri"/>
                <w:b/>
                <w:bCs/>
                <w:color w:val="1E6BB8"/>
                <w:sz w:val="22"/>
                <w:szCs w:val="22"/>
              </w:rPr>
              <w:t xml:space="preserve">Central finding</w:t>
            </w:r>
          </w:p>
          <w:p>
            <w:pPr>
              <w:spacing w:after="0" w:before="0"/>
            </w:pPr>
            <w:r>
              <w:rPr>
                <w:rFonts w:ascii="Calibri" w:cs="Calibri" w:eastAsia="Calibri" w:hAnsi="Calibri"/>
                <w:color w:val="1A1A2E"/>
                <w:sz w:val="22"/>
                <w:szCs w:val="22"/>
              </w:rPr>
              <w:t xml:space="preserve">The cancers with the largest male-to-female mortality gaps are simultaneously the most preventable. This convergence means that sex-targeted prevention investment is not only equitable — it is maximally efficient.</w:t>
            </w:r>
          </w:p>
        </w:tc>
      </w:tr>
    </w:tbl>
    <w:p>
      <w:pPr>
        <w:spacing w:after="0" w:before="240"/>
      </w:pPr>
    </w:p>
    <w:p>
      <w:pPr>
        <w:pStyle w:val="Heading1"/>
        <w:spacing w:after="120" w:before="360"/>
      </w:pPr>
      <w:r>
        <w:rPr>
          <w:rFonts w:ascii="Georgia" w:cs="Georgia" w:eastAsia="Georgia" w:hAnsi="Georgia"/>
          <w:b/>
          <w:bCs/>
          <w:color w:val="0D1F3C"/>
          <w:sz w:val="32"/>
          <w:szCs w:val="32"/>
        </w:rPr>
        <w:t xml:space="preserve">7. Assumptions, Limitations &amp; Challenges</w:t>
      </w:r>
    </w:p>
    <w:p>
      <w:pPr>
        <w:pBdr>
          <w:bottom w:val="single" w:color="1E6BB8" w:sz="6"/>
        </w:pBdr>
        <w:spacing w:after="160" w:before="0"/>
      </w:pPr>
    </w:p>
    <w:p>
      <w:pPr>
        <w:spacing w:after="60" w:before="200"/>
      </w:pPr>
      <w:r>
        <w:rPr>
          <w:rFonts w:ascii="Calibri" w:cs="Calibri" w:eastAsia="Calibri" w:hAnsi="Calibri"/>
          <w:b/>
          <w:bCs/>
          <w:color w:val="0E7C7B"/>
          <w:sz w:val="24"/>
          <w:szCs w:val="24"/>
        </w:rPr>
        <w:t xml:space="preserve">Assumptions</w:t>
      </w:r>
    </w:p>
    <w:p>
      <w:pPr>
        <w:pStyle w:val="ListParagraph"/>
        <w:numPr>
          <w:ilvl w:val="0"/>
          <w:numId w:val="2"/>
        </w:numPr>
        <w:spacing w:after="100" w:before="0"/>
      </w:pPr>
      <w:r>
        <w:rPr>
          <w:rFonts w:ascii="Calibri" w:cs="Calibri" w:eastAsia="Calibri" w:hAnsi="Calibri"/>
          <w:color w:val="1A1A2E"/>
          <w:sz w:val="24"/>
          <w:szCs w:val="24"/>
        </w:rPr>
        <w:t xml:space="preserve">"World" aggregates represent global patterns; age-standardized rates enable valid cross-sex comparison.</w:t>
      </w:r>
    </w:p>
    <w:p>
      <w:pPr>
        <w:pStyle w:val="ListParagraph"/>
        <w:numPr>
          <w:ilvl w:val="0"/>
          <w:numId w:val="2"/>
        </w:numPr>
        <w:spacing w:after="100" w:before="0"/>
      </w:pPr>
      <w:r>
        <w:rPr>
          <w:rFonts w:ascii="Calibri" w:cs="Calibri" w:eastAsia="Calibri" w:hAnsi="Calibri"/>
          <w:color w:val="1A1A2E"/>
          <w:sz w:val="24"/>
          <w:szCs w:val="24"/>
        </w:rPr>
        <w:t xml:space="preserve">Our World in Data accurately reflects IHME GBD 2019 figures; 2009 survival data reasonably approximates contemporary disparities.</w:t>
      </w:r>
    </w:p>
    <w:p>
      <w:pPr>
        <w:spacing w:after="0" w:before="80"/>
      </w:pPr>
    </w:p>
    <w:p>
      <w:pPr>
        <w:spacing w:after="60" w:before="200"/>
      </w:pPr>
      <w:r>
        <w:rPr>
          <w:rFonts w:ascii="Calibri" w:cs="Calibri" w:eastAsia="Calibri" w:hAnsi="Calibri"/>
          <w:b/>
          <w:bCs/>
          <w:color w:val="0E7C7B"/>
          <w:sz w:val="24"/>
          <w:szCs w:val="24"/>
        </w:rPr>
        <w:t xml:space="preserve">Limitations</w:t>
      </w:r>
    </w:p>
    <w:p>
      <w:pPr>
        <w:pStyle w:val="ListParagraph"/>
        <w:numPr>
          <w:ilvl w:val="0"/>
          <w:numId w:val="2"/>
        </w:numPr>
        <w:spacing w:after="100" w:before="0"/>
      </w:pPr>
      <w:r>
        <w:rPr>
          <w:rFonts w:ascii="Calibri" w:cs="Calibri" w:eastAsia="Calibri" w:hAnsi="Calibri"/>
          <w:color w:val="1A1A2E"/>
          <w:sz w:val="24"/>
          <w:szCs w:val="24"/>
        </w:rPr>
        <w:t xml:space="preserve">Sex-disaggregated mortality data exists only for lung cancer in this dataset; the broader M:F analysis relies on epidemiological literature for context.</w:t>
      </w:r>
    </w:p>
    <w:p>
      <w:pPr>
        <w:pStyle w:val="ListParagraph"/>
        <w:numPr>
          <w:ilvl w:val="0"/>
          <w:numId w:val="2"/>
        </w:numPr>
        <w:spacing w:after="100" w:before="0"/>
      </w:pPr>
      <w:r>
        <w:rPr>
          <w:rFonts w:ascii="Calibri" w:cs="Calibri" w:eastAsia="Calibri" w:hAnsi="Calibri"/>
          <w:color w:val="1A1A2E"/>
          <w:sz w:val="24"/>
          <w:szCs w:val="24"/>
        </w:rPr>
        <w:t xml:space="preserve">Global aggregates mask regional variation; grouped deaths file covers 1990–2016 only; the analysis is entirely descriptive with no inferential testing.</w:t>
      </w:r>
    </w:p>
    <w:p>
      <w:pPr>
        <w:pStyle w:val="ListParagraph"/>
        <w:numPr>
          <w:ilvl w:val="0"/>
          <w:numId w:val="2"/>
        </w:numPr>
        <w:spacing w:after="100" w:before="0"/>
      </w:pPr>
      <w:r>
        <w:rPr>
          <w:rFonts w:ascii="Calibri" w:cs="Calibri" w:eastAsia="Calibri" w:hAnsi="Calibri"/>
          <w:color w:val="1A1A2E"/>
          <w:sz w:val="24"/>
          <w:szCs w:val="24"/>
        </w:rPr>
        <w:t xml:space="preserve">Survival rate data (~1999–2009) is older than ideal; contemporary rates may differ, particularly for cancers with recent therapeutic advances.</w:t>
      </w:r>
    </w:p>
    <w:p>
      <w:pPr>
        <w:spacing w:after="0" w:before="80"/>
      </w:pPr>
    </w:p>
    <w:p>
      <w:pPr>
        <w:spacing w:after="60" w:before="200"/>
      </w:pPr>
      <w:r>
        <w:rPr>
          <w:rFonts w:ascii="Calibri" w:cs="Calibri" w:eastAsia="Calibri" w:hAnsi="Calibri"/>
          <w:b/>
          <w:bCs/>
          <w:color w:val="0E7C7B"/>
          <w:sz w:val="24"/>
          <w:szCs w:val="24"/>
        </w:rPr>
        <w:t xml:space="preserve">Challenges</w:t>
      </w:r>
    </w:p>
    <w:p>
      <w:pPr>
        <w:pStyle w:val="ListParagraph"/>
        <w:numPr>
          <w:ilvl w:val="0"/>
          <w:numId w:val="2"/>
        </w:numPr>
        <w:spacing w:after="100" w:before="0"/>
      </w:pPr>
      <w:r>
        <w:rPr>
          <w:rFonts w:ascii="Calibri" w:cs="Calibri" w:eastAsia="Calibri" w:hAnsi="Calibri"/>
          <w:color w:val="1A1A2E"/>
          <w:sz w:val="24"/>
          <w:szCs w:val="24"/>
        </w:rPr>
        <w:t xml:space="preserve">Lack of a sex-disaggregated file across all cancer types was the primary analytical constraint, requiring reliance on literature for M:F comparisons beyond lung cancer.</w:t>
      </w:r>
    </w:p>
    <w:p>
      <w:pPr>
        <w:pStyle w:val="ListParagraph"/>
        <w:numPr>
          <w:ilvl w:val="0"/>
          <w:numId w:val="2"/>
        </w:numPr>
        <w:spacing w:after="100" w:before="0"/>
      </w:pPr>
      <w:r>
        <w:rPr>
          <w:rFonts w:ascii="Calibri" w:cs="Calibri" w:eastAsia="Calibri" w:hAnsi="Calibri"/>
          <w:color w:val="1A1A2E"/>
          <w:sz w:val="24"/>
          <w:szCs w:val="24"/>
        </w:rPr>
        <w:t xml:space="preserve">Terminology inconsistencies across files ("tracheal, bronchus, and lung" vs. "lung") required manual column matching and introduced a small risk of classification error.</w:t>
      </w:r>
    </w:p>
    <w:p>
      <w:pPr>
        <w:spacing w:after="0" w:before="80"/>
      </w:pPr>
    </w:p>
    <w:p>
      <w:pPr>
        <w:pStyle w:val="Heading1"/>
        <w:spacing w:after="120" w:before="360"/>
      </w:pPr>
      <w:r>
        <w:rPr>
          <w:rFonts w:ascii="Georgia" w:cs="Georgia" w:eastAsia="Georgia" w:hAnsi="Georgia"/>
          <w:b/>
          <w:bCs/>
          <w:color w:val="0D1F3C"/>
          <w:sz w:val="32"/>
          <w:szCs w:val="32"/>
        </w:rPr>
        <w:t xml:space="preserve">8. Future Uses &amp; Recommendations</w:t>
      </w:r>
    </w:p>
    <w:p>
      <w:pPr>
        <w:pBdr>
          <w:bottom w:val="single" w:color="1E6BB8" w:sz="6"/>
        </w:pBdr>
        <w:spacing w:after="160" w:before="0"/>
      </w:pPr>
    </w:p>
    <w:p>
      <w:pPr>
        <w:spacing w:after="160" w:before="0" w:line="360" w:lineRule="auto"/>
        <w:jc w:val="both"/>
      </w:pPr>
      <w:r>
        <w:rPr>
          <w:rFonts w:ascii="Calibri" w:cs="Calibri" w:eastAsia="Calibri" w:hAnsi="Calibri"/>
          <w:color w:val="1A1A2E"/>
          <w:sz w:val="24"/>
          <w:szCs w:val="24"/>
        </w:rPr>
        <w:t xml:space="preserve">Integrating GLOBOCAN 2020 incidence data with full male/female splits would address the key missing analytical piece. Adding World Bank tobacco prevalence data by sex would enable direct quantitative linkage between smoking rates and lung cancer mortality divergence. A regional HDI breakout would expose equity dimensions currently concealed by global aggregates. The following recommendations are prioritized by evidence strength and potential impact:</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4680"/>
        <w:gridCol w:w="3240"/>
      </w:tblGrid>
      <w:tr>
        <w:trPr>
          <w:tblHeader/>
        </w:trPr>
        <w:tc>
          <w:tcPr>
            <w:tcW w:type="dxa" w:w="1440"/>
            <w:tcBorders>
              <w:top w:val="single" w:color="0D1F3C" w:sz="4"/>
              <w:left w:val="single" w:color="0D1F3C" w:sz="4"/>
              <w:bottom w:val="single" w:color="0D1F3C" w:sz="4"/>
              <w:right w:val="single" w:color="0D1F3C" w:sz="4"/>
            </w:tcBorders>
            <w:shd w:fill="0D1F3C" w:val="clear"/>
            <w:tcMar>
              <w:top w:type="dxa" w:w="80"/>
              <w:left w:type="dxa" w:w="120"/>
              <w:bottom w:type="dxa" w:w="80"/>
              <w:right w:type="dxa" w:w="120"/>
            </w:tcMar>
          </w:tcPr>
          <w:p>
            <w:r>
              <w:rPr>
                <w:rFonts w:ascii="Calibri" w:cs="Calibri" w:eastAsia="Calibri" w:hAnsi="Calibri"/>
                <w:b/>
                <w:bCs/>
                <w:color w:val="FFFFFF"/>
                <w:sz w:val="22"/>
                <w:szCs w:val="22"/>
              </w:rPr>
              <w:t xml:space="preserve">Priority</w:t>
            </w:r>
          </w:p>
        </w:tc>
        <w:tc>
          <w:tcPr>
            <w:tcW w:type="dxa" w:w="4680"/>
            <w:tcBorders>
              <w:top w:val="single" w:color="0D1F3C" w:sz="4"/>
              <w:left w:val="single" w:color="0D1F3C" w:sz="4"/>
              <w:bottom w:val="single" w:color="0D1F3C" w:sz="4"/>
              <w:right w:val="single" w:color="0D1F3C" w:sz="4"/>
            </w:tcBorders>
            <w:shd w:fill="0D1F3C" w:val="clear"/>
            <w:tcMar>
              <w:top w:type="dxa" w:w="80"/>
              <w:left w:type="dxa" w:w="120"/>
              <w:bottom w:type="dxa" w:w="80"/>
              <w:right w:type="dxa" w:w="120"/>
            </w:tcMar>
          </w:tcPr>
          <w:p>
            <w:r>
              <w:rPr>
                <w:rFonts w:ascii="Calibri" w:cs="Calibri" w:eastAsia="Calibri" w:hAnsi="Calibri"/>
                <w:b/>
                <w:bCs/>
                <w:color w:val="FFFFFF"/>
                <w:sz w:val="22"/>
                <w:szCs w:val="22"/>
              </w:rPr>
              <w:t xml:space="preserve">Recommendation</w:t>
            </w:r>
          </w:p>
        </w:tc>
        <w:tc>
          <w:tcPr>
            <w:tcW w:type="dxa" w:w="3240"/>
            <w:tcBorders>
              <w:top w:val="single" w:color="0D1F3C" w:sz="4"/>
              <w:left w:val="single" w:color="0D1F3C" w:sz="4"/>
              <w:bottom w:val="single" w:color="0D1F3C" w:sz="4"/>
              <w:right w:val="single" w:color="0D1F3C" w:sz="4"/>
            </w:tcBorders>
            <w:shd w:fill="0D1F3C" w:val="clear"/>
            <w:tcMar>
              <w:top w:type="dxa" w:w="80"/>
              <w:left w:type="dxa" w:w="120"/>
              <w:bottom w:type="dxa" w:w="80"/>
              <w:right w:type="dxa" w:w="120"/>
            </w:tcMar>
          </w:tcPr>
          <w:p>
            <w:r>
              <w:rPr>
                <w:rFonts w:ascii="Calibri" w:cs="Calibri" w:eastAsia="Calibri" w:hAnsi="Calibri"/>
                <w:b/>
                <w:bCs/>
                <w:color w:val="FFFFFF"/>
                <w:sz w:val="22"/>
                <w:szCs w:val="22"/>
              </w:rPr>
              <w:t xml:space="preserve">Evidence Basis</w:t>
            </w:r>
          </w:p>
        </w:tc>
      </w:tr>
      <w:tr>
        <w:tc>
          <w:tcPr>
            <w:tcW w:type="dxa" w:w="1440"/>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tcPr>
          <w:p>
            <w:pPr>
              <w:spacing w:line="320" w:lineRule="auto"/>
            </w:pPr>
            <w:r>
              <w:rPr>
                <w:rFonts w:ascii="Calibri" w:cs="Calibri" w:eastAsia="Calibri" w:hAnsi="Calibri"/>
                <w:color w:val="1A1A2E"/>
                <w:sz w:val="22"/>
                <w:szCs w:val="22"/>
              </w:rPr>
              <w:t xml:space="preserve">1 — HIGH</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20" w:lineRule="auto"/>
            </w:pPr>
            <w:r>
              <w:rPr>
                <w:rFonts w:ascii="Calibri" w:cs="Calibri" w:eastAsia="Calibri" w:hAnsi="Calibri"/>
                <w:color w:val="1A1A2E"/>
                <w:sz w:val="22"/>
                <w:szCs w:val="22"/>
              </w:rPr>
              <w:t xml:space="preserve">Sex-disaggregated public health messaging for lung, esophageal, and laryngeal cancers.</w:t>
            </w:r>
          </w:p>
        </w:tc>
        <w:tc>
          <w:tcPr>
            <w:tcW w:type="dxa" w:w="3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20" w:lineRule="auto"/>
            </w:pPr>
            <w:r>
              <w:rPr>
                <w:rFonts w:ascii="Calibri" w:cs="Calibri" w:eastAsia="Calibri" w:hAnsi="Calibri"/>
                <w:color w:val="1A1A2E"/>
                <w:sz w:val="22"/>
                <w:szCs w:val="22"/>
              </w:rPr>
              <w:t xml:space="preserve">Male-predominant cancers = &gt;50% of global mortality; messaging skews female.</w:t>
            </w:r>
          </w:p>
        </w:tc>
      </w:tr>
      <w:tr>
        <w:tc>
          <w:tcPr>
            <w:tcW w:type="dxa" w:w="1440"/>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tcPr>
          <w:p>
            <w:pPr>
              <w:spacing w:line="320" w:lineRule="auto"/>
            </w:pPr>
            <w:r>
              <w:rPr>
                <w:rFonts w:ascii="Calibri" w:cs="Calibri" w:eastAsia="Calibri" w:hAnsi="Calibri"/>
                <w:color w:val="1A1A2E"/>
                <w:sz w:val="22"/>
                <w:szCs w:val="22"/>
              </w:rPr>
              <w:t xml:space="preserve">2 — HIGH</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20" w:lineRule="auto"/>
            </w:pPr>
            <w:r>
              <w:rPr>
                <w:rFonts w:ascii="Calibri" w:cs="Calibri" w:eastAsia="Calibri" w:hAnsi="Calibri"/>
                <w:color w:val="1A1A2E"/>
                <w:sz w:val="22"/>
                <w:szCs w:val="22"/>
              </w:rPr>
              <w:t xml:space="preserve">Prioritize tobacco control in regions with elevated male smoking using sex-specific campaigns.</w:t>
            </w:r>
          </w:p>
        </w:tc>
        <w:tc>
          <w:tcPr>
            <w:tcW w:type="dxa" w:w="3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20" w:lineRule="auto"/>
            </w:pPr>
            <w:r>
              <w:rPr>
                <w:rFonts w:ascii="Calibri" w:cs="Calibri" w:eastAsia="Calibri" w:hAnsi="Calibri"/>
                <w:color w:val="1A1A2E"/>
                <w:sz w:val="22"/>
                <w:szCs w:val="22"/>
              </w:rPr>
              <w:t xml:space="preserve">Tobacco = ~26% of cancer deaths; male smoking 2–3× female in many LMICs.</w:t>
            </w:r>
          </w:p>
        </w:tc>
      </w:tr>
      <w:tr>
        <w:tc>
          <w:tcPr>
            <w:tcW w:type="dxa" w:w="1440"/>
            <w:tcBorders>
              <w:top w:val="single" w:color="CCCCCC" w:sz="4"/>
              <w:left w:val="single" w:color="CCCCCC" w:sz="4"/>
              <w:bottom w:val="single" w:color="CCCCCC" w:sz="4"/>
              <w:right w:val="single" w:color="CCCCCC" w:sz="4"/>
            </w:tcBorders>
            <w:shd w:fill="E8F4FD" w:val="clear"/>
            <w:tcMar>
              <w:top w:type="dxa" w:w="80"/>
              <w:left w:type="dxa" w:w="120"/>
              <w:bottom w:type="dxa" w:w="80"/>
              <w:right w:type="dxa" w:w="120"/>
            </w:tcMar>
          </w:tcPr>
          <w:p>
            <w:pPr>
              <w:spacing w:line="320" w:lineRule="auto"/>
            </w:pPr>
            <w:r>
              <w:rPr>
                <w:rFonts w:ascii="Calibri" w:cs="Calibri" w:eastAsia="Calibri" w:hAnsi="Calibri"/>
                <w:color w:val="1A1A2E"/>
                <w:sz w:val="22"/>
                <w:szCs w:val="22"/>
              </w:rPr>
              <w:t xml:space="preserve">3 — MEDIUM</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20" w:lineRule="auto"/>
            </w:pPr>
            <w:r>
              <w:rPr>
                <w:rFonts w:ascii="Calibri" w:cs="Calibri" w:eastAsia="Calibri" w:hAnsi="Calibri"/>
                <w:color w:val="1A1A2E"/>
                <w:sz w:val="22"/>
                <w:szCs w:val="22"/>
              </w:rPr>
              <w:t xml:space="preserve">Invest in low-dose CT lung cancer screening with equity-focused deployment.</w:t>
            </w:r>
          </w:p>
        </w:tc>
        <w:tc>
          <w:tcPr>
            <w:tcW w:type="dxa" w:w="3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20" w:lineRule="auto"/>
            </w:pPr>
            <w:r>
              <w:rPr>
                <w:rFonts w:ascii="Calibri" w:cs="Calibri" w:eastAsia="Calibri" w:hAnsi="Calibri"/>
                <w:color w:val="1A1A2E"/>
                <w:sz w:val="22"/>
                <w:szCs w:val="22"/>
              </w:rPr>
              <w:t xml:space="preserve">14% five-year survival due to late-stage diagnosis; early detection is key.</w:t>
            </w:r>
          </w:p>
        </w:tc>
      </w:tr>
      <w:tr>
        <w:tc>
          <w:tcPr>
            <w:tcW w:type="dxa" w:w="1440"/>
            <w:tcBorders>
              <w:top w:val="single" w:color="CCCCCC" w:sz="4"/>
              <w:left w:val="single" w:color="CCCCCC" w:sz="4"/>
              <w:bottom w:val="single" w:color="CCCCCC" w:sz="4"/>
              <w:right w:val="single" w:color="CCCCCC" w:sz="4"/>
            </w:tcBorders>
            <w:shd w:fill="E8F4FD" w:val="clear"/>
            <w:tcMar>
              <w:top w:type="dxa" w:w="80"/>
              <w:left w:type="dxa" w:w="120"/>
              <w:bottom w:type="dxa" w:w="80"/>
              <w:right w:type="dxa" w:w="120"/>
            </w:tcMar>
          </w:tcPr>
          <w:p>
            <w:pPr>
              <w:spacing w:line="320" w:lineRule="auto"/>
            </w:pPr>
            <w:r>
              <w:rPr>
                <w:rFonts w:ascii="Calibri" w:cs="Calibri" w:eastAsia="Calibri" w:hAnsi="Calibri"/>
                <w:color w:val="1A1A2E"/>
                <w:sz w:val="22"/>
                <w:szCs w:val="22"/>
              </w:rPr>
              <w:t xml:space="preserve">4 — MEDIUM</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20" w:lineRule="auto"/>
            </w:pPr>
            <w:r>
              <w:rPr>
                <w:rFonts w:ascii="Calibri" w:cs="Calibri" w:eastAsia="Calibri" w:hAnsi="Calibri"/>
                <w:color w:val="1A1A2E"/>
                <w:sz w:val="22"/>
                <w:szCs w:val="22"/>
              </w:rPr>
              <w:t xml:space="preserve">Expand occupational carcinogen tracking in asbestos/chemical-exposure industries.</w:t>
            </w:r>
          </w:p>
        </w:tc>
        <w:tc>
          <w:tcPr>
            <w:tcW w:type="dxa" w:w="3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20" w:lineRule="auto"/>
            </w:pPr>
            <w:r>
              <w:rPr>
                <w:rFonts w:ascii="Calibri" w:cs="Calibri" w:eastAsia="Calibri" w:hAnsi="Calibri"/>
                <w:color w:val="1A1A2E"/>
                <w:sz w:val="22"/>
                <w:szCs w:val="22"/>
              </w:rPr>
              <w:t xml:space="preserve">Mesothelioma 92% attributable risk — highest in dataset; structurally preventable.</w:t>
            </w:r>
          </w:p>
        </w:tc>
      </w:tr>
      <w:tr>
        <w:tc>
          <w:tcPr>
            <w:tcW w:type="dxa" w:w="1440"/>
            <w:tcBorders>
              <w:top w:val="single" w:color="CCCCCC" w:sz="4"/>
              <w:left w:val="single" w:color="CCCCCC" w:sz="4"/>
              <w:bottom w:val="single" w:color="CCCCCC" w:sz="4"/>
              <w:right w:val="single" w:color="CCCCCC" w:sz="4"/>
            </w:tcBorders>
            <w:shd w:fill="E8F6F3" w:val="clear"/>
            <w:tcMar>
              <w:top w:type="dxa" w:w="80"/>
              <w:left w:type="dxa" w:w="120"/>
              <w:bottom w:type="dxa" w:w="80"/>
              <w:right w:type="dxa" w:w="120"/>
            </w:tcMar>
          </w:tcPr>
          <w:p>
            <w:pPr>
              <w:spacing w:line="320" w:lineRule="auto"/>
            </w:pPr>
            <w:r>
              <w:rPr>
                <w:rFonts w:ascii="Calibri" w:cs="Calibri" w:eastAsia="Calibri" w:hAnsi="Calibri"/>
                <w:color w:val="1A1A2E"/>
                <w:sz w:val="22"/>
                <w:szCs w:val="22"/>
              </w:rPr>
              <w:t xml:space="preserve">5 — LONG-TERM</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20" w:lineRule="auto"/>
            </w:pPr>
            <w:r>
              <w:rPr>
                <w:rFonts w:ascii="Calibri" w:cs="Calibri" w:eastAsia="Calibri" w:hAnsi="Calibri"/>
                <w:color w:val="1A1A2E"/>
                <w:sz w:val="22"/>
                <w:szCs w:val="22"/>
              </w:rPr>
              <w:t xml:space="preserve">Establish sex-disaggregated cancer registries in low/middle-income countries.</w:t>
            </w:r>
          </w:p>
        </w:tc>
        <w:tc>
          <w:tcPr>
            <w:tcW w:type="dxa" w:w="3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20" w:lineRule="auto"/>
            </w:pPr>
            <w:r>
              <w:rPr>
                <w:rFonts w:ascii="Calibri" w:cs="Calibri" w:eastAsia="Calibri" w:hAnsi="Calibri"/>
                <w:color w:val="1A1A2E"/>
                <w:sz w:val="22"/>
                <w:szCs w:val="22"/>
              </w:rPr>
              <w:t xml:space="preserve">Current estimates rely on modeled data; better registries improve allocation.</w:t>
            </w:r>
          </w:p>
        </w:tc>
      </w:tr>
    </w:tbl>
    <w:p>
      <w:pPr>
        <w:spacing w:after="0" w:before="240"/>
      </w:pPr>
    </w:p>
    <w:p>
      <w:pPr>
        <w:pStyle w:val="Heading1"/>
        <w:spacing w:after="120" w:before="360"/>
      </w:pPr>
      <w:r>
        <w:rPr>
          <w:rFonts w:ascii="Georgia" w:cs="Georgia" w:eastAsia="Georgia" w:hAnsi="Georgia"/>
          <w:b/>
          <w:bCs/>
          <w:color w:val="0D1F3C"/>
          <w:sz w:val="32"/>
          <w:szCs w:val="32"/>
        </w:rPr>
        <w:t xml:space="preserve">9. Ethical Assessment</w:t>
      </w:r>
    </w:p>
    <w:p>
      <w:pPr>
        <w:pBdr>
          <w:bottom w:val="single" w:color="1E6BB8" w:sz="6"/>
        </w:pBdr>
        <w:spacing w:after="160" w:before="0"/>
      </w:pPr>
    </w:p>
    <w:p>
      <w:pPr>
        <w:spacing w:after="160" w:before="0" w:line="360" w:lineRule="auto"/>
        <w:jc w:val="both"/>
      </w:pPr>
      <w:r>
        <w:rPr>
          <w:rFonts w:ascii="Calibri" w:cs="Calibri" w:eastAsia="Calibri" w:hAnsi="Calibri"/>
          <w:color w:val="1A1A2E"/>
          <w:sz w:val="24"/>
          <w:szCs w:val="24"/>
        </w:rPr>
        <w:t xml:space="preserve">All source datasets split individuals into male and female only, with no representation of transgender, non-binary, or intersex individuals. All findings are framed as patterns in biological sex as recorded in health registries — not as statements about gender identity. Where data shows male-skewed cancer rates linked to tobacco, this paper treats these as population-level outcomes shaped by structural forces (marketing, occupational exposure, social norms) rather than individual moral failure. Global totals mask profound regional inequities; recommendations explicitly address equity-centered investment for low-income countries.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E8B84B" w:val="clear"/>
          </w:tcPr>
          <w:p/>
        </w:tc>
        <w:tc>
          <w:tcPr>
            <w:tcW w:type="dxa" w:w="9180"/>
            <w:tcBorders>
              <w:top w:val="none" w:color="FFFFFF" w:sz="0"/>
              <w:left w:val="none" w:color="FFFFFF" w:sz="0"/>
              <w:bottom w:val="none" w:color="FFFFFF" w:sz="0"/>
              <w:right w:val="none" w:color="FFFFFF" w:sz="0"/>
            </w:tcBorders>
            <w:shd w:fill="FFF8E1" w:val="clear"/>
            <w:tcMar>
              <w:top w:type="dxa" w:w="100"/>
              <w:left w:type="dxa" w:w="160"/>
              <w:bottom w:type="dxa" w:w="100"/>
              <w:right w:type="dxa" w:w="160"/>
            </w:tcMar>
          </w:tcPr>
          <w:p>
            <w:pPr>
              <w:spacing w:after="60" w:before="0"/>
            </w:pPr>
            <w:r>
              <w:rPr>
                <w:rFonts w:ascii="Calibri" w:cs="Calibri" w:eastAsia="Calibri" w:hAnsi="Calibri"/>
                <w:b/>
                <w:bCs/>
                <w:color w:val="E8B84B"/>
                <w:sz w:val="22"/>
                <w:szCs w:val="22"/>
              </w:rPr>
              <w:t xml:space="preserve">Ethical note on data scope</w:t>
            </w:r>
          </w:p>
          <w:p>
            <w:pPr>
              <w:spacing w:after="0" w:before="0"/>
            </w:pPr>
            <w:r>
              <w:rPr>
                <w:rFonts w:ascii="Calibri" w:cs="Calibri" w:eastAsia="Calibri" w:hAnsi="Calibri"/>
                <w:color w:val="1A1A2E"/>
                <w:sz w:val="22"/>
                <w:szCs w:val="22"/>
              </w:rPr>
              <w:t xml:space="preserve">Future analyses should advocate for health registry frameworks that capture gender identity alongside biological sex, enabling more inclusive epidemiological research. The absence of such data in current global surveillance systems is itself an equity gap worth naming.</w:t>
            </w:r>
          </w:p>
        </w:tc>
      </w:tr>
    </w:tbl>
    <w:p>
      <w:pPr>
        <w:spacing w:after="0" w:before="240"/>
      </w:pPr>
    </w:p>
    <w:p>
      <w:pPr>
        <w:pStyle w:val="Heading1"/>
        <w:spacing w:after="120" w:before="360"/>
      </w:pPr>
      <w:r>
        <w:rPr>
          <w:rFonts w:ascii="Georgia" w:cs="Georgia" w:eastAsia="Georgia" w:hAnsi="Georgia"/>
          <w:b/>
          <w:bCs/>
          <w:color w:val="0D1F3C"/>
          <w:sz w:val="32"/>
          <w:szCs w:val="32"/>
        </w:rPr>
        <w:t xml:space="preserve">References</w:t>
      </w:r>
    </w:p>
    <w:p>
      <w:pPr>
        <w:pBdr>
          <w:bottom w:val="single" w:color="1E6BB8" w:sz="6"/>
        </w:pBdr>
        <w:spacing w:after="160" w:before="0"/>
      </w:pPr>
    </w:p>
    <w:p>
      <w:pPr>
        <w:spacing w:after="140" w:before="0" w:line="320" w:lineRule="auto"/>
        <w:ind w:left="720" w:hanging="720"/>
      </w:pPr>
      <w:r>
        <w:rPr>
          <w:rFonts w:ascii="Calibri" w:cs="Calibri" w:eastAsia="Calibri" w:hAnsi="Calibri"/>
          <w:color w:val="1A1A2E"/>
          <w:sz w:val="22"/>
          <w:szCs w:val="22"/>
        </w:rPr>
        <w:t xml:space="preserve">Arnold, M., Abnet, C. C., Neale, R. E., Vignat, J., Giovannucci, E. L., McGlynn, K. A., &amp; Bray, F. (2020). Global burden of the 5 major types of gastrointestinal cancer. Gastroenterology, 159(1), 335–349. https://doi.org/10.1053/j.gastro.2020.02.068</w:t>
      </w:r>
    </w:p>
    <w:p>
      <w:pPr>
        <w:spacing w:after="140" w:before="0" w:line="320" w:lineRule="auto"/>
        <w:ind w:left="720" w:hanging="720"/>
      </w:pPr>
      <w:r>
        <w:rPr>
          <w:rFonts w:ascii="Calibri" w:cs="Calibri" w:eastAsia="Calibri" w:hAnsi="Calibri"/>
          <w:color w:val="1A1A2E"/>
          <w:sz w:val="22"/>
          <w:szCs w:val="22"/>
        </w:rPr>
        <w:t xml:space="preserve">Bray, F., Ferlay, J., Soerjomataram, I., Siegel, R. L., Torre, L. A., &amp; Jemal, A. (2018). Global cancer statistics 2018: GLOBOCAN estimates of incidence and mortality worldwide for 36 cancers in 185 countries. CA: A Cancer Journal for Clinicians, 68(6), 394–424. https://doi.org/10.3322/caac.21492</w:t>
      </w:r>
    </w:p>
    <w:p>
      <w:pPr>
        <w:spacing w:after="140" w:before="0" w:line="320" w:lineRule="auto"/>
        <w:ind w:left="720" w:hanging="720"/>
      </w:pPr>
      <w:r>
        <w:rPr>
          <w:rFonts w:ascii="Calibri" w:cs="Calibri" w:eastAsia="Calibri" w:hAnsi="Calibri"/>
          <w:color w:val="1A1A2E"/>
          <w:sz w:val="22"/>
          <w:szCs w:val="22"/>
        </w:rPr>
        <w:t xml:space="preserve">Ferlay, J., Colombet, M., Soerjomataram, I., Parkin, D. M., Pineros, M., Znaor, A., &amp; Bray, F. (2021). Cancer statistics for the year 2020: An overview. International Journal of Cancer, 149(4), 778–789. https://doi.org/10.1002/ijc.33588</w:t>
      </w:r>
    </w:p>
    <w:p>
      <w:pPr>
        <w:spacing w:after="140" w:before="0" w:line="320" w:lineRule="auto"/>
        <w:ind w:left="720" w:hanging="720"/>
      </w:pPr>
      <w:r>
        <w:rPr>
          <w:rFonts w:ascii="Calibri" w:cs="Calibri" w:eastAsia="Calibri" w:hAnsi="Calibri"/>
          <w:color w:val="1A1A2E"/>
          <w:sz w:val="22"/>
          <w:szCs w:val="22"/>
        </w:rPr>
        <w:t xml:space="preserve">Global Burden of Disease Collaborative Network. (2020). Global Burden of Disease Study 2019 (GBD 2019) results. Institute for Health Metrics and Evaluation. https://vizhub.healthdata.org/gbd-results/</w:t>
      </w:r>
    </w:p>
    <w:p>
      <w:pPr>
        <w:spacing w:after="140" w:before="0" w:line="320" w:lineRule="auto"/>
        <w:ind w:left="720" w:hanging="720"/>
      </w:pPr>
      <w:r>
        <w:rPr>
          <w:rFonts w:ascii="Calibri" w:cs="Calibri" w:eastAsia="Calibri" w:hAnsi="Calibri"/>
          <w:color w:val="1A1A2E"/>
          <w:sz w:val="22"/>
          <w:szCs w:val="22"/>
        </w:rPr>
        <w:t xml:space="preserve">Our World in Data. (2022). Cancer — data files [Data set]. https://ourworldindata.org/cancer</w:t>
      </w:r>
    </w:p>
    <w:p>
      <w:pPr>
        <w:spacing w:after="140" w:before="0" w:line="320" w:lineRule="auto"/>
        <w:ind w:left="720" w:hanging="720"/>
      </w:pPr>
      <w:r>
        <w:rPr>
          <w:rFonts w:ascii="Calibri" w:cs="Calibri" w:eastAsia="Calibri" w:hAnsi="Calibri"/>
          <w:color w:val="1A1A2E"/>
          <w:sz w:val="22"/>
          <w:szCs w:val="22"/>
        </w:rPr>
        <w:t xml:space="preserve">Siegel, R. L., Miller, K. D., Fuchs, H. E., &amp; Jemal, A. (2022). Cancer statistics, 2022. CA: A Cancer Journal for Clinicians, 72(1), 7–33. https://doi.org/10.3322/caac.21708</w:t>
      </w:r>
    </w:p>
    <w:p>
      <w:pPr>
        <w:spacing w:after="140" w:before="0" w:line="320" w:lineRule="auto"/>
        <w:ind w:left="720" w:hanging="720"/>
      </w:pPr>
      <w:r>
        <w:rPr>
          <w:rFonts w:ascii="Calibri" w:cs="Calibri" w:eastAsia="Calibri" w:hAnsi="Calibri"/>
          <w:color w:val="1A1A2E"/>
          <w:sz w:val="22"/>
          <w:szCs w:val="22"/>
        </w:rPr>
        <w:t xml:space="preserve">World Health Organization. (2023). Cancer. https://www.who.int/news-room/factsheets/detail/cancer</w:t>
      </w:r>
    </w:p>
    <w:p>
      <w:pPr>
        <w:spacing w:after="0" w:before="240"/>
      </w:pPr>
    </w:p>
    <w:p>
      <w:r>
        <w:br w:type="page"/>
      </w:r>
    </w:p>
    <w:p>
      <w:pPr>
        <w:spacing w:after="60" w:before="0"/>
        <w:jc w:val="center"/>
      </w:pPr>
      <w:r>
        <w:rPr>
          <w:rFonts w:ascii="Calibri" w:cs="Calibri" w:eastAsia="Calibri" w:hAnsi="Calibri"/>
          <w:b/>
          <w:bCs/>
          <w:color w:val="64748B"/>
          <w:spacing w:val="80"/>
          <w:sz w:val="22"/>
          <w:szCs w:val="22"/>
        </w:rPr>
        <w:t xml:space="preserve">A P P E N D I X</w:t>
      </w:r>
    </w:p>
    <w:p>
      <w:pPr>
        <w:pStyle w:val="Heading1"/>
        <w:spacing w:after="120" w:before="360"/>
      </w:pPr>
      <w:r>
        <w:rPr>
          <w:rFonts w:ascii="Georgia" w:cs="Georgia" w:eastAsia="Georgia" w:hAnsi="Georgia"/>
          <w:b/>
          <w:bCs/>
          <w:color w:val="0D1F3C"/>
          <w:sz w:val="32"/>
          <w:szCs w:val="32"/>
        </w:rPr>
        <w:t xml:space="preserve">A1. Audience Questions &amp; Full Answers</w:t>
      </w:r>
    </w:p>
    <w:p>
      <w:pPr>
        <w:pBdr>
          <w:bottom w:val="single" w:color="1E6BB8" w:sz="6"/>
        </w:pBdr>
        <w:spacing w:after="160" w:before="0"/>
      </w:pPr>
    </w:p>
    <w:p>
      <w:pPr>
        <w:spacing w:after="160" w:before="0" w:line="360" w:lineRule="auto"/>
        <w:jc w:val="both"/>
      </w:pPr>
      <w:r>
        <w:rPr>
          <w:rFonts w:ascii="Calibri" w:cs="Calibri" w:eastAsia="Calibri" w:hAnsi="Calibri"/>
          <w:color w:val="1A1A2E"/>
          <w:sz w:val="24"/>
          <w:szCs w:val="24"/>
        </w:rPr>
        <w:t xml:space="preserve">The following ten questions were anticipated during project planning. Full answers are provided below based on the data analysis, supporting literature, and methodological reflection.</w:t>
      </w:r>
    </w:p>
    <w:p>
      <w:pPr>
        <w:spacing w:after="0" w:before="80"/>
      </w:pPr>
    </w:p>
    <w:p>
      <w:pPr>
        <w:spacing w:after="80" w:before="280"/>
      </w:pPr>
      <w:r>
        <w:rPr>
          <w:rFonts w:ascii="Calibri" w:cs="Calibri" w:eastAsia="Calibri" w:hAnsi="Calibri"/>
          <w:b/>
          <w:bCs/>
          <w:color w:val="E8B84B"/>
          <w:sz w:val="24"/>
          <w:szCs w:val="24"/>
        </w:rPr>
        <w:t xml:space="preserve">Q1  </w:t>
      </w:r>
      <w:r>
        <w:rPr>
          <w:rFonts w:ascii="Georgia" w:cs="Georgia" w:eastAsia="Georgia" w:hAnsi="Georgia"/>
          <w:b/>
          <w:bCs/>
          <w:color w:val="0D1F3C"/>
          <w:sz w:val="24"/>
          <w:szCs w:val="24"/>
        </w:rPr>
        <w:t xml:space="preserve">Why focus on sex rather than gender?</w:t>
      </w:r>
    </w:p>
    <w:p>
      <w:pPr>
        <w:spacing w:after="200" w:before="0" w:line="360" w:lineRule="auto"/>
        <w:jc w:val="both"/>
      </w:pPr>
      <w:r>
        <w:rPr>
          <w:rFonts w:ascii="Calibri" w:cs="Calibri" w:eastAsia="Calibri" w:hAnsi="Calibri"/>
          <w:color w:val="1A1A2E"/>
          <w:sz w:val="24"/>
          <w:szCs w:val="24"/>
        </w:rPr>
        <w:t xml:space="preserve">The datasets used in this analysis — drawn from the IHME Global Burden of Disease Study 2019 — record biological sex as assigned in health registries (male/female), not gender identity. This is the standard classification in global epidemiological surveillance. The distinction is important: all findings in this paper describe patterns in biological sex as recorded in population-level health data and should not be interpreted as statements about gender identity or expression. A complete gender-inclusive analysis would require datasets that record non-binary, transgender, and intersex individuals — data that is currently unavailable at the global aggregate level. Future analyses should advocate for such disaggregation as health systems expand their data collection frameworks.</w:t>
      </w:r>
    </w:p>
    <w:p>
      <w:pPr>
        <w:pBdr>
          <w:bottom w:val="single" w:color="E2E8F0" w:sz="6"/>
        </w:pBdr>
        <w:spacing w:after="0" w:before="0"/>
      </w:pPr>
    </w:p>
    <w:p>
      <w:pPr>
        <w:spacing w:after="80" w:before="280"/>
      </w:pPr>
      <w:r>
        <w:rPr>
          <w:rFonts w:ascii="Calibri" w:cs="Calibri" w:eastAsia="Calibri" w:hAnsi="Calibri"/>
          <w:b/>
          <w:bCs/>
          <w:color w:val="E8B84B"/>
          <w:sz w:val="24"/>
          <w:szCs w:val="24"/>
        </w:rPr>
        <w:t xml:space="preserve">Q2  </w:t>
      </w:r>
      <w:r>
        <w:rPr>
          <w:rFonts w:ascii="Georgia" w:cs="Georgia" w:eastAsia="Georgia" w:hAnsi="Georgia"/>
          <w:b/>
          <w:bCs/>
          <w:color w:val="0D1F3C"/>
          <w:sz w:val="24"/>
          <w:szCs w:val="24"/>
        </w:rPr>
        <w:t xml:space="preserve">Does higher male mortality simply reflect men dying earlier from other causes?</w:t>
      </w:r>
    </w:p>
    <w:p>
      <w:pPr>
        <w:spacing w:after="200" w:before="0" w:line="360" w:lineRule="auto"/>
        <w:jc w:val="both"/>
      </w:pPr>
      <w:r>
        <w:rPr>
          <w:rFonts w:ascii="Calibri" w:cs="Calibri" w:eastAsia="Calibri" w:hAnsi="Calibri"/>
          <w:color w:val="1A1A2E"/>
          <w:sz w:val="24"/>
          <w:szCs w:val="24"/>
        </w:rPr>
        <w:t xml:space="preserve">No. This analysis uses age-standardized mortality rates throughout, which mathematically correct for differences in population age structure between male and female populations. Age-standardization allows valid apples-to-apples comparisons by asking: if both populations had the same age distribution, what would the death rates be? The male excess in cancer mortality — approximately 30 percentage points higher age-standardized rate — persists after this correction, reflecting genuine differences in cancer-specific risk exposure, not simply the general male longevity disadvantage. The male-predominance in specific cancer types (lung, esophageal, laryngeal, mesothelioma) is driven by differential exposure to tobacco and occupational carcinogens, not age structure.</w:t>
      </w:r>
    </w:p>
    <w:p>
      <w:pPr>
        <w:pBdr>
          <w:bottom w:val="single" w:color="E2E8F0" w:sz="6"/>
        </w:pBdr>
        <w:spacing w:after="0" w:before="0"/>
      </w:pPr>
    </w:p>
    <w:p>
      <w:pPr>
        <w:spacing w:after="80" w:before="280"/>
      </w:pPr>
      <w:r>
        <w:rPr>
          <w:rFonts w:ascii="Calibri" w:cs="Calibri" w:eastAsia="Calibri" w:hAnsi="Calibri"/>
          <w:b/>
          <w:bCs/>
          <w:color w:val="E8B84B"/>
          <w:sz w:val="24"/>
          <w:szCs w:val="24"/>
        </w:rPr>
        <w:t xml:space="preserve">Q3  </w:t>
      </w:r>
      <w:r>
        <w:rPr>
          <w:rFonts w:ascii="Georgia" w:cs="Georgia" w:eastAsia="Georgia" w:hAnsi="Georgia"/>
          <w:b/>
          <w:bCs/>
          <w:color w:val="0D1F3C"/>
          <w:sz w:val="24"/>
          <w:szCs w:val="24"/>
        </w:rPr>
        <w:t xml:space="preserve">Is the lung cancer burden behavioral or biological?</w:t>
      </w:r>
    </w:p>
    <w:p>
      <w:pPr>
        <w:spacing w:after="200" w:before="0" w:line="360" w:lineRule="auto"/>
        <w:jc w:val="both"/>
      </w:pPr>
      <w:r>
        <w:rPr>
          <w:rFonts w:ascii="Calibri" w:cs="Calibri" w:eastAsia="Calibri" w:hAnsi="Calibri"/>
          <w:color w:val="1A1A2E"/>
          <w:sz w:val="24"/>
          <w:szCs w:val="24"/>
        </w:rPr>
        <w:t xml:space="preserve">The evidence strongly indicates behavioral and structural origins rather than biological ones. The 70-year trajectory of lung cancer death rates by sex provides a natural experiment: male rates rose steeply from 1950, peaked around 1988, and have declined since; female rates started lower, rose steadily, and continued climbing through 2020. This divergence maps precisely onto differential tobacco uptake timelines — male smoking peaked globally in the 1950s–60s, female uptake followed one to two decades later — with a 20-to-30-year lag between peak smoking and peak mortality in each group (Siegel et al., 2022). If biology were the primary driver, we would not expect this temporal divergence to track so closely onto behavioral timelines. The structural forces shaping the gap — tobacco industry marketing strategies, occupational norms, and social permissibility of smoking — are human-made and therefore changeable.</w:t>
      </w:r>
    </w:p>
    <w:p>
      <w:pPr>
        <w:pBdr>
          <w:bottom w:val="single" w:color="E2E8F0" w:sz="6"/>
        </w:pBdr>
        <w:spacing w:after="0" w:before="0"/>
      </w:pPr>
    </w:p>
    <w:p>
      <w:pPr>
        <w:spacing w:after="80" w:before="280"/>
      </w:pPr>
      <w:r>
        <w:rPr>
          <w:rFonts w:ascii="Calibri" w:cs="Calibri" w:eastAsia="Calibri" w:hAnsi="Calibri"/>
          <w:b/>
          <w:bCs/>
          <w:color w:val="E8B84B"/>
          <w:sz w:val="24"/>
          <w:szCs w:val="24"/>
        </w:rPr>
        <w:t xml:space="preserve">Q4  </w:t>
      </w:r>
      <w:r>
        <w:rPr>
          <w:rFonts w:ascii="Georgia" w:cs="Georgia" w:eastAsia="Georgia" w:hAnsi="Georgia"/>
          <w:b/>
          <w:bCs/>
          <w:color w:val="0D1F3C"/>
          <w:sz w:val="24"/>
          <w:szCs w:val="24"/>
        </w:rPr>
        <w:t xml:space="preserve">Why is lung cancer survival so low compared to breast or prostate cancer?</w:t>
      </w:r>
    </w:p>
    <w:p>
      <w:pPr>
        <w:spacing w:after="200" w:before="0" w:line="360" w:lineRule="auto"/>
        <w:jc w:val="both"/>
      </w:pPr>
      <w:r>
        <w:rPr>
          <w:rFonts w:ascii="Calibri" w:cs="Calibri" w:eastAsia="Calibri" w:hAnsi="Calibri"/>
          <w:color w:val="1A1A2E"/>
          <w:sz w:val="24"/>
          <w:szCs w:val="24"/>
        </w:rPr>
        <w:t xml:space="preserve">The primary driver is stage at diagnosis, which is itself a function of screening investment. Prostate cancer (~86% five-year survival) and breast cancer (~78%) both benefit from decades of organized, population-level screening programs — PSA testing and mammography respectively — that detect cancers at earlier, more treatable stages. Lung cancer (~14% five-year survival) has historically lacked equivalent systematic screening infrastructure. The National Lung Screening Trial (NLST) demonstrated that annual low-dose computed tomography (LDCT) screening in high-risk individuals reduces lung cancer mortality by approximately 20%, yet deployment remains limited and inequitable. The 14% survival figure is therefore not a biological ceiling — it is a policy outcome. Closing this gap requires treating lung cancer screening with the same institutional commitment given to breast and prostate screening.</w:t>
      </w:r>
    </w:p>
    <w:p>
      <w:pPr>
        <w:pBdr>
          <w:bottom w:val="single" w:color="E2E8F0" w:sz="6"/>
        </w:pBdr>
        <w:spacing w:after="0" w:before="0"/>
      </w:pPr>
    </w:p>
    <w:p>
      <w:pPr>
        <w:spacing w:after="80" w:before="280"/>
      </w:pPr>
      <w:r>
        <w:rPr>
          <w:rFonts w:ascii="Calibri" w:cs="Calibri" w:eastAsia="Calibri" w:hAnsi="Calibri"/>
          <w:b/>
          <w:bCs/>
          <w:color w:val="E8B84B"/>
          <w:sz w:val="24"/>
          <w:szCs w:val="24"/>
        </w:rPr>
        <w:t xml:space="preserve">Q5  </w:t>
      </w:r>
      <w:r>
        <w:rPr>
          <w:rFonts w:ascii="Georgia" w:cs="Georgia" w:eastAsia="Georgia" w:hAnsi="Georgia"/>
          <w:b/>
          <w:bCs/>
          <w:color w:val="0D1F3C"/>
          <w:sz w:val="24"/>
          <w:szCs w:val="24"/>
        </w:rPr>
        <w:t xml:space="preserve">Does this analysis argue that breast cancer research is over-funded?</w:t>
      </w:r>
    </w:p>
    <w:p>
      <w:pPr>
        <w:spacing w:after="200" w:before="0" w:line="360" w:lineRule="auto"/>
        <w:jc w:val="both"/>
      </w:pPr>
      <w:r>
        <w:rPr>
          <w:rFonts w:ascii="Calibri" w:cs="Calibri" w:eastAsia="Calibri" w:hAnsi="Calibri"/>
          <w:color w:val="1A1A2E"/>
          <w:sz w:val="24"/>
          <w:szCs w:val="24"/>
        </w:rPr>
        <w:t xml:space="preserve">No. This analysis makes no claim that breast cancer research, advocacy, or screening investment is excessive. It argues that lung cancer — the leading cause of cancer death globally, killing more people annually than breast, colorectal, and prostate cancers combined — is under-resourced relative to its mortality burden. The goal is to raise the floor for lung cancer investment and public health attention, not to lower the ceiling for other cancers. The breast cancer advocacy movement built since the 1970s–80s is a model worth emulating: it created organized screening infrastructure, sustained public awareness, and measurably improved survival outcomes. Applying that model to lung cancer is the recommendation — not dismantling what breast cancer advocacy has built.</w:t>
      </w:r>
    </w:p>
    <w:p>
      <w:pPr>
        <w:pBdr>
          <w:bottom w:val="single" w:color="E2E8F0" w:sz="6"/>
        </w:pBdr>
        <w:spacing w:after="0" w:before="0"/>
      </w:pPr>
    </w:p>
    <w:p>
      <w:pPr>
        <w:spacing w:after="80" w:before="280"/>
      </w:pPr>
      <w:r>
        <w:rPr>
          <w:rFonts w:ascii="Calibri" w:cs="Calibri" w:eastAsia="Calibri" w:hAnsi="Calibri"/>
          <w:b/>
          <w:bCs/>
          <w:color w:val="E8B84B"/>
          <w:sz w:val="24"/>
          <w:szCs w:val="24"/>
        </w:rPr>
        <w:t xml:space="preserve">Q6  </w:t>
      </w:r>
      <w:r>
        <w:rPr>
          <w:rFonts w:ascii="Georgia" w:cs="Georgia" w:eastAsia="Georgia" w:hAnsi="Georgia"/>
          <w:b/>
          <w:bCs/>
          <w:color w:val="0D1F3C"/>
          <w:sz w:val="24"/>
          <w:szCs w:val="24"/>
        </w:rPr>
        <w:t xml:space="preserve">How reliable are global aggregates given known data gaps in low-income countries?</w:t>
      </w:r>
    </w:p>
    <w:p>
      <w:pPr>
        <w:spacing w:after="200" w:before="0" w:line="360" w:lineRule="auto"/>
        <w:jc w:val="both"/>
      </w:pPr>
      <w:r>
        <w:rPr>
          <w:rFonts w:ascii="Calibri" w:cs="Calibri" w:eastAsia="Calibri" w:hAnsi="Calibri"/>
          <w:color w:val="1A1A2E"/>
          <w:sz w:val="24"/>
          <w:szCs w:val="24"/>
        </w:rPr>
        <w:t xml:space="preserve">Global aggregate estimates from the IHME GBD Study 2019 are the most comprehensive available, but they carry important uncertainty, particularly in low- and middle-income countries (LMICs) where cancer registry infrastructure is limited or absent. IHME uses statistical modeling to generate estimates for countries lacking direct surveillance data, which introduces uncertainty bounds not fully reflected in point estimates. This paper acknowledges this as a key limitation: global aggregates mask substantial regional variation, and the analysis is entirely descriptive. The practical implication is that the findings describe broad global patterns with confidence, but regional policy decisions require locally validated data. Establishing sex-disaggregated cancer registries in LMICs is explicitly listed as Recommendation 5 precisely because improving data quality is prerequisite to improving resource allocation.</w:t>
      </w:r>
    </w:p>
    <w:p>
      <w:pPr>
        <w:pBdr>
          <w:bottom w:val="single" w:color="E2E8F0" w:sz="6"/>
        </w:pBdr>
        <w:spacing w:after="0" w:before="0"/>
      </w:pPr>
    </w:p>
    <w:p>
      <w:pPr>
        <w:spacing w:after="80" w:before="280"/>
      </w:pPr>
      <w:r>
        <w:rPr>
          <w:rFonts w:ascii="Calibri" w:cs="Calibri" w:eastAsia="Calibri" w:hAnsi="Calibri"/>
          <w:b/>
          <w:bCs/>
          <w:color w:val="E8B84B"/>
          <w:sz w:val="24"/>
          <w:szCs w:val="24"/>
        </w:rPr>
        <w:t xml:space="preserve">Q7  </w:t>
      </w:r>
      <w:r>
        <w:rPr>
          <w:rFonts w:ascii="Georgia" w:cs="Georgia" w:eastAsia="Georgia" w:hAnsi="Georgia"/>
          <w:b/>
          <w:bCs/>
          <w:color w:val="0D1F3C"/>
          <w:sz w:val="24"/>
          <w:szCs w:val="24"/>
        </w:rPr>
        <w:t xml:space="preserve">What drives mesothelioma's 92% risk attribution — the highest in the dataset?</w:t>
      </w:r>
    </w:p>
    <w:p>
      <w:pPr>
        <w:spacing w:after="200" w:before="0" w:line="360" w:lineRule="auto"/>
        <w:jc w:val="both"/>
      </w:pPr>
      <w:r>
        <w:rPr>
          <w:rFonts w:ascii="Calibri" w:cs="Calibri" w:eastAsia="Calibri" w:hAnsi="Calibri"/>
          <w:color w:val="1A1A2E"/>
          <w:sz w:val="24"/>
          <w:szCs w:val="24"/>
        </w:rPr>
        <w:t xml:space="preserve">Mesothelioma is a cancer of the mesothelium — the thin tissue layer lining the lungs, abdomen, and heart — caused almost exclusively by asbestos fiber inhalation. The 92% attributable risk reflects the near-singular causal pathway: asbestos exposure accounts for approximately 80% of mesothelioma cases globally, with the remaining fraction attributed to other mineral fibers and, rarely, radiation exposure. This extraordinarily high attribution makes mesothelioma arguably the most structurally preventable cancer in the dataset — it is an occupational disease with a known, controllable cause. Despite asbestos bans in over 60 countries, global asbestos use continues in many LMICs, particularly in construction and insulation industries. The male predominance in mesothelioma directly reflects historical male occupational concentration in asbestos-heavy industries (mining, shipbuilding, construction). Expanded occupational carcinogen tracking and enforcement of asbestos bans represent the clearest near-term prevention levers.</w:t>
      </w:r>
    </w:p>
    <w:p>
      <w:pPr>
        <w:pBdr>
          <w:bottom w:val="single" w:color="E2E8F0" w:sz="6"/>
        </w:pBdr>
        <w:spacing w:after="0" w:before="0"/>
      </w:pPr>
    </w:p>
    <w:p>
      <w:pPr>
        <w:spacing w:after="80" w:before="280"/>
      </w:pPr>
      <w:r>
        <w:rPr>
          <w:rFonts w:ascii="Calibri" w:cs="Calibri" w:eastAsia="Calibri" w:hAnsi="Calibri"/>
          <w:b/>
          <w:bCs/>
          <w:color w:val="E8B84B"/>
          <w:sz w:val="24"/>
          <w:szCs w:val="24"/>
        </w:rPr>
        <w:t xml:space="preserve">Q8  </w:t>
      </w:r>
      <w:r>
        <w:rPr>
          <w:rFonts w:ascii="Georgia" w:cs="Georgia" w:eastAsia="Georgia" w:hAnsi="Georgia"/>
          <w:b/>
          <w:bCs/>
          <w:color w:val="0D1F3C"/>
          <w:sz w:val="24"/>
          <w:szCs w:val="24"/>
        </w:rPr>
        <w:t xml:space="preserve">Has the tobacco share of cancer deaths been declining, and does that make tobacco control less urgent?</w:t>
      </w:r>
    </w:p>
    <w:p>
      <w:pPr>
        <w:spacing w:after="200" w:before="0" w:line="360" w:lineRule="auto"/>
        <w:jc w:val="both"/>
      </w:pPr>
      <w:r>
        <w:rPr>
          <w:rFonts w:ascii="Calibri" w:cs="Calibri" w:eastAsia="Calibri" w:hAnsi="Calibri"/>
          <w:color w:val="1A1A2E"/>
          <w:sz w:val="24"/>
          <w:szCs w:val="24"/>
        </w:rPr>
        <w:t xml:space="preserve">The tobacco-attributable share of cancer deaths has declined modestly — from approximately 27.5% in the early 1990s to 25.7% in 2019 — reflecting decades of public health investment in anti-smoking campaigns, tobacco taxation, and advertising restrictions in high-income countries. This progress is real but should not diminish urgency for several reasons. First, 25.7% still represents approximately 2.5 million preventable cancer deaths per year — the largest single modifiable contributor in the dataset. Second, the decline is geographically uneven: in many LMICs, male smoking rates remain high and tobacco industry marketing is intensifying, meaning the mortality toll from current smokers will continue for decades given the 20-to-30-year lag. Third, the female burden is still rising in some regions where female tobacco uptake is accelerating. The declining trend is a signal that tobacco control works — not a signal to reduce investment.</w:t>
      </w:r>
    </w:p>
    <w:p>
      <w:pPr>
        <w:pBdr>
          <w:bottom w:val="single" w:color="E2E8F0" w:sz="6"/>
        </w:pBdr>
        <w:spacing w:after="0" w:before="0"/>
      </w:pPr>
    </w:p>
    <w:p>
      <w:pPr>
        <w:spacing w:after="80" w:before="280"/>
      </w:pPr>
      <w:r>
        <w:rPr>
          <w:rFonts w:ascii="Calibri" w:cs="Calibri" w:eastAsia="Calibri" w:hAnsi="Calibri"/>
          <w:b/>
          <w:bCs/>
          <w:color w:val="E8B84B"/>
          <w:sz w:val="24"/>
          <w:szCs w:val="24"/>
        </w:rPr>
        <w:t xml:space="preserve">Q9  </w:t>
      </w:r>
      <w:r>
        <w:rPr>
          <w:rFonts w:ascii="Georgia" w:cs="Georgia" w:eastAsia="Georgia" w:hAnsi="Georgia"/>
          <w:b/>
          <w:bCs/>
          <w:color w:val="0D1F3C"/>
          <w:sz w:val="24"/>
          <w:szCs w:val="24"/>
        </w:rPr>
        <w:t xml:space="preserve">How would regional breakouts change or complicate these findings?</w:t>
      </w:r>
    </w:p>
    <w:p>
      <w:pPr>
        <w:spacing w:after="200" w:before="0" w:line="360" w:lineRule="auto"/>
        <w:jc w:val="both"/>
      </w:pPr>
      <w:r>
        <w:rPr>
          <w:rFonts w:ascii="Calibri" w:cs="Calibri" w:eastAsia="Calibri" w:hAnsi="Calibri"/>
          <w:color w:val="1A1A2E"/>
          <w:sz w:val="24"/>
          <w:szCs w:val="24"/>
        </w:rPr>
        <w:t xml:space="preserve">Global aggregates conceal substantial regional heterogeneity. Several dimensions would shift meaningfully in a regional analysis: (1) Lung cancer sex gaps are larger in East Asia, where male smoking rates remain very high, than in North America and Western Europe, where the gap has narrowed substantially. (2) Cervical cancer — relatively low in global aggregates — is a dominant cause of female cancer death in sub-Saharan Africa and parts of South Asia, reflecting inequities in HPV vaccination and screening access. (3) Stomach cancer mortality is elevated in East Asia relative to global averages, linked to H. pylori prevalence and dietary patterns. (4) Mesothelioma burden is concentrated in countries with historical asbestos industries (Australia, UK, Belgium) that are now experiencing the lagged mortality wave from mid-20th century occupational exposure. A regional breakout using Human Development Index (HDI) strata would expose these equity dimensions and allow more targeted, contextually appropriate recommendations — a clear priority for future analysis.</w:t>
      </w:r>
    </w:p>
    <w:p>
      <w:pPr>
        <w:pBdr>
          <w:bottom w:val="single" w:color="E2E8F0" w:sz="6"/>
        </w:pBdr>
        <w:spacing w:after="0" w:before="0"/>
      </w:pPr>
    </w:p>
    <w:p>
      <w:pPr>
        <w:spacing w:after="80" w:before="280"/>
      </w:pPr>
      <w:r>
        <w:rPr>
          <w:rFonts w:ascii="Calibri" w:cs="Calibri" w:eastAsia="Calibri" w:hAnsi="Calibri"/>
          <w:b/>
          <w:bCs/>
          <w:color w:val="E8B84B"/>
          <w:sz w:val="24"/>
          <w:szCs w:val="24"/>
        </w:rPr>
        <w:t xml:space="preserve">Q10  </w:t>
      </w:r>
      <w:r>
        <w:rPr>
          <w:rFonts w:ascii="Georgia" w:cs="Georgia" w:eastAsia="Georgia" w:hAnsi="Georgia"/>
          <w:b/>
          <w:bCs/>
          <w:color w:val="0D1F3C"/>
          <w:sz w:val="24"/>
          <w:szCs w:val="24"/>
        </w:rPr>
        <w:t xml:space="preserve">What would a follow-up study look like to address the current limitations?</w:t>
      </w:r>
    </w:p>
    <w:p>
      <w:pPr>
        <w:spacing w:after="200" w:before="0" w:line="360" w:lineRule="auto"/>
        <w:jc w:val="both"/>
      </w:pPr>
      <w:r>
        <w:rPr>
          <w:rFonts w:ascii="Calibri" w:cs="Calibri" w:eastAsia="Calibri" w:hAnsi="Calibri"/>
          <w:color w:val="1A1A2E"/>
          <w:sz w:val="24"/>
          <w:szCs w:val="24"/>
        </w:rPr>
        <w:t xml:space="preserve">The primary limitation of this analysis is the absence of sex-disaggregated data across all cancer types — only lung cancer had a sex-specific mortality file in the dataset used. A follow-up study would address this through three expansions: (1) Data integration: link GLOBOCAN 2020 incidence data (which includes full male/female splits across cancer types) with GBD 2019 mortality data to compute both incidence and case-fatality ratios by sex and cancer type — enabling a richer picture of where sex gaps occur at diagnosis versus survival. (2) Tobacco linkage: incorporate World Bank and WHO tobacco prevalence by sex at the country level to directly model the quantitative relationship between smoking rates and lung cancer mortality divergence using regression analysis rather than descriptive inference. (3) Regional equity analysis: stratify findings by WHO region and World Bank income group to expose how global aggregates mask LMIC-specific burdens, informing targeted recommendations. Moving from descriptive to inferential statistical methods — including confidence intervals and regression modeling — would substantially strengthen the analytical foundation.</w:t>
      </w:r>
    </w:p>
    <w:p>
      <w:pPr>
        <w:spacing w:after="0" w:before="240"/>
      </w:pPr>
    </w:p>
    <w:p>
      <w:pPr>
        <w:pStyle w:val="Heading1"/>
        <w:spacing w:after="120" w:before="360"/>
      </w:pPr>
      <w:r>
        <w:rPr>
          <w:rFonts w:ascii="Georgia" w:cs="Georgia" w:eastAsia="Georgia" w:hAnsi="Georgia"/>
          <w:b/>
          <w:bCs/>
          <w:color w:val="0D1F3C"/>
          <w:sz w:val="32"/>
          <w:szCs w:val="32"/>
        </w:rPr>
        <w:t xml:space="preserve">A2. Key Terminology Glossary</w:t>
      </w:r>
    </w:p>
    <w:p>
      <w:pPr>
        <w:pBdr>
          <w:bottom w:val="single" w:color="1E6BB8" w:sz="6"/>
        </w:pBdr>
        <w:spacing w:after="160" w:before="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D1F3C" w:sz="4"/>
              <w:left w:val="single" w:color="0D1F3C" w:sz="4"/>
              <w:bottom w:val="single" w:color="0D1F3C" w:sz="4"/>
              <w:right w:val="single" w:color="0D1F3C" w:sz="4"/>
            </w:tcBorders>
            <w:shd w:fill="0D1F3C" w:val="clear"/>
            <w:tcMar>
              <w:top w:type="dxa" w:w="80"/>
              <w:left w:type="dxa" w:w="120"/>
              <w:bottom w:type="dxa" w:w="80"/>
              <w:right w:type="dxa" w:w="120"/>
            </w:tcMar>
          </w:tcPr>
          <w:p>
            <w:r>
              <w:rPr>
                <w:rFonts w:ascii="Calibri" w:cs="Calibri" w:eastAsia="Calibri" w:hAnsi="Calibri"/>
                <w:b/>
                <w:bCs/>
                <w:color w:val="FFFFFF"/>
                <w:sz w:val="22"/>
                <w:szCs w:val="22"/>
              </w:rPr>
              <w:t xml:space="preserve">Term</w:t>
            </w:r>
          </w:p>
        </w:tc>
        <w:tc>
          <w:tcPr>
            <w:tcW w:type="dxa" w:w="6960"/>
            <w:tcBorders>
              <w:top w:val="single" w:color="0D1F3C" w:sz="4"/>
              <w:left w:val="single" w:color="0D1F3C" w:sz="4"/>
              <w:bottom w:val="single" w:color="0D1F3C" w:sz="4"/>
              <w:right w:val="single" w:color="0D1F3C" w:sz="4"/>
            </w:tcBorders>
            <w:shd w:fill="0D1F3C" w:val="clear"/>
            <w:tcMar>
              <w:top w:type="dxa" w:w="80"/>
              <w:left w:type="dxa" w:w="120"/>
              <w:bottom w:type="dxa" w:w="80"/>
              <w:right w:type="dxa" w:w="120"/>
            </w:tcMar>
          </w:tcPr>
          <w:p>
            <w:r>
              <w:rPr>
                <w:rFonts w:ascii="Calibri" w:cs="Calibri" w:eastAsia="Calibri" w:hAnsi="Calibri"/>
                <w:b/>
                <w:bCs/>
                <w:color w:val="FFFFFF"/>
                <w:sz w:val="22"/>
                <w:szCs w:val="22"/>
              </w:rPr>
              <w:t xml:space="preserve">Definition</w:t>
            </w:r>
          </w:p>
        </w:tc>
      </w:tr>
      <w:tr>
        <w:tc>
          <w:tcPr>
            <w:tcW w:type="dxa" w:w="240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tcPr>
          <w:p>
            <w:r>
              <w:rPr>
                <w:rFonts w:ascii="Calibri" w:cs="Calibri" w:eastAsia="Calibri" w:hAnsi="Calibri"/>
                <w:b/>
                <w:bCs/>
                <w:color w:val="1E6BB8"/>
                <w:sz w:val="22"/>
                <w:szCs w:val="22"/>
              </w:rPr>
              <w:t xml:space="preserve">Age-standardized rate</w:t>
            </w:r>
          </w:p>
        </w:tc>
        <w:tc>
          <w:tcPr>
            <w:tcW w:type="dxa" w:w="696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tcPr>
          <w:p>
            <w:pPr>
              <w:spacing w:line="320" w:lineRule="auto"/>
            </w:pPr>
            <w:r>
              <w:rPr>
                <w:rFonts w:ascii="Calibri" w:cs="Calibri" w:eastAsia="Calibri" w:hAnsi="Calibri"/>
                <w:color w:val="1A1A2E"/>
                <w:sz w:val="22"/>
                <w:szCs w:val="22"/>
              </w:rPr>
              <w:t xml:space="preserve">A rate adjusted to a standard population age distribution, enabling valid comparisons across populations with different age structures.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bCs/>
                <w:color w:val="1E6BB8"/>
                <w:sz w:val="22"/>
                <w:szCs w:val="22"/>
              </w:rPr>
              <w:t xml:space="preserve">GBD Study (IHME)</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20" w:lineRule="auto"/>
            </w:pPr>
            <w:r>
              <w:rPr>
                <w:rFonts w:ascii="Calibri" w:cs="Calibri" w:eastAsia="Calibri" w:hAnsi="Calibri"/>
                <w:color w:val="1A1A2E"/>
                <w:sz w:val="22"/>
                <w:szCs w:val="22"/>
              </w:rPr>
              <w:t xml:space="preserve">Global Burden of Disease Study by the Institute for Health Metrics and Evaluation — the most comprehensive global epidemiological dataset by country, year, age, and sex.</w:t>
            </w:r>
          </w:p>
        </w:tc>
      </w:tr>
      <w:tr>
        <w:tc>
          <w:tcPr>
            <w:tcW w:type="dxa" w:w="240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tcPr>
          <w:p>
            <w:r>
              <w:rPr>
                <w:rFonts w:ascii="Calibri" w:cs="Calibri" w:eastAsia="Calibri" w:hAnsi="Calibri"/>
                <w:b/>
                <w:bCs/>
                <w:color w:val="1E6BB8"/>
                <w:sz w:val="22"/>
                <w:szCs w:val="22"/>
              </w:rPr>
              <w:t xml:space="preserve">M:F Ratio</w:t>
            </w:r>
          </w:p>
        </w:tc>
        <w:tc>
          <w:tcPr>
            <w:tcW w:type="dxa" w:w="696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tcPr>
          <w:p>
            <w:pPr>
              <w:spacing w:line="320" w:lineRule="auto"/>
            </w:pPr>
            <w:r>
              <w:rPr>
                <w:rFonts w:ascii="Calibri" w:cs="Calibri" w:eastAsia="Calibri" w:hAnsi="Calibri"/>
                <w:color w:val="1A1A2E"/>
                <w:sz w:val="22"/>
                <w:szCs w:val="22"/>
              </w:rPr>
              <w:t xml:space="preserve">Male-to-female mortality ratio: the male age-standardized death rate divided by the female rate for a given cancer type.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bCs/>
                <w:color w:val="1E6BB8"/>
                <w:sz w:val="22"/>
                <w:szCs w:val="22"/>
              </w:rPr>
              <w:t xml:space="preserve">Risk attribution</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20" w:lineRule="auto"/>
            </w:pPr>
            <w:r>
              <w:rPr>
                <w:rFonts w:ascii="Calibri" w:cs="Calibri" w:eastAsia="Calibri" w:hAnsi="Calibri"/>
                <w:color w:val="1A1A2E"/>
                <w:sz w:val="22"/>
                <w:szCs w:val="22"/>
              </w:rPr>
              <w:t xml:space="preserve">The proportion of deaths from a cause statistically attributable to one or more known risk factors (e.g., tobacco, occupational carcinogens).</w:t>
            </w:r>
          </w:p>
        </w:tc>
      </w:tr>
      <w:tr>
        <w:tc>
          <w:tcPr>
            <w:tcW w:type="dxa" w:w="240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tcPr>
          <w:p>
            <w:r>
              <w:rPr>
                <w:rFonts w:ascii="Calibri" w:cs="Calibri" w:eastAsia="Calibri" w:hAnsi="Calibri"/>
                <w:b/>
                <w:bCs/>
                <w:color w:val="1E6BB8"/>
                <w:sz w:val="22"/>
                <w:szCs w:val="22"/>
              </w:rPr>
              <w:t xml:space="preserve">Five-year survival rate</w:t>
            </w:r>
          </w:p>
        </w:tc>
        <w:tc>
          <w:tcPr>
            <w:tcW w:type="dxa" w:w="696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tcPr>
          <w:p>
            <w:pPr>
              <w:spacing w:line="320" w:lineRule="auto"/>
            </w:pPr>
            <w:r>
              <w:rPr>
                <w:rFonts w:ascii="Calibri" w:cs="Calibri" w:eastAsia="Calibri" w:hAnsi="Calibri"/>
                <w:color w:val="1A1A2E"/>
                <w:sz w:val="22"/>
                <w:szCs w:val="22"/>
              </w:rPr>
              <w:t xml:space="preserve">Percentage of patients alive five years after a given cancer diagnosis; a standard oncology outcome benchmark.</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bCs/>
                <w:color w:val="1E6BB8"/>
                <w:sz w:val="22"/>
                <w:szCs w:val="22"/>
              </w:rPr>
              <w:t xml:space="preserve">GLOBOCAN</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20" w:lineRule="auto"/>
            </w:pPr>
            <w:r>
              <w:rPr>
                <w:rFonts w:ascii="Calibri" w:cs="Calibri" w:eastAsia="Calibri" w:hAnsi="Calibri"/>
                <w:color w:val="1A1A2E"/>
                <w:sz w:val="22"/>
                <w:szCs w:val="22"/>
              </w:rPr>
              <w:t xml:space="preserve">An IARC database providing global estimates of cancer incidence and mortality by country and cancer type.</w:t>
            </w:r>
          </w:p>
        </w:tc>
      </w:tr>
      <w:tr>
        <w:tc>
          <w:tcPr>
            <w:tcW w:type="dxa" w:w="240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tcPr>
          <w:p>
            <w:r>
              <w:rPr>
                <w:rFonts w:ascii="Calibri" w:cs="Calibri" w:eastAsia="Calibri" w:hAnsi="Calibri"/>
                <w:b/>
                <w:bCs/>
                <w:color w:val="1E6BB8"/>
                <w:sz w:val="22"/>
                <w:szCs w:val="22"/>
              </w:rPr>
              <w:t xml:space="preserve">LDCT</w:t>
            </w:r>
          </w:p>
        </w:tc>
        <w:tc>
          <w:tcPr>
            <w:tcW w:type="dxa" w:w="696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tcPr>
          <w:p>
            <w:pPr>
              <w:spacing w:line="320" w:lineRule="auto"/>
            </w:pPr>
            <w:r>
              <w:rPr>
                <w:rFonts w:ascii="Calibri" w:cs="Calibri" w:eastAsia="Calibri" w:hAnsi="Calibri"/>
                <w:color w:val="1A1A2E"/>
                <w:sz w:val="22"/>
                <w:szCs w:val="22"/>
              </w:rPr>
              <w:t xml:space="preserve">Low-dose computed tomography; the imaging modality used in lung cancer screening trials, shown to reduce lung cancer mortality in high-risk individuals.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bCs/>
                <w:color w:val="1E6BB8"/>
                <w:sz w:val="22"/>
                <w:szCs w:val="22"/>
              </w:rPr>
              <w:t xml:space="preserve">LMIC</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320" w:lineRule="auto"/>
            </w:pPr>
            <w:r>
              <w:rPr>
                <w:rFonts w:ascii="Calibri" w:cs="Calibri" w:eastAsia="Calibri" w:hAnsi="Calibri"/>
                <w:color w:val="1A1A2E"/>
                <w:sz w:val="22"/>
                <w:szCs w:val="22"/>
              </w:rPr>
              <w:t xml:space="preserve">Low- and middle-income country; a World Bank income classification used to identify populations with limited health system infrastructure.</w:t>
            </w:r>
          </w:p>
        </w:tc>
      </w:tr>
    </w:tbl>
    <w:p>
      <w:pPr>
        <w:spacing w:after="0" w:before="12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pBdr>
      <w:tabs>
        <w:tab w:val="right" w:pos="9360"/>
      </w:tabs>
      <w:spacing w:after="0" w:before="120"/>
    </w:pPr>
    <w:r>
      <w:rPr>
        <w:rFonts w:ascii="Calibri" w:cs="Calibri" w:eastAsia="Calibri" w:hAnsi="Calibri"/>
        <w:color w:val="64748B"/>
        <w:sz w:val="18"/>
        <w:szCs w:val="18"/>
      </w:rPr>
      <w:t xml:space="preserve">DSC 680 · Academic Use Only</w:t>
    </w:r>
    <w:r>
      <w:rPr>
        <w:rFonts w:ascii="Calibri" w:cs="Calibri" w:eastAsia="Calibri" w:hAnsi="Calibri"/>
        <w:color w:val="64748B"/>
        <w:sz w:val="18"/>
        <w:szCs w:val="18"/>
      </w:rPr>
      <w:t xml:space="preserve">	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1F3C" w:sz="6"/>
      </w:pBdr>
      <w:spacing w:after="120" w:before="0"/>
    </w:pPr>
    <w:r>
      <w:rPr>
        <w:rFonts w:ascii="Georgia" w:cs="Georgia" w:eastAsia="Georgia" w:hAnsi="Georgia"/>
        <w:b/>
        <w:bCs/>
        <w:color w:val="0D1F3C"/>
        <w:sz w:val="20"/>
        <w:szCs w:val="20"/>
      </w:rPr>
      <w:t xml:space="preserve">The Gender Cancer Divide</w:t>
    </w:r>
    <w:r>
      <w:rPr>
        <w:rFonts w:ascii="Calibri" w:cs="Calibri" w:eastAsia="Calibri" w:hAnsi="Calibri"/>
        <w:color w:val="64748B"/>
        <w:sz w:val="20"/>
        <w:szCs w:val="20"/>
      </w:rPr>
      <w:t xml:space="preserve">   |   Mostapha Balon · DSC 680 · Bellevue University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Georgia" w:cs="Georgia" w:eastAsia="Georgia" w:hAnsi="Georgia"/>
      <w:b/>
      <w:bCs/>
      <w:color w:val="0D1F3C"/>
      <w:sz w:val="32"/>
      <w:szCs w:val="32"/>
    </w:rPr>
  </w:style>
  <w:style w:type="paragraph" w:styleId="Heading2">
    <w:name w:val="Heading 2"/>
    <w:basedOn w:val="Normal"/>
    <w:next w:val="Normal"/>
    <w:qFormat/>
    <w:pPr>
      <w:spacing w:after="80" w:before="240"/>
      <w:outlineLvl w:val="1"/>
    </w:pPr>
    <w:rPr>
      <w:rFonts w:ascii="Calibri" w:cs="Calibri" w:eastAsia="Calibri" w:hAnsi="Calibri"/>
      <w:b/>
      <w:bCs/>
      <w:color w:val="1E6BB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2026-04-10T05:00:07.788Z</dcterms:created>
  <dcterms:modified xsi:type="dcterms:W3CDTF">2026-04-10T05:00:07.788Z</dcterms:modified>
</cp:coreProperties>
</file>

<file path=docProps/custom.xml><?xml version="1.0" encoding="utf-8"?>
<Properties xmlns="http://schemas.openxmlformats.org/officeDocument/2006/custom-properties" xmlns:vt="http://schemas.openxmlformats.org/officeDocument/2006/docPropsVTypes"/>
</file>