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S11 Table. </w:t>
      </w:r>
      <w:r>
        <w:rPr>
          <w:rFonts w:ascii="Calibri" w:cs="Calibri" w:eastAsia="Calibri" w:hAnsi="Calibri"/>
          <w:sz w:val="22"/>
          <w:szCs w:val="22"/>
        </w:rPr>
        <w:t xml:space="preserve">Protein targets, PDB structures, and molecular docking grid parameters used in the virtual screening analysis.</w:t>
      </w:r>
    </w:p>
    <w:tbl>
      <w:tblPr>
        <w:tblW w:type="dxa" w:w="14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000"/>
        <w:gridCol w:w="4200"/>
        <w:gridCol w:w="1150"/>
        <w:gridCol w:w="1150"/>
        <w:gridCol w:w="1150"/>
        <w:gridCol w:w="2000"/>
        <w:gridCol w:w="1500"/>
        <w:gridCol w:w="17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PDB ID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Protein structure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Center X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Center Y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Center Z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Grid size (X × Y × Z, Å)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Exhaustiveness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Energy range (kcal/mol)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ERBB2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3N85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HER2 extracellular region + antibody Fab complex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90.202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5.735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−27.187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HDAC1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6Z2K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Tetrameric HDAC1/MIDEAS/DNTTIP1 MiDAC complex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216.003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215.994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215.974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HGF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1NK1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NK1 fragment of human HGF/SF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8.252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31.175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12.288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IGF1R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7XLC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Apo-IGF1R, conformation II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137.277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137.501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126.431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JAK1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5KHW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JAK1 + ADP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44.867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0.795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19.890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JAK2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7F7W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JAK2-JH2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8.445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−22.689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20.535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MDM2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6Y4Q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MDM2 + stapled peptide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0.990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−17.952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−18.440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8J25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PML B-box2 mutant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−3.639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−44.397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−3.115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7ZN7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RCMV E27–DDB1 complex with STAT2 CCD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138.162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129.329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132.117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6TLC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Unphosphorylated STAT3 + monobody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0.231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32.470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33.516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× 40 × 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Molecular docking was performed using AutoDock Vina. The grid box dimensions were 40 × 40 × 40 Å for all protein targets. The grid-center coordinates were specified individually for each target structure. The exhaustiveness and energy-range parameters were set to 8 and 4 kcal/mol, respectively.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2026-10-08T12:00:16.821Z</dcterms:created>
  <dcterms:modified xsi:type="dcterms:W3CDTF">2026-10-08T12:00:16.831Z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