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2937"/>
          <w:sz w:val="56"/>
          <w:szCs w:val="56"/>
        </w:rPr>
        <w:t xml:space="preserve">SynaWatch Feature Formulation</w:t>
      </w:r>
    </w:p>
    <w:p>
      <w:pPr>
        <w:spacing w:after="100"/>
        <w:jc w:val="center"/>
      </w:pPr>
      <w:r>
        <w:rPr>
          <w:color w:val="6B7280"/>
          <w:sz w:val="24"/>
          <w:szCs w:val="24"/>
        </w:rPr>
        <w:t xml:space="preserve">Science-Based Feature Improvements &amp; Implementation Roadmap</w:t>
      </w:r>
    </w:p>
    <w:p>
      <w:pPr>
        <w:spacing w:after="40"/>
        <w:jc w:val="center"/>
      </w:pPr>
      <w:r>
        <w:rPr>
          <w:i/>
          <w:iCs/>
          <w:color w:val="9CA3AF"/>
          <w:sz w:val="20"/>
          <w:szCs w:val="20"/>
        </w:rPr>
        <w:t xml:space="preserve">Based on Systematic Literature Review of 50 Peer-Reviewed Papers</w:t>
      </w:r>
    </w:p>
    <w:p>
      <w:pPr>
        <w:spacing w:after="20" w:before="300"/>
        <w:jc w:val="center"/>
      </w:pPr>
      <w:r>
        <w:rPr>
          <w:color w:val="6B7280"/>
          <w:sz w:val="22"/>
          <w:szCs w:val="22"/>
        </w:rPr>
        <w:t xml:space="preserve">March 2026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details the formulation and implementation of 7 science-based feature improvements for SynaWatch, derived from a Systematic Literature Review (SLR) of 50 peer-reviewed papers across 10 mental health research domains (2019&amp;#x2013;2025). Each feature directly addresses identified research gaps and is grounded in high-quality clinical evidence (RCTs, meta-analyses, SLRs from Q1/Q2 journals).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Feature Implementation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900"/>
        <w:gridCol w:w="14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Gap 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 Title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Multimodal Bio-Psycho Fusion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✓ Done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Adaptive Personalized Thresholds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✓ Done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Biofeedback Music Therapy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✓ Done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Sensor-Contextualized Journaling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✓ Done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Longitudinal Psychometric Tracking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✓ Done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Proactive AI + Wearable Fusion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✓ Done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Bio-Signal Safety Planning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✓ Done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Feature Formulation Details</w:t>
      </w:r>
    </w:p>
    <w:p>
      <w:pPr>
        <w:pStyle w:val="Heading2"/>
      </w:pPr>
      <w:r>
        <w:t xml:space="preserve">Gap 1: Integrated Multimodal Bio-Psycho Assessment</w:t>
      </w:r>
    </w:p>
    <w:p>
      <w:pPr>
        <w:spacing w:after="120"/>
      </w:pPr>
      <w:r>
        <w:rPr>
          <w:b/>
          <w:bCs/>
          <w:color w:val="DC2626"/>
        </w:rPr>
        <w:t xml:space="preserve">Priority: CRITICAL</w:t>
      </w:r>
    </w:p>
    <w:p>
      <w:pPr>
        <w:spacing w:after="100"/>
      </w:pPr>
      <w:r>
        <w:t xml:space="preserve">Current State: Existing studies use either biosensors (GSR/HRV/SpO2) or questionnaires (PHQ-9, UCLA), but not both integrated into a single unified assessment framework.</w:t>
      </w:r>
    </w:p>
    <w:p>
      <w:pPr>
        <w:spacing w:after="100"/>
      </w:pPr>
      <w:r>
        <w:t xml:space="preserve">Scientific Basis: Hickey et al. (2021), Quisel et al. (2025), Can et al. (2021) demonstrate that fusing multimodal sensor data with psychometric instruments dramatically improves early detection of mental health deterioration.</w:t>
      </w:r>
    </w:p>
    <w:p>
      <w:pPr>
        <w:pStyle w:val="Heading3"/>
        <w:spacing w:after="100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Created 'SynaScore' (0&amp;#x2013;100) fusion algorithm in assessment.js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Weights: Psychometric 60% (PHQ-9 35% + UCLA 25%) + Physiological 40% (Stress 15% + GSR 10% + HR 10% + SpO2 5%)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Discordance detection: Flags when self-report and biosignals conflict (e.g., reports &amp;#x201C;feeling fine&amp;#x201D; but HR=110, GSR=80)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Displayed prominently in assessment results with color-coded risk indicator</w:t>
      </w:r>
    </w:p>
    <w:p>
      <w:pPr>
        <w:pStyle w:val="Heading2"/>
      </w:pPr>
      <w:r>
        <w:t xml:space="preserve">Gap 2: Closed-Loop with Personalized Adaptive Thresholds</w:t>
      </w:r>
    </w:p>
    <w:p>
      <w:pPr>
        <w:spacing w:after="120"/>
      </w:pPr>
      <w:r>
        <w:rPr>
          <w:b/>
          <w:bCs/>
          <w:color w:val="F59E0B"/>
        </w:rPr>
        <w:t xml:space="preserve">Priority: HIGH (CRITICAL for effectiveness)</w:t>
      </w:r>
    </w:p>
    <w:p>
      <w:pPr>
        <w:spacing w:after="100"/>
      </w:pPr>
      <w:r>
        <w:t xml:space="preserve">Current State: Most JITAIs (Just-In-Time Adaptive Interventions) use fixed time-based or EMA-prompted triggers. Few apply physiological thresholds, and even fewer personalize these thresholds per-user.</w:t>
      </w:r>
    </w:p>
    <w:p>
      <w:pPr>
        <w:spacing w:after="100"/>
      </w:pPr>
      <w:r>
        <w:t xml:space="preserve">Scientific Basis: Nahum-Shani et al. (2019), Bischoff et al. (2025), Galli et al. (2022) show that adaptive, user-calibrated stress thresholds (learned from rolling baseline) achieve 20&amp;#x2013;30% better specificity than fixed thresholds.</w:t>
      </w:r>
    </w:p>
    <w:p>
      <w:pPr>
        <w:pStyle w:val="Heading3"/>
        <w:spacing w:after="100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rolling 100-reading sensor history in InterventionEngine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Calculates personal baseline every 20 readings: avg_stress, avg_HR, std_stress, std_HR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Effective threshold = min(personal_avg + 1.5*std_dev, PHQ9_based_threshold)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Persists baseline to localStorage for cross-session learning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Reduces false positives for relaxed users, increases sensitivity for high-PHQ9 users</w:t>
      </w:r>
    </w:p>
    <w:p>
      <w:pPr>
        <w:pStyle w:val="Heading2"/>
      </w:pPr>
      <w:r>
        <w:t xml:space="preserve">Gap 3: Music Therapy via Real-Time Biofeedback</w:t>
      </w:r>
    </w:p>
    <w:p>
      <w:pPr>
        <w:spacing w:after="120"/>
      </w:pPr>
      <w:r>
        <w:rPr>
          <w:b/>
          <w:bCs/>
          <w:color w:val="F59E0B"/>
        </w:rPr>
        <w:t xml:space="preserve">Priority: HIGH</w:t>
      </w:r>
    </w:p>
    <w:p>
      <w:pPr>
        <w:spacing w:after="100"/>
      </w:pPr>
      <w:r>
        <w:t xml:space="preserve">Current State: Music therapy literature is extensive (100+ RCTs) but static&amp;#x2014;playlists are pre-curated. No published study combines real-time GSR/HRV to dynamically select music tempo/genre during a session.</w:t>
      </w:r>
    </w:p>
    <w:p>
      <w:pPr>
        <w:spacing w:after="100"/>
      </w:pPr>
      <w:r>
        <w:t xml:space="preserve">Scientific Basis: Nayak et al. (2025, Frontiers Digital Health) propose integrated biofeedback-music systems as &amp;#x201C;advancing personalized digital therapeutics.&amp;#x201D; Leubner &amp; Hinterberger (2020), de Witte et al. (2025) confirm meta-analytic evidence for music in depression and anxiety treatment.</w:t>
      </w:r>
    </w:p>
    <w:p>
      <w:pPr>
        <w:pStyle w:val="Heading3"/>
        <w:spacing w:after="100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Completely rebuilt MoodBooster module with 3 biofeedback-mapped music categories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Calm (60&amp;#x2013;80 BPM) for stress&gt;65%; Ambient (80&amp;#x2013;100 BPM) for stress 35&amp;#x2013;65%; Upbeat (120+ BPM) for relaxed state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15 curated tracks (5 per category) with genre, BPM, mood metadata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Mood check (1&amp;#x2013;5 emoji) coupled to music selection for subjective validation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Logs therapy sessions (track, BPM, sensor state) to detect music-mood-recovery patterns</w:t>
      </w:r>
    </w:p>
    <w:p>
      <w:pPr>
        <w:pStyle w:val="Heading2"/>
      </w:pPr>
      <w:r>
        <w:t xml:space="preserve">Gap 4: Journaling with Automatic Sensor Context Tagging</w:t>
      </w:r>
    </w:p>
    <w:p>
      <w:pPr>
        <w:spacing w:after="120"/>
      </w:pPr>
      <w:r>
        <w:rPr>
          <w:b/>
          <w:bCs/>
          <w:color w:val="F59E0B"/>
        </w:rPr>
        <w:t xml:space="preserve">Priority: MEDIUM</w:t>
      </w:r>
    </w:p>
    <w:p>
      <w:pPr>
        <w:spacing w:after="100"/>
      </w:pPr>
      <w:r>
        <w:t xml:space="preserve">Current State: MindScape (Gao et al., 2024) is the only published study integrating AI journaling with behavioral sensing. No commercial app auto-tags entries with physiological context at write-time.</w:t>
      </w:r>
    </w:p>
    <w:p>
      <w:pPr>
        <w:spacing w:after="100"/>
      </w:pPr>
      <w:r>
        <w:t xml:space="preserve">Scientific Basis: Gao et al. (2024, Proc. ACM IMWUT), Eisenbarth et al. (2025) show that contextualizing journaling with sensor data enables pattern discovery: &amp;#x201C;I wrote this when HR was 95 and GSR=60, and mood was low.&amp;#x201D;</w:t>
      </w:r>
    </w:p>
    <w:p>
      <w:pPr>
        <w:pStyle w:val="Heading3"/>
        <w:spacing w:after="100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Enhanced Journal.save() to capture sensorContext snapshot (HR, GSR, stress, activity)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Computes emotion label from sensor state (Stres Tinggi / Moderat / Rileks)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Stores mood dropdown selection (Sangat Baik&amp;#x2013;Sangat Buruk)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Displays color-coded emotion badges and sensor metrics on journal review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Enables analytics: &amp;#x201C;When I journal during high stress, recovery time is X. During calm, recovery is Y.&amp;#x201D;</w:t>
      </w:r>
    </w:p>
    <w:p>
      <w:pPr>
        <w:pStyle w:val="Heading2"/>
      </w:pPr>
      <w:r>
        <w:t xml:space="preserve">Gap 5: Longitudinal Psychometric Tracking with Trend Analytics</w:t>
      </w:r>
    </w:p>
    <w:p>
      <w:pPr>
        <w:spacing w:after="120"/>
      </w:pPr>
      <w:r>
        <w:rPr>
          <w:b/>
          <w:bCs/>
          <w:color w:val="F59E0B"/>
        </w:rPr>
        <w:t xml:space="preserve">Priority: MEDIUM</w:t>
      </w:r>
    </w:p>
    <w:p>
      <w:pPr>
        <w:spacing w:after="100"/>
      </w:pPr>
      <w:r>
        <w:t xml:space="preserve">Current State: Few mental health apps track PHQ-9/UCLA longitudinally with visual trends. Most show only the current score, missing critical chronic disease monitoring patterns.</w:t>
      </w:r>
    </w:p>
    <w:p>
      <w:pPr>
        <w:spacing w:after="100"/>
      </w:pPr>
      <w:r>
        <w:t xml:space="preserve">Scientific Basis: Moshe et al. (2021), Morgiève et al. (2022) demonstrate that trend visualization of psychometric scores over 3&amp;#x2013;12 months increases app engagement and clinical insight.</w:t>
      </w:r>
    </w:p>
    <w:p>
      <w:pPr>
        <w:pStyle w:val="Heading3"/>
        <w:spacing w:after="100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renderLongitudinalChart() in Assessment module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Queries up to 12 recent assessments from Firestore, renders Chart.js dual-line graph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PHQ-9 (purple) and UCLA (blue) scores displayed chronologically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Shown in assessment results page after score calculation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Visualizes recovery arc, identifies seasonal patterns, correlates with intervention usage</w:t>
      </w:r>
    </w:p>
    <w:p>
      <w:pPr>
        <w:pStyle w:val="Heading2"/>
      </w:pPr>
      <w:r>
        <w:t xml:space="preserve">Gap 6: Proactive AI Chatbot + Wearable Data Fusion</w:t>
      </w:r>
    </w:p>
    <w:p>
      <w:pPr>
        <w:spacing w:after="120"/>
      </w:pPr>
      <w:r>
        <w:rPr>
          <w:b/>
          <w:bCs/>
          <w:color w:val="F59E0B"/>
        </w:rPr>
        <w:t xml:space="preserve">Priority: HIGH</w:t>
      </w:r>
    </w:p>
    <w:p>
      <w:pPr>
        <w:spacing w:after="100"/>
      </w:pPr>
      <w:r>
        <w:t xml:space="preserve">Current State: Chatbot efficacy studies (He et al., 2023; Huang et al., 2024) show mental health benefits, but chatbots operate in isolation&amp;#x2014;SynaCHAT is unique in having real-time access to biosensor data.</w:t>
      </w:r>
    </w:p>
    <w:p>
      <w:pPr>
        <w:spacing w:after="100"/>
      </w:pPr>
      <w:r>
        <w:t xml:space="preserve">Scientific Basis: Daley et al. (2022, Internet Interventions) show RCT evidence for AI depression intervention. Vaidyam et al. (2019, JMIR Mental Health) review chatbot implementation factors. SynaWatch has opportunity for proactive, sensor-triggered AI support.</w:t>
      </w:r>
    </w:p>
    <w:p>
      <w:pPr>
        <w:pStyle w:val="Heading3"/>
        <w:spacing w:after="100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proactiveAnomalyMonitor object to synachat.js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Monitors real-time sensor stream (HR, GSR, stress); maintains 50-reading history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Detects sustained high stress (avg&gt;70%) + high GSR (avg&gt;65%); triggers proactive banner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 xml:space="preserve">&amp;#x201C;Dr. Synachat tersedia. Pola stres terdeteksi. Mau ngobrol sebentar?&amp;#x201D;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Non-intrusive slide-up banner, auto-dismisses after 8s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10-minute cooldown to avoid notification spam</w:t>
      </w:r>
    </w:p>
    <w:p>
      <w:pPr>
        <w:pStyle w:val="Heading2"/>
      </w:pPr>
      <w:r>
        <w:t xml:space="preserve">Gap 7: Safety Planning with Bio-Signal Triggers</w:t>
      </w:r>
    </w:p>
    <w:p>
      <w:pPr>
        <w:spacing w:after="120"/>
      </w:pPr>
      <w:r>
        <w:rPr>
          <w:b/>
          <w:bCs/>
          <w:color w:val="DC2626"/>
        </w:rPr>
        <w:t xml:space="preserve">Priority: CRITICAL (Suicidality Prevention)</w:t>
      </w:r>
    </w:p>
    <w:p>
      <w:pPr>
        <w:spacing w:after="100"/>
      </w:pPr>
      <w:r>
        <w:t xml:space="preserve">Current State: Digital safety plans (SafePlan, SmartCrisis) require manual user activation. No published app auto-triggers crisis protocols based on sustained extreme sensor readings + high psychometric scores.</w:t>
      </w:r>
    </w:p>
    <w:p>
      <w:pPr>
        <w:spacing w:after="100"/>
      </w:pPr>
      <w:r>
        <w:t xml:space="preserve">Scientific Basis: Melvin et al. (2024, Psychiatry Research), Nuij et al. (2020, JMIR), Berrouiguet et al. (2023, J Psychiatric Research) demonstrate digital safety planning efficacy. McManama et al. (2023, JMIR Mental Health) provide feature design patterns.</w:t>
      </w:r>
    </w:p>
    <w:p>
      <w:pPr>
        <w:pStyle w:val="Heading3"/>
        <w:spacing w:after="100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Enhanced InterventionEngine.processTelemetry() with crisis detection trigger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Condition: PHQ-9&gt;=15 AND stress&gt;85 AND GSR&gt;80 AND HR&gt;100 &amp;#x2192; Activate crisis protocol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showCrisisAlert() displays red modal with direct hotline links + &amp;#x201C;Chat Dr. Synachat&amp;#x201D; + &amp;#x201C;Open Support Hub&amp;#x201D;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 Hub redesigned with 4-tier risk stratification (Low/Moderate/High/Critical)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openEmergencyPlan() modal for user to input warning signs, coping strategies, support people, reasons for living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Safety plan saved to Firestore; can be reviewed in crisis moments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Technical Implementation Summary</w:t>
      </w:r>
    </w:p>
    <w:p>
      <w:pPr>
        <w:pStyle w:val="Heading2"/>
      </w:pPr>
      <w:r>
        <w:t xml:space="preserve">Files Modified / Created</w:t>
      </w:r>
    </w:p>
    <w:p>
      <w:pPr>
        <w:spacing w:after="100"/>
      </w:pPr>
      <w:r>
        <w:rPr>
          <w:b/>
          <w:bCs/>
        </w:rPr>
        <w:t xml:space="preserve">assessment.js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calculateFusionScore() for Gap 1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renderLongitudinalChart() for Gap 5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Updated showResults() to display SynaScore and longitudinal chart</w:t>
      </w:r>
    </w:p>
    <w:p>
      <w:pPr>
        <w:spacing w:after="100"/>
      </w:pPr>
      <w:r>
        <w:rPr>
          <w:b/>
          <w:bCs/>
        </w:rPr>
        <w:t xml:space="preserve">intervention-engine.js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rolling baseline learning for Gap 2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updatePersonalBaseline(), getEffectiveThreshold(), stdDev()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music therapy trigger and crisis detection (Gap 3, 7)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showCrisisAlert() for bio-signal triggered safety</w:t>
      </w:r>
    </w:p>
    <w:p>
      <w:pPr>
        <w:spacing w:after="100"/>
      </w:pPr>
      <w:r>
        <w:rPr>
          <w:b/>
          <w:bCs/>
        </w:rPr>
        <w:t xml:space="preserve">moodbooster.js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Complete rewrite for Gap 3 (Biofeedback Music Therapy)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15 curated tracks, 3 biofeedback categories, mood tracking, therapy logging</w:t>
      </w:r>
    </w:p>
    <w:p>
      <w:pPr>
        <w:spacing w:after="100"/>
      </w:pPr>
      <w:r>
        <w:rPr>
          <w:b/>
          <w:bCs/>
        </w:rPr>
        <w:t xml:space="preserve">journal.js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Complete rewrite for Gap 4 (Sensor-Contextualized Journaling)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Auto-captures sensor snapshot on save; displays emotion badges on review</w:t>
      </w:r>
    </w:p>
    <w:p>
      <w:pPr>
        <w:spacing w:after="100"/>
      </w:pPr>
      <w:r>
        <w:rPr>
          <w:b/>
          <w:bCs/>
        </w:rPr>
        <w:t xml:space="preserve">synachat.js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proactiveAnomalyMonitor for Gap 6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Integrated monitoring into BLE data update callback</w:t>
      </w:r>
    </w:p>
    <w:p>
      <w:pPr>
        <w:spacing w:after="100"/>
      </w:pPr>
      <w:r>
        <w:rPr>
          <w:b/>
          <w:bCs/>
        </w:rPr>
        <w:t xml:space="preserve">support.js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Complete rewrite for Gap 7 (Bio-Signal Safety Planning)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risk level assessment, enhanced hotlines, emergency plan modal</w:t>
      </w:r>
    </w:p>
    <w:p>
      <w:pPr>
        <w:spacing w:after="100"/>
      </w:pPr>
      <w:r>
        <w:rPr>
          <w:b/>
          <w:bCs/>
        </w:rPr>
        <w:t xml:space="preserve">app.js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Fixed duplicate Research menu item</w:t>
      </w:r>
    </w:p>
    <w:p>
      <w:pPr>
        <w:pStyle w:val="Heading1"/>
      </w:pPr>
      <w:r>
        <w:t xml:space="preserve">Scientific Evidence Base</w:t>
      </w:r>
    </w:p>
    <w:p>
      <w:pPr>
        <w:spacing w:after="100"/>
      </w:pPr>
      <w:r>
        <w:t xml:space="preserve">All features are directly supported by the 50-paper Systematic Literature Review: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 1 (6 papers): Wearable biosensors for mental health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 2 (5 papers): PHQ-9 digital screening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 3 (5 papers): Loneliness &amp; social isolation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 4 (5 papers): Closed-loop JITAI interventions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 5 (5 papers): Sleep monitoring &amp; interventions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 6 (5 papers): Music therapy &amp; mood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 7 (5 papers): Digital mindfulness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 8 (4 papers): Digital journaling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 9 (5 papers): AI chatbots for mental health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Domain 10 (5 papers): Crisis support &amp; safety planning</w:t>
      </w:r>
    </w:p>
    <w:p>
      <w:pPr>
        <w:pStyle w:val="Heading1"/>
      </w:pPr>
      <w:r>
        <w:t xml:space="preserve">Next Steps &amp; Recommendations</w:t>
      </w:r>
    </w:p>
    <w:p>
      <w:pPr>
        <w:pStyle w:val="Heading2"/>
      </w:pPr>
      <w:r>
        <w:t xml:space="preserve">Immediate (Batch 09-10)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ESP32 LVGL display UI (Batch 09) — integrate real-time SynaScore, stress threshold, biofeedback music category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Complete Integration Final &amp; Polish (Batch 10) — end-to-end testing, service worker updates, version bump to v2.0.0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Set up Firebase Service Account for GitHub Actions auto-deploy</w:t>
      </w:r>
    </w:p>
    <w:p>
      <w:pPr>
        <w:pStyle w:val="Heading2"/>
      </w:pPr>
      <w:r>
        <w:t xml:space="preserve">Medium-Term (Post-Launch)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Deploy music therapy integration with Spotify/YouTube API for real track playback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 advanced analytics dashboard showing intervention-recovery correlations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professional referral system integration (Halodoc, Alodokter APIs)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Conduct beta usability testing (N=20&amp;#x2013;30) to refine proactive AI notification timing</w:t>
      </w:r>
    </w:p>
    <w:p>
      <w:pPr>
        <w:pStyle w:val="Heading2"/>
      </w:pPr>
      <w:r>
        <w:t xml:space="preserve">Long-Term (Year 2)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Publish SynaWatch as case study in peer-reviewed digital health journal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Conduct RCT comparing SynaWatch (all 7 gaps) vs. control (assessment-only) for depression/anxiety improvement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Iteratively refine thresholds and algorithms based on user cohort data</w:t>
      </w:r>
    </w:p>
    <w:p>
      <w:pPr>
        <w:pStyle w:val="Heading1"/>
      </w:pPr>
      <w:r>
        <w:t xml:space="preserve">Conclusion</w:t>
      </w:r>
    </w:p>
    <w:p>
      <w:r>
        <w:t xml:space="preserve">SynaWatch v2.0 represents a science-driven approach to digital mental health, directly implementing evidence from 50 peer-reviewed papers across 10 domains. The 7 formulated features address critical research gaps identified in the SLR, each with clear clinical rationale, technical specifications, and validation pathways. Implementation is complete for all features; deployment and further clinical validation follow.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2026-03-24T08:28:15.813Z</dcterms:created>
  <dcterms:modified xsi:type="dcterms:W3CDTF">2026-03-24T08:28:15.813Z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