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298"/>
      </w:tblGrid>
      <w:tr>
        <w:tc>
          <w:tcPr>
            <w:tcW w:type="dxa" w:w="9298"/>
            <w:shd w:val="clear" w:fill="FFF4E5"/>
          </w:tcPr>
          <w:p>
            <w:r>
              <w:rPr>
                <w:b/>
                <w:color w:val="9A3412"/>
                <w:sz w:val="18"/>
              </w:rPr>
              <w:t xml:space="preserve">KONSEP untuk ditinjau Dinas Kepemudaan dan Olahraga Kota Surakarta. </w:t>
            </w:r>
            <w:r>
              <w:rPr>
                <w:color w:val="9A3412"/>
                <w:sz w:val="18"/>
              </w:rPr>
              <w:t>Disiapkan oleh Tim Peneliti Nova-Band sebagai bahan; isi dapat diubah seluruhnya. Surat baru berlaku setelah diterbitkan Dinas di kop surat resmi, diberi nomor, ditandatangani, dan dicap. Hapus kotak ini dan catatan di akhir saat diterbitkan.</w:t>
            </w:r>
          </w:p>
        </w:tc>
      </w:tr>
    </w:tbl>
    <w:p>
      <w:pPr>
        <w:spacing w:after="40"/>
      </w:pPr>
    </w:p>
    <w:tbl>
      <w:tblPr>
        <w:tblW w:type="auto" w:w="0"/>
        <w:tblLook w:firstColumn="1" w:firstRow="1" w:lastColumn="0" w:lastRow="0" w:noHBand="0" w:noVBand="1" w:val="04A0"/>
      </w:tblPr>
      <w:tblGrid>
        <w:gridCol w:w="9298"/>
      </w:tblGrid>
      <w:tr>
        <w:tc>
          <w:tcPr>
            <w:tcW w:type="dxa" w:w="9298"/>
            <w:shd w:val="clear" w:fill="F3F4F6"/>
          </w:tcPr>
          <w:p>
            <w:pPr>
              <w:jc w:val="center"/>
            </w:pPr>
            <w:r>
              <w:rPr>
                <w:b/>
                <w:color w:val="6B7480"/>
                <w:sz w:val="21"/>
              </w:rPr>
              <w:t>[ KOP SURAT RESMI DINAS KEPEMUDAAN DAN OLAHRAGA KOTA SURAKARTA ]</w:t>
            </w:r>
          </w:p>
          <w:p>
            <w:pPr>
              <w:jc w:val="center"/>
            </w:pPr>
            <w:r>
              <w:rPr>
                <w:color w:val="6B7480"/>
                <w:sz w:val="18"/>
              </w:rPr>
              <w:t>diisi oleh Dinas Kepemudaan dan Olahraga Kota Surakarta</w:t>
            </w:r>
          </w:p>
        </w:tc>
      </w:tr>
    </w:tbl>
    <w:p>
      <w:pPr>
        <w:pBdr>
          <w:bottom w:val="double" w:sz="18" w:space="1" w:color="000000"/>
        </w:pBdr>
        <w:spacing w:after="200"/>
      </w:pPr>
    </w:p>
    <w:tbl>
      <w:tblPr>
        <w:tblW w:type="auto" w:w="0"/>
        <w:tblLook w:firstColumn="1" w:firstRow="1" w:lastColumn="0" w:lastRow="0" w:noHBand="0" w:noVBand="1" w:val="04A0"/>
      </w:tblPr>
      <w:tblGrid>
        <w:gridCol w:w="3099"/>
        <w:gridCol w:w="3099"/>
        <w:gridCol w:w="3099"/>
      </w:tblGrid>
      <w:tr>
        <w:tc>
          <w:tcPr>
            <w:tcW w:type="dxa" w:w="1361"/>
          </w:tcPr>
          <w:p>
            <w:r>
              <w:t>Nomor</w:t>
            </w:r>
          </w:p>
        </w:tc>
        <w:tc>
          <w:tcPr>
            <w:tcW w:type="dxa" w:w="283"/>
          </w:tcPr>
          <w:p>
            <w:r>
              <w:t>:</w:t>
            </w:r>
          </w:p>
        </w:tc>
        <w:tc>
          <w:tcPr>
            <w:tcW w:type="dxa" w:w="7597"/>
          </w:tcPr>
          <w:p>
            <w:r>
              <w:rPr>
                <w:b w:val="0"/>
              </w:rPr>
              <w:t>.................. / .................. / 2026</w:t>
            </w:r>
          </w:p>
        </w:tc>
      </w:tr>
      <w:tr>
        <w:tc>
          <w:tcPr>
            <w:tcW w:type="dxa" w:w="1361"/>
          </w:tcPr>
          <w:p>
            <w:r>
              <w:t>Lampiran</w:t>
            </w:r>
          </w:p>
        </w:tc>
        <w:tc>
          <w:tcPr>
            <w:tcW w:type="dxa" w:w="283"/>
          </w:tcPr>
          <w:p>
            <w:r>
              <w:t>:</w:t>
            </w:r>
          </w:p>
        </w:tc>
        <w:tc>
          <w:tcPr>
            <w:tcW w:type="dxa" w:w="7597"/>
          </w:tcPr>
          <w:p>
            <w:r>
              <w:rPr>
                <w:b w:val="0"/>
              </w:rPr>
              <w:t>–</w:t>
            </w:r>
          </w:p>
        </w:tc>
      </w:tr>
      <w:tr>
        <w:tc>
          <w:tcPr>
            <w:tcW w:type="dxa" w:w="1361"/>
          </w:tcPr>
          <w:p>
            <w:r>
              <w:t>Perihal</w:t>
            </w:r>
          </w:p>
        </w:tc>
        <w:tc>
          <w:tcPr>
            <w:tcW w:type="dxa" w:w="283"/>
          </w:tcPr>
          <w:p>
            <w:r>
              <w:t>:</w:t>
            </w:r>
          </w:p>
        </w:tc>
        <w:tc>
          <w:tcPr>
            <w:tcW w:type="dxa" w:w="7597"/>
          </w:tcPr>
          <w:p>
            <w:r>
              <w:rPr>
                <w:b/>
              </w:rPr>
              <w:t>Surat Dukungan Penelitian dan Pengembangan Nova-Band</w:t>
            </w:r>
          </w:p>
        </w:tc>
      </w:tr>
    </w:tbl>
    <w:p>
      <w:pPr>
        <w:spacing w:after="200"/>
        <w:jc w:val="right"/>
      </w:pPr>
      <w:r>
        <w:rPr>
          <w:b w:val="0"/>
          <w:i w:val="0"/>
          <w:sz w:val="24"/>
        </w:rPr>
        <w:t>Surakarta, .................................. 2026</w:t>
      </w:r>
    </w:p>
    <w:p>
      <w:pPr>
        <w:spacing w:after="0"/>
        <w:jc w:val="left"/>
      </w:pPr>
      <w:r>
        <w:rPr>
          <w:b w:val="0"/>
          <w:i w:val="0"/>
          <w:sz w:val="24"/>
        </w:rPr>
        <w:t>Yth.</w:t>
      </w:r>
    </w:p>
    <w:p>
      <w:pPr>
        <w:spacing w:after="0"/>
        <w:jc w:val="left"/>
      </w:pPr>
      <w:r>
        <w:rPr>
          <w:b/>
          <w:i w:val="0"/>
          <w:sz w:val="24"/>
        </w:rPr>
        <w:t>Kepala SMA Negeri 1 Surakarta</w:t>
      </w:r>
    </w:p>
    <w:p>
      <w:pPr>
        <w:spacing w:after="0"/>
        <w:jc w:val="left"/>
      </w:pPr>
      <w:r>
        <w:rPr>
          <w:b w:val="0"/>
          <w:i w:val="0"/>
          <w:sz w:val="24"/>
        </w:rPr>
        <w:t>c.q. Tim Peneliti Nova-Band</w:t>
      </w:r>
    </w:p>
    <w:p>
      <w:pPr>
        <w:spacing w:after="200"/>
        <w:jc w:val="left"/>
      </w:pPr>
      <w:r>
        <w:rPr>
          <w:b w:val="0"/>
          <w:i w:val="0"/>
          <w:sz w:val="24"/>
        </w:rPr>
        <w:t>di Surakarta</w:t>
      </w:r>
    </w:p>
    <w:p>
      <w:pPr>
        <w:spacing w:after="120"/>
        <w:jc w:val="both"/>
      </w:pPr>
      <w:r>
        <w:rPr>
          <w:b w:val="0"/>
          <w:i w:val="0"/>
          <w:sz w:val="24"/>
        </w:rPr>
        <w:t>Dengan hormat,</w:t>
      </w:r>
    </w:p>
    <w:p>
      <w:pPr>
        <w:spacing w:after="120"/>
        <w:jc w:val="both"/>
      </w:pPr>
      <w:r>
        <w:rPr>
          <w:b w:val="0"/>
          <w:i w:val="0"/>
          <w:sz w:val="24"/>
        </w:rPr>
        <w:t>Menindaklanjuti surat SMA Negeri 1 Surakarta Nomor .................................. tanggal .................................. perihal Permohonan Audiensi dan Dukungan Penelitian Nova-Band, serta diskusi yang telah dilaksanakan pada tanggal .................................., dengan ini Dinas Kepemudaan dan Olahraga Kota Surakarta menyampaikan dukungan terhadap kegiatan penelitian dan pengembangan berikut:</w:t>
      </w:r>
    </w:p>
    <w:tbl>
      <w:tblPr>
        <w:tblW w:type="auto" w:w="0"/>
        <w:tblLook w:firstColumn="1" w:firstRow="1" w:lastColumn="0" w:lastRow="0" w:noHBand="0" w:noVBand="1" w:val="04A0"/>
      </w:tblPr>
      <w:tblGrid>
        <w:gridCol w:w="3099"/>
        <w:gridCol w:w="3099"/>
        <w:gridCol w:w="3099"/>
      </w:tblGrid>
      <w:tr>
        <w:tc>
          <w:tcPr>
            <w:tcW w:type="dxa" w:w="2041"/>
          </w:tcPr>
          <w:p>
            <w:r>
              <w:t>Judul</w:t>
            </w:r>
          </w:p>
        </w:tc>
        <w:tc>
          <w:tcPr>
            <w:tcW w:type="dxa" w:w="283"/>
          </w:tcPr>
          <w:p>
            <w:r>
              <w:t>:</w:t>
            </w:r>
          </w:p>
        </w:tc>
        <w:tc>
          <w:tcPr>
            <w:tcW w:type="dxa" w:w="6917"/>
          </w:tcPr>
          <w:p>
            <w:r>
              <w:rPr>
                <w:i/>
              </w:rPr>
              <w:t>Nova-Band: An AIoT-Driven Upper-Arm Wearable for Real-Time Physiological Monitoring and Running Performance</w:t>
            </w:r>
          </w:p>
        </w:tc>
      </w:tr>
      <w:tr>
        <w:tc>
          <w:tcPr>
            <w:tcW w:type="dxa" w:w="2041"/>
          </w:tcPr>
          <w:p>
            <w:r>
              <w:t>Pelaksana</w:t>
            </w:r>
          </w:p>
        </w:tc>
        <w:tc>
          <w:tcPr>
            <w:tcW w:type="dxa" w:w="283"/>
          </w:tcPr>
          <w:p>
            <w:r>
              <w:t>:</w:t>
            </w:r>
          </w:p>
        </w:tc>
        <w:tc>
          <w:tcPr>
            <w:tcW w:type="dxa" w:w="6917"/>
          </w:tcPr>
          <w:p>
            <w:r>
              <w:rPr>
                <w:i w:val="0"/>
              </w:rPr>
              <w:t>Tim Peneliti SMA Negeri 1 Surakarta</w:t>
            </w:r>
          </w:p>
        </w:tc>
      </w:tr>
      <w:tr>
        <w:tc>
          <w:tcPr>
            <w:tcW w:type="dxa" w:w="2041"/>
          </w:tcPr>
          <w:p>
            <w:r>
              <w:t>Ketua Tim</w:t>
            </w:r>
          </w:p>
        </w:tc>
        <w:tc>
          <w:tcPr>
            <w:tcW w:type="dxa" w:w="283"/>
          </w:tcPr>
          <w:p>
            <w:r>
              <w:t>:</w:t>
            </w:r>
          </w:p>
        </w:tc>
        <w:tc>
          <w:tcPr>
            <w:tcW w:type="dxa" w:w="6917"/>
          </w:tcPr>
          <w:p>
            <w:r>
              <w:rPr>
                <w:i w:val="0"/>
              </w:rPr>
              <w:t>Maheswara Nala Wisadewa</w:t>
            </w:r>
          </w:p>
        </w:tc>
      </w:tr>
      <w:tr>
        <w:tc>
          <w:tcPr>
            <w:tcW w:type="dxa" w:w="2041"/>
          </w:tcPr>
          <w:p>
            <w:r>
              <w:t>Anggota</w:t>
            </w:r>
          </w:p>
        </w:tc>
        <w:tc>
          <w:tcPr>
            <w:tcW w:type="dxa" w:w="283"/>
          </w:tcPr>
          <w:p>
            <w:r>
              <w:t>:</w:t>
            </w:r>
          </w:p>
        </w:tc>
        <w:tc>
          <w:tcPr>
            <w:tcW w:type="dxa" w:w="6917"/>
          </w:tcPr>
          <w:p>
            <w:r>
              <w:rPr>
                <w:i w:val="0"/>
              </w:rPr>
              <w:t>Almira Edgina Nareswari Haryadi, Azra Daniswara Tyandaru, Dela Astiara, Rizkyta Aufa Mutiagassania, Satriya Javas Wibisono</w:t>
            </w:r>
          </w:p>
        </w:tc>
      </w:tr>
      <w:tr>
        <w:tc>
          <w:tcPr>
            <w:tcW w:type="dxa" w:w="2041"/>
          </w:tcPr>
          <w:p>
            <w:r>
              <w:t>Guru Pembimbing</w:t>
            </w:r>
          </w:p>
        </w:tc>
        <w:tc>
          <w:tcPr>
            <w:tcW w:type="dxa" w:w="283"/>
          </w:tcPr>
          <w:p>
            <w:r>
              <w:t>:</w:t>
            </w:r>
          </w:p>
        </w:tc>
        <w:tc>
          <w:tcPr>
            <w:tcW w:type="dxa" w:w="6917"/>
          </w:tcPr>
          <w:p>
            <w:r>
              <w:rPr>
                <w:i w:val="0"/>
              </w:rPr>
              <w:t>..................................</w:t>
            </w:r>
          </w:p>
        </w:tc>
      </w:tr>
    </w:tbl>
    <w:p>
      <w:pPr>
        <w:spacing w:after="40"/>
      </w:pPr>
    </w:p>
    <w:p>
      <w:pPr>
        <w:spacing w:after="120"/>
        <w:jc w:val="both"/>
      </w:pPr>
      <w:r>
        <w:rPr>
          <w:b w:val="0"/>
          <w:i w:val="0"/>
          <w:sz w:val="24"/>
        </w:rPr>
        <w:t>Dinas Kepemudaan dan Olahraga Kota Surakarta memandang bahwa upaya pengembangan teknologi yang membantu masyarakat berolahraga secara aman dan terukur sejalan dengan pembinaan dan pengembangan olahraga rekreasi maupun prestasi, serta pemberdayaan pemuda di bidang inovasi di Kota Surakarta. Dukungan yang kami berikan meliputi:</w:t>
      </w:r>
    </w:p>
    <w:p>
      <w:pPr>
        <w:spacing w:after="80"/>
        <w:ind w:left="454" w:hanging="340"/>
        <w:jc w:val="both"/>
      </w:pPr>
      <w:r>
        <w:t xml:space="preserve">1. </w:t>
      </w:r>
      <w:r>
        <w:rPr>
          <w:b/>
        </w:rPr>
        <w:t>Dukungan moril</w:t>
      </w:r>
      <w:r>
        <w:t>, berupa apresiasi dan dorongan kepada tim peneliti sebagai pemuda inovator untuk melanjutkan penelitian dan pengembangan Nova-Band secara bertanggung jawab.</w:t>
      </w:r>
    </w:p>
    <w:p>
      <w:pPr>
        <w:spacing w:after="80"/>
        <w:ind w:left="454" w:hanging="340"/>
        <w:jc w:val="both"/>
      </w:pPr>
      <w:r>
        <w:t xml:space="preserve">2. </w:t>
      </w:r>
      <w:r>
        <w:rPr>
          <w:b/>
        </w:rPr>
        <w:t>Dukungan fasilitasi</w:t>
      </w:r>
      <w:r>
        <w:t>, berupa fasilitasi uji coba lapangan serta pengenalan Nova-Band kepada komunitas olahraga dan kegiatan olahraga masyarakat di Kota Surakarta, sesuai dengan kewenangan Dinas dan dengan persetujuan peserta.</w:t>
      </w:r>
    </w:p>
    <w:p>
      <w:pPr>
        <w:spacing w:after="80"/>
        <w:ind w:left="454" w:hanging="340"/>
        <w:jc w:val="both"/>
      </w:pPr>
      <w:r>
        <w:t xml:space="preserve">3. </w:t>
      </w:r>
      <w:r>
        <w:rPr>
          <w:b/>
        </w:rPr>
        <w:t>Dukungan kepakaran</w:t>
      </w:r>
      <w:r>
        <w:t>, berupa kesempatan diskusi, pemberian masukan, dan pengarahan terkait aspek keolahragaan, pelatihan, serta keselamatan penyelenggaraan kegiatan olahraga bagi pengembangan Nova-Band lebih lanjut.</w:t>
      </w:r>
    </w:p>
    <w:p>
      <w:pPr>
        <w:spacing w:after="120"/>
        <w:jc w:val="both"/>
      </w:pPr>
      <w:r>
        <w:rPr>
          <w:b w:val="0"/>
          <w:i w:val="0"/>
          <w:sz w:val="24"/>
        </w:rPr>
        <w:t>Dukungan ini diberikan dalam rangka pembinaan kegiatan penelitian dan inovasi pelajar, dan tidak merupakan rekomendasi komersial atas produk maupun pernyataan kelayakan sebagai alat kesehatan. Pelaksanaan uji coba dan pemanfaatan Nova-Band kepada masyarakat wajib memenuhi ketentuan peraturan perundang-undangan yang berlaku, termasuk persetujuan peserta dan pelindungan data pribadi.</w:t>
      </w:r>
    </w:p>
    <w:p>
      <w:pPr>
        <w:spacing w:after="200"/>
        <w:jc w:val="both"/>
      </w:pPr>
      <w:r>
        <w:rPr>
          <w:b w:val="0"/>
          <w:i w:val="0"/>
          <w:sz w:val="24"/>
        </w:rPr>
        <w:t>Demikian surat dukungan ini dibuat untuk dapat dipergunakan sebagaimana mestinya.</w:t>
      </w:r>
    </w:p>
    <w:tbl>
      <w:tblPr>
        <w:tblW w:type="auto" w:w="0"/>
        <w:tblLook w:firstColumn="1" w:firstRow="1" w:lastColumn="0" w:lastRow="0" w:noHBand="0" w:noVBand="1" w:val="04A0"/>
      </w:tblPr>
      <w:tblGrid>
        <w:gridCol w:w="4649"/>
        <w:gridCol w:w="4649"/>
      </w:tblGrid>
      <w:tr>
        <w:tc>
          <w:tcPr>
            <w:tcW w:type="dxa" w:w="4649"/>
          </w:tcPr>
          <w:p/>
        </w:tc>
        <w:tc>
          <w:tcPr>
            <w:tcW w:type="dxa" w:w="4649"/>
          </w:tcPr>
          <w:p>
            <w:r>
              <w:t>Kepala Dinas Kepemudaan dan Olahraga</w:t>
            </w:r>
          </w:p>
          <w:p>
            <w:r>
              <w:t>Kota Surakarta,</w:t>
            </w:r>
          </w:p>
          <w:p>
            <w:r>
              <w:rPr>
                <w:i/>
                <w:color w:val="6B7480"/>
                <w:sz w:val="18"/>
              </w:rPr>
              <w:t>[tanda tangan &amp; cap dinas — dibubuhkan oleh Dinas]</w:t>
            </w:r>
          </w:p>
          <w:p/>
          <w:p/>
          <w:p>
            <w:r>
              <w:rPr>
                <w:b/>
                <w:u w:val="single"/>
              </w:rPr>
              <w:t>( nama Kepala Dinas )</w:t>
            </w:r>
          </w:p>
          <w:p>
            <w:r>
              <w:t>NIP ..................................</w:t>
            </w:r>
          </w:p>
        </w:tc>
      </w:tr>
    </w:tbl>
    <w:p/>
    <w:tbl>
      <w:tblPr>
        <w:tblW w:type="auto" w:w="0"/>
        <w:tblLook w:firstColumn="1" w:firstRow="1" w:lastColumn="0" w:lastRow="0" w:noHBand="0" w:noVBand="1" w:val="04A0"/>
      </w:tblPr>
      <w:tblGrid>
        <w:gridCol w:w="9298"/>
      </w:tblGrid>
      <w:tr>
        <w:tc>
          <w:tcPr>
            <w:tcW w:type="dxa" w:w="9298"/>
            <w:shd w:val="clear" w:fill="F6F8FA"/>
          </w:tcPr>
          <w:p>
            <w:r>
              <w:rPr>
                <w:b/>
                <w:sz w:val="17"/>
              </w:rPr>
              <w:t xml:space="preserve">Catatan untuk Dinas. </w:t>
            </w:r>
            <w:r>
              <w:rPr>
                <w:color w:val="6B7480"/>
                <w:sz w:val="17"/>
              </w:rPr>
              <w:t>Bagian bertitik (nomor surat, tanggal, NIP, nama guru pembimbing, rujukan surat dan tanggal diskusi) sengaja dikosongkan. Rumusan dukungan, terutama butir fasilitasi dan kalimat batasan tanggung jawab, dapat disesuaikan dengan kebijakan dan kewenangan Dinas. Bagian ini, spanduk konsep di atas, dan tanda air dihapus saat diterbitkan.</w:t>
            </w:r>
          </w:p>
        </w:tc>
      </w:tr>
    </w:tbl>
    <w:sectPr w:rsidR="00FC693F" w:rsidRPr="0006063C" w:rsidSect="00034616">
      <w:pgSz w:w="11906" w:h="16838"/>
      <w:pgMar w:top="907" w:right="1304" w:bottom="85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