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9412"/>
      </w:tblGrid>
      <w:tr>
        <w:tc>
          <w:tcPr>
            <w:tcW w:type="dxa" w:w="9412"/>
            <w:shd w:fill="1428A0" w:val="clear"/>
            <w:tcMar>
              <w:top w:w="36" w:type="dxa"/>
              <w:left w:w="0" w:type="dxa"/>
              <w:bottom w:w="36" w:type="dxa"/>
              <w:right w:w="0" w:type="dxa"/>
            </w:tcMar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</w:tcPr>
          <w:p>
            <w:r>
              <w:rPr>
                <w:rFonts w:ascii="Calibri" w:hAnsi="Calibri" w:eastAsia="微软雅黑" w:cs="Calibri"/>
                <w:b w:val="0"/>
                <w:i w:val="0"/>
                <w:color w:val="FFFFFF"/>
                <w:sz w:val="8"/>
              </w:rPr>
              <w:t xml:space="preserve"> </w:t>
            </w:r>
          </w:p>
        </w:tc>
      </w:tr>
    </w:tbl>
    <w:p>
      <w:pPr>
        <w:spacing w:after="280"/>
      </w:pPr>
    </w:p>
    <w:p>
      <w:pPr>
        <w:spacing w:before="0" w:after="120" w:line="300" w:lineRule="auto"/>
        <w:ind w:firstLine="0"/>
        <w:jc w:val="left"/>
      </w:pPr>
      <w:r>
        <w:rPr>
          <w:rFonts w:ascii="Calibri" w:hAnsi="Calibri" w:eastAsia="微软雅黑" w:cs="Calibri"/>
          <w:b/>
          <w:i w:val="0"/>
          <w:color w:val="1428A0"/>
          <w:sz w:val="20"/>
        </w:rPr>
        <w:t>RESEARCH BRIEF  ·  04 / 04</w:t>
      </w:r>
    </w:p>
    <w:p>
      <w:pPr>
        <w:spacing w:before="0" w:after="160" w:line="300" w:lineRule="auto"/>
        <w:ind w:firstLine="0"/>
        <w:jc w:val="left"/>
      </w:pPr>
      <w:r>
        <w:rPr>
          <w:rFonts w:ascii="Calibri" w:hAnsi="Calibri" w:eastAsia="微软雅黑" w:cs="Calibri"/>
          <w:b w:val="0"/>
          <w:i w:val="0"/>
          <w:color w:val="767676"/>
          <w:sz w:val="24"/>
        </w:rPr>
        <w:t>崂山啤酒  ·  品牌升级与全国化</w:t>
      </w:r>
    </w:p>
    <w:p>
      <w:pPr>
        <w:spacing w:before="0" w:after="80" w:line="300" w:lineRule="auto"/>
        <w:ind w:firstLine="0"/>
        <w:jc w:val="left"/>
      </w:pPr>
      <w:r>
        <w:rPr>
          <w:rFonts w:ascii="Calibri" w:hAnsi="Calibri" w:eastAsia="微软雅黑" w:cs="Calibri"/>
          <w:b/>
          <w:i w:val="0"/>
          <w:color w:val="1A1A1A"/>
          <w:sz w:val="48"/>
        </w:rPr>
        <w:t>全国化案例：留存数据与结论</w:t>
      </w:r>
    </w:p>
    <w:p>
      <w:pPr>
        <w:spacing w:before="0" w:after="200" w:line="300" w:lineRule="auto"/>
        <w:ind w:firstLine="0"/>
        <w:jc w:val="left"/>
      </w:pPr>
      <w:r>
        <w:rPr>
          <w:rFonts w:ascii="Calibri" w:hAnsi="Calibri" w:eastAsia="微软雅黑" w:cs="Calibri"/>
          <w:b w:val="0"/>
          <w:i/>
          <w:color w:val="767676"/>
          <w:sz w:val="24"/>
        </w:rPr>
        <w:t>乌苏啤酒 · 东鹏特饮 · 卡士酸奶 · 金威啤酒</w:t>
      </w:r>
    </w:p>
    <w:p>
      <w:pPr>
        <w:spacing w:before="0" w:after="160"/>
        <w:pBdr>
          <w:bottom w:val="single" w:sz="16" w:space="1" w:color="1428A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4706"/>
        <w:gridCol w:w="4706"/>
      </w:tblGrid>
      <w:tr>
        <w:tc>
          <w:tcPr>
            <w:tcW w:type="dxa" w:w="4706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4706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对应分工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四、快消行业品牌全国化案例（xjy / wdj）</w:t>
            </w:r>
          </w:p>
        </w:tc>
      </w:tr>
      <w:tr>
        <w:tc>
          <w:tcPr>
            <w:tcW w:type="dxa" w:w="4706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资料截止</w:t>
            </w:r>
          </w:p>
        </w:tc>
        <w:tc>
          <w:tcPr>
            <w:tcW w:type="dxa" w:w="4706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2026-10-03；复核 2026-10-04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本稿定位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只保留可上会的硬数与判断；过程叙述、方法说明、PPT讲稿已删除</w:t>
            </w:r>
          </w:p>
        </w:tc>
      </w:tr>
      <w:tr>
        <w:tc>
          <w:tcPr>
            <w:tcW w:type="dxa" w:w="4706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衔接</w:t>
            </w:r>
          </w:p>
        </w:tc>
        <w:tc>
          <w:tcPr>
            <w:tcW w:type="dxa" w:w="4706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对齐飞书「样板先行」及第二部分竞争/区域结论：避开青啤腹地，主战场在 6—8 元大众带</w:t>
            </w:r>
          </w:p>
        </w:tc>
      </w:tr>
    </w:tbl>
    <w:p>
      <w:pPr>
        <w:spacing w:before="40" w:after="200"/>
        <w:ind w:firstLine="0"/>
      </w:pPr>
      <w:r>
        <w:rPr>
          <w:rFonts w:ascii="Calibri" w:hAnsi="Calibri" w:eastAsia="微软雅黑" w:cs="Calibri"/>
          <w:b w:val="0"/>
          <w:i/>
          <w:color w:val="767676"/>
          <w:sz w:val="17"/>
        </w:rPr>
        <w:t>表 0  文件信息</w:t>
      </w:r>
    </w:p>
    <w:p>
      <w:pPr>
        <w:spacing w:before="320" w:after="40"/>
        <w:ind w:firstLine="0"/>
      </w:pPr>
      <w:r>
        <w:rPr>
          <w:rFonts w:ascii="Calibri" w:hAnsi="Calibri" w:eastAsia="微软雅黑" w:cs="Calibri"/>
          <w:b/>
          <w:i w:val="0"/>
          <w:color w:val="1428A0"/>
          <w:sz w:val="30"/>
        </w:rPr>
        <w:t>01  四案留存数据</w:t>
      </w:r>
    </w:p>
    <w:p>
      <w:pPr>
        <w:spacing w:before="0" w:after="160"/>
        <w:pBdr>
          <w:bottom w:val="single" w:sz="12" w:space="1" w:color="1428A0"/>
        </w:pBdr>
      </w:pPr>
    </w:p>
    <w:p>
      <w:pPr>
        <w:spacing w:before="200" w:after="80"/>
        <w:ind w:firstLine="0"/>
      </w:pPr>
      <w:r>
        <w:rPr>
          <w:rFonts w:ascii="Calibri" w:hAnsi="Calibri" w:eastAsia="微软雅黑" w:cs="Calibri"/>
          <w:b/>
          <w:i w:val="0"/>
          <w:color w:val="1A1A1A"/>
          <w:sz w:val="24"/>
        </w:rPr>
        <w:t>1.1  乌苏啤酒（同品类 · 成功外拓）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时点</w:t>
            </w:r>
          </w:p>
        </w:tc>
        <w:tc>
          <w:tcPr>
            <w:tcW w:type="dxa" w:w="3137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留存数据 / 事实</w:t>
            </w:r>
          </w:p>
        </w:tc>
        <w:tc>
          <w:tcPr>
            <w:tcW w:type="dxa" w:w="3137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来源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2016—2017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更新产品、包装与传播；增加小麦啤酒、纯生等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嘉士伯 2019 年报</w:t>
            </w:r>
          </w:p>
        </w:tc>
      </w:tr>
      <w:tr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2019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进入 30 个新城市；拓展约 2.6 万家烧烤终端；品牌销量 +45%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嘉士伯 2019 年报 / CMD 2019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2020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疆外售价明显高于新疆本土（管理层电话会）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嘉士伯 2020 业绩会</w:t>
            </w:r>
          </w:p>
        </w:tc>
      </w:tr>
      <w:tr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2020—2021 H1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持续扩大疆外分销，列为中国业务增长重要品牌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嘉士伯 2020 年报、2021 H1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2023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经销商库存偏高，减少发货；乌苏销量及疆外业务承压；上海首家烧烤体验店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嘉士伯 2023 H1 电话会；重啤 2023 中报</w:t>
            </w:r>
          </w:p>
        </w:tc>
      </w:tr>
      <w:tr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2025 CMD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较高价格产品能够支持距离酒厂更远的城市分销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嘉士伯 CMD 2025 China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2026-06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烧烤合作门店超过 130 家，覆盖 60 余城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重啤 2026 中报</w:t>
            </w:r>
          </w:p>
        </w:tc>
      </w:tr>
    </w:tbl>
    <w:p>
      <w:pPr>
        <w:spacing w:before="40" w:after="200"/>
        <w:ind w:firstLine="0"/>
      </w:pPr>
      <w:r>
        <w:rPr>
          <w:rFonts w:ascii="Calibri" w:hAnsi="Calibri" w:eastAsia="微软雅黑" w:cs="Calibri"/>
          <w:b w:val="0"/>
          <w:i/>
          <w:color w:val="767676"/>
          <w:sz w:val="17"/>
        </w:rPr>
        <w:t>表 1  乌苏：可留存数据。未披露分城市利润与各区域收益，不得外推为「全部疆外市场已健康」。</w:t>
      </w:r>
    </w:p>
    <w:p>
      <w:pPr>
        <w:spacing w:before="200" w:after="80"/>
        <w:ind w:firstLine="0"/>
      </w:pPr>
      <w:r>
        <w:rPr>
          <w:rFonts w:ascii="Calibri" w:hAnsi="Calibri" w:eastAsia="微软雅黑" w:cs="Calibri"/>
          <w:b/>
          <w:i w:val="0"/>
          <w:color w:val="1A1A1A"/>
          <w:sz w:val="24"/>
        </w:rPr>
        <w:t>1.2  东鹏特饮（跨品类 · 全国网络）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时点</w:t>
            </w:r>
          </w:p>
        </w:tc>
        <w:tc>
          <w:tcPr>
            <w:tcW w:type="dxa" w:w="3137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留存数据 / 事实</w:t>
            </w:r>
          </w:p>
        </w:tc>
        <w:tc>
          <w:tcPr>
            <w:tcW w:type="dxa" w:w="3137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来源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2009 / 2013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推出 PET 瓶装及防尘盖；全国品牌传播；安徽基地投产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东鹏招股说明书摘要</w:t>
            </w:r>
          </w:p>
        </w:tc>
      </w:tr>
      <w:tr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产品标价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500ml 金瓶建议零售价 5 元；250ml 建议零售价 3 元；金瓶优先在广东以外推广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东鹏招股说明书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2018—2020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500ml 收入占比 26.44% → 62.51%；毛利率 43.06% → 52.25%（含原料价与规模因素）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东鹏招股说明书</w:t>
            </w:r>
          </w:p>
        </w:tc>
      </w:tr>
      <w:tr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渠道机制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成熟市场划小经销区域；开发中市场给更大经营范围；重点市场业务员协销，其他市场靠经销商大流通；2020 前后「四码关联」兑奖—核验—补货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东鹏招股说明书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2025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华南以外主营收入 146.43 亿元，占比 70.20%；经销商超过 3,400 家；活跃终端超过 450 万家；销售费用 +27%；渠道推广费 +57.55%（公司称主要与冰柜投入有关）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东鹏 2025 年报</w:t>
            </w:r>
          </w:p>
        </w:tc>
      </w:tr>
      <w:tr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2026 H1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经销商超过 3,700 家；活跃终端超过 460 万家；华中 / 华东 / 华西 / 华北收入分别 +20.48% / +17.45% / +19.52% / +24.90%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东鹏 2026 中报</w:t>
            </w:r>
          </w:p>
        </w:tc>
      </w:tr>
    </w:tbl>
    <w:p>
      <w:pPr>
        <w:spacing w:before="40" w:after="200"/>
        <w:ind w:firstLine="0"/>
      </w:pPr>
      <w:r>
        <w:rPr>
          <w:rFonts w:ascii="Calibri" w:hAnsi="Calibri" w:eastAsia="微软雅黑" w:cs="Calibri"/>
          <w:b w:val="0"/>
          <w:i/>
          <w:color w:val="767676"/>
          <w:sz w:val="17"/>
        </w:rPr>
        <w:t>表 2  东鹏：可留存数据。区域收入为公司口径，含其他产品，不得全部记为东鹏特饮单品。</w:t>
      </w:r>
    </w:p>
    <w:p>
      <w:pPr>
        <w:spacing w:before="200" w:after="80"/>
        <w:ind w:firstLine="0"/>
      </w:pPr>
      <w:r>
        <w:rPr>
          <w:rFonts w:ascii="Calibri" w:hAnsi="Calibri" w:eastAsia="微软雅黑" w:cs="Calibri"/>
          <w:b/>
          <w:i w:val="0"/>
          <w:color w:val="1A1A1A"/>
          <w:sz w:val="24"/>
        </w:rPr>
        <w:t>1.3  卡士酸奶（跨品类 · 早期受挫后调整）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时点</w:t>
            </w:r>
          </w:p>
        </w:tc>
        <w:tc>
          <w:tcPr>
            <w:tcW w:type="dxa" w:w="3137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留存数据 / 事实</w:t>
            </w:r>
          </w:p>
        </w:tc>
        <w:tc>
          <w:tcPr>
            <w:tcW w:type="dxa" w:w="3137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来源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1999 起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深圳成立；低温酸奶；早期高档餐饮渠道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创始人访谈；卡士官网</w:t>
            </w:r>
          </w:p>
        </w:tc>
      </w:tr>
      <w:tr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2000 年代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第三方记载曾进四川、陕西、上海等后收缩部分业务（无同期分区域财报，不作损失估算）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伟大航路咨询 2023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2012 起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确认高端认知；主推原态酪乳；对接山姆等渠道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创始人访谈</w:t>
            </w:r>
          </w:p>
        </w:tc>
      </w:tr>
      <w:tr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2015 底—2017 初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企业负责人称已进华东，完成 10 个重点省市布局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食品板 2017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2018—2021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苏州基地 2018 投产，2019 增产线，2021 披露二期扩产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新华社 2021</w:t>
            </w:r>
          </w:p>
        </w:tc>
      </w:tr>
      <w:tr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2026-02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苏州工厂春节生产；15 条已投产产线运行；近半个月交付近 3,000 吨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苏相合作区政府网</w:t>
            </w:r>
          </w:p>
        </w:tc>
      </w:tr>
    </w:tbl>
    <w:p>
      <w:pPr>
        <w:spacing w:before="40" w:after="200"/>
        <w:ind w:firstLine="0"/>
      </w:pPr>
      <w:r>
        <w:rPr>
          <w:rFonts w:ascii="Calibri" w:hAnsi="Calibri" w:eastAsia="微软雅黑" w:cs="Calibri"/>
          <w:b w:val="0"/>
          <w:i/>
          <w:color w:val="767676"/>
          <w:sz w:val="17"/>
        </w:rPr>
        <w:t>表 3  卡士：可留存数据。早期收缩仅第三方复盘；苏州产量 ≠ 集团利润，不能写成「已全国化成功」。</w:t>
      </w:r>
    </w:p>
    <w:p>
      <w:pPr>
        <w:spacing w:before="200" w:after="80"/>
        <w:ind w:firstLine="0"/>
      </w:pPr>
      <w:r>
        <w:rPr>
          <w:rFonts w:ascii="Calibri" w:hAnsi="Calibri" w:eastAsia="微软雅黑" w:cs="Calibri"/>
          <w:b/>
          <w:i w:val="0"/>
          <w:color w:val="1A1A1A"/>
          <w:sz w:val="24"/>
        </w:rPr>
        <w:t>1.4  金威啤酒（同品类 · 投入回报受挫）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时点</w:t>
            </w:r>
          </w:p>
        </w:tc>
        <w:tc>
          <w:tcPr>
            <w:tcW w:type="dxa" w:w="3137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留存数据 / 事实</w:t>
            </w:r>
          </w:p>
        </w:tc>
        <w:tc>
          <w:tcPr>
            <w:tcW w:type="dxa" w:w="3137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来源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2006 H1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天津工厂 5 月投产；推进西安、成都；销售及分销费用 +29.8%；销量 +36.6%；净利润 −13.0%（公司解释含均价下降、新厂折旧、财务与税务）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金威 2006 中报</w:t>
            </w:r>
          </w:p>
        </w:tc>
      </w:tr>
      <w:tr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2008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天津、西安、成都工厂产能未充分利用且亏损；广东亦面临产能过剩与竞争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金威 2008 年报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2009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销量 83.3 万吨；净利润 1,451.5 万港元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金威 2012 年报五年摘要</w:t>
            </w:r>
          </w:p>
        </w:tc>
      </w:tr>
      <w:tr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2010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销量 92.5 万吨；净利润 3,627.2 万港元；公司披露省外工厂均已贡献利润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金威 2010 / 2012 年报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2011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销量 93.4 万吨；净利润 3,476.5 万港元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金威 2012 年报五年摘要</w:t>
            </w:r>
          </w:p>
        </w:tc>
      </w:tr>
      <w:tr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2012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销量 80.4 万吨；净利润 −16,847.4 万港元；毛利率 10.5%；含战略评估费用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金威 2012 年报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2013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出售啤酒业务；华润收购七间工厂相关业务；原上市公司转向地产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金威 2012 年报；华润创业 2013 年报</w:t>
            </w:r>
          </w:p>
        </w:tc>
      </w:tr>
    </w:tbl>
    <w:p>
      <w:pPr>
        <w:spacing w:before="40" w:after="200"/>
        <w:ind w:firstLine="0"/>
      </w:pPr>
      <w:r>
        <w:rPr>
          <w:rFonts w:ascii="Calibri" w:hAnsi="Calibri" w:eastAsia="微软雅黑" w:cs="Calibri"/>
          <w:b w:val="0"/>
          <w:i/>
          <w:color w:val="767676"/>
          <w:sz w:val="17"/>
        </w:rPr>
        <w:t>表 4  金威：可留存数据。财务统一用 2012 年报历史摘要。出售含资产与战略选择，不能单独当作「外拓失败」的唯一证据。</w:t>
      </w:r>
    </w:p>
    <w:p>
      <w:pPr>
        <w:spacing w:before="320" w:after="40"/>
        <w:ind w:firstLine="0"/>
      </w:pPr>
      <w:r>
        <w:rPr>
          <w:rFonts w:ascii="Calibri" w:hAnsi="Calibri" w:eastAsia="微软雅黑" w:cs="Calibri"/>
          <w:b/>
          <w:i w:val="0"/>
          <w:color w:val="1428A0"/>
          <w:sz w:val="30"/>
        </w:rPr>
        <w:t>02  四案对照（只留条件与结果）</w:t>
      </w:r>
    </w:p>
    <w:p>
      <w:pPr>
        <w:spacing w:before="0" w:after="160"/>
        <w:pBdr>
          <w:bottom w:val="single" w:sz="12" w:space="1" w:color="1428A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1882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乌苏</w:t>
            </w:r>
          </w:p>
        </w:tc>
        <w:tc>
          <w:tcPr>
            <w:tcW w:type="dxa" w:w="1882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东鹏</w:t>
            </w:r>
          </w:p>
        </w:tc>
        <w:tc>
          <w:tcPr>
            <w:tcW w:type="dxa" w:w="1882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卡士</w:t>
            </w:r>
          </w:p>
        </w:tc>
        <w:tc>
          <w:tcPr>
            <w:tcW w:type="dxa" w:w="1882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金威</w:t>
            </w:r>
          </w:p>
        </w:tc>
      </w:tr>
      <w:tr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产品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地域识别 + 口味；疆外有价格空间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500ml 金瓶：5 元 / 容量 / 便携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高端单品原态酪乳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原有啤酒产品外扩</w:t>
            </w:r>
          </w:p>
        </w:tc>
      </w:tr>
      <w:tr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渠道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大城市分销 + 烧烤场景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经销分层 + 业务员 + 兑奖补货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早期受阻后改高端零售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新区域分销与建厂同步</w:t>
            </w:r>
          </w:p>
        </w:tc>
      </w:tr>
      <w:tr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供应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嘉士伯集团平台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多区域生产 + 持续冰柜 / 推广费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后建苏州基地与冷链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新厂固定成本先于销量</w:t>
            </w:r>
          </w:p>
        </w:tc>
      </w:tr>
      <w:tr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结果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2019 销量 +45%；2023 库存回撤；2026 体验店 130+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2025 华南外收入占 70.20%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早期收缩；华东供货已落地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2006—2008 投入承压；2010 省外转正；2012 再亏；2013 出售</w:t>
            </w:r>
          </w:p>
        </w:tc>
      </w:tr>
      <w:tr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不可照搬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疆外溢价 ≠ 崂山 6 元以下历史定位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功能饮料频次 / 促销码 ≠ 啤酒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低温冷链约束强于啤酒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自建新厂路径 ≠ 青啤现有产能</w:t>
            </w:r>
          </w:p>
        </w:tc>
      </w:tr>
    </w:tbl>
    <w:p>
      <w:pPr>
        <w:spacing w:before="40" w:after="200"/>
        <w:ind w:firstLine="0"/>
      </w:pPr>
      <w:r>
        <w:rPr>
          <w:rFonts w:ascii="Calibri" w:hAnsi="Calibri" w:eastAsia="微软雅黑" w:cs="Calibri"/>
          <w:b w:val="0"/>
          <w:i/>
          <w:color w:val="767676"/>
          <w:sz w:val="17"/>
        </w:rPr>
        <w:t>表 5  对照。不对四家整体竞争力排序。</w:t>
      </w:r>
    </w:p>
    <w:p>
      <w:pPr>
        <w:spacing w:before="320" w:after="40"/>
        <w:ind w:firstLine="0"/>
      </w:pPr>
      <w:r>
        <w:rPr>
          <w:rFonts w:ascii="Calibri" w:hAnsi="Calibri" w:eastAsia="微软雅黑" w:cs="Calibri"/>
          <w:b/>
          <w:i w:val="0"/>
          <w:color w:val="1428A0"/>
          <w:sz w:val="30"/>
        </w:rPr>
        <w:t>03  结论：对崂山意味着什么</w:t>
      </w:r>
    </w:p>
    <w:p>
      <w:pPr>
        <w:spacing w:before="0" w:after="160"/>
        <w:pBdr>
          <w:bottom w:val="single" w:sz="12" w:space="1" w:color="1428A0"/>
        </w:pBdr>
      </w:pPr>
    </w:p>
    <w:p>
      <w:pPr>
        <w:spacing w:before="0" w:after="120" w:line="300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以下六条为终稿判断，已与飞书研讨及「竞争品牌与区域市场」口径对齐。不再展开论证过程。</w:t>
      </w:r>
    </w:p>
    <w:p>
      <w:pPr>
        <w:spacing w:after="60" w:line="293" w:lineRule="auto"/>
        <w:ind w:left="369" w:hanging="181"/>
        <w:jc w:val="both"/>
      </w:pPr>
      <w:r>
        <w:rPr>
          <w:rFonts w:ascii="Calibri" w:hAnsi="Calibri" w:eastAsia="微软雅黑" w:cs="Calibri"/>
          <w:b/>
          <w:i w:val="0"/>
          <w:color w:val="1428A0"/>
          <w:sz w:val="22"/>
        </w:rPr>
        <w:t xml:space="preserve">–  </w:t>
      </w:r>
      <w:r>
        <w:rPr>
          <w:rFonts w:ascii="Calibri" w:hAnsi="Calibri" w:eastAsia="微软雅黑" w:cs="Calibri"/>
          <w:b/>
          <w:i w:val="0"/>
          <w:color w:val="1A1A1A"/>
          <w:sz w:val="22"/>
        </w:rPr>
        <w:t xml:space="preserve">结论 1  </w:t>
      </w: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全国化必须落在可感知、可成交的少数规格上。乌苏靠口味 + 新疆识别，东鹏靠 5 元 / 500ml。崂山全麦升级若不能在实际价位和火锅 / 烧烤 / 小龙虾场景里被选中，就没有外拓产品。</w:t>
      </w:r>
    </w:p>
    <w:p>
      <w:pPr>
        <w:spacing w:after="60" w:line="293" w:lineRule="auto"/>
        <w:ind w:left="369" w:hanging="181"/>
        <w:jc w:val="both"/>
      </w:pPr>
      <w:r>
        <w:rPr>
          <w:rFonts w:ascii="Calibri" w:hAnsi="Calibri" w:eastAsia="微软雅黑" w:cs="Calibri"/>
          <w:b/>
          <w:i w:val="0"/>
          <w:color w:val="1428A0"/>
          <w:sz w:val="22"/>
        </w:rPr>
        <w:t xml:space="preserve">–  </w:t>
      </w:r>
      <w:r>
        <w:rPr>
          <w:rFonts w:ascii="Calibri" w:hAnsi="Calibri" w:eastAsia="微软雅黑" w:cs="Calibri"/>
          <w:b/>
          <w:i w:val="0"/>
          <w:color w:val="1A1A1A"/>
          <w:sz w:val="22"/>
        </w:rPr>
        <w:t xml:space="preserve">结论 2  </w:t>
      </w:r>
      <w:r>
        <w:rPr>
          <w:rFonts w:ascii="Calibri" w:hAnsi="Calibri" w:eastAsia="微软雅黑" w:cs="Calibri"/>
          <w:b w:val="0"/>
          <w:i w:val="0"/>
          <w:color w:val="1A1A1A"/>
          <w:sz w:val="22"/>
        </w:rPr>
        <w:t>飞书要求避开青啤腹地。乌苏的疆外溢价和卡士的高端零售，都不是崂山可复制的价格带。可留的位置是 6—8 元大众升级带，对位雪花勇闯 / 燕京 U8，而不是做成「便宜的青岛经典」。</w:t>
      </w:r>
    </w:p>
    <w:p>
      <w:pPr>
        <w:spacing w:after="60" w:line="293" w:lineRule="auto"/>
        <w:ind w:left="369" w:hanging="181"/>
        <w:jc w:val="both"/>
      </w:pPr>
      <w:r>
        <w:rPr>
          <w:rFonts w:ascii="Calibri" w:hAnsi="Calibri" w:eastAsia="微软雅黑" w:cs="Calibri"/>
          <w:b/>
          <w:i w:val="0"/>
          <w:color w:val="1428A0"/>
          <w:sz w:val="22"/>
        </w:rPr>
        <w:t xml:space="preserve">–  </w:t>
      </w:r>
      <w:r>
        <w:rPr>
          <w:rFonts w:ascii="Calibri" w:hAnsi="Calibri" w:eastAsia="微软雅黑" w:cs="Calibri"/>
          <w:b/>
          <w:i w:val="0"/>
          <w:color w:val="1A1A1A"/>
          <w:sz w:val="22"/>
        </w:rPr>
        <w:t xml:space="preserve">结论 3  </w:t>
      </w: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卡士早期在川、陕、沪收缩，说明地方品牌墙真实存在；其后续靠换单品、换渠道、在华东建厂才站住。南方不是一块市场。样板城按同价位竞争、终端接受度、经销商、供货距离筛选，不做「华南大区铺开」。</w:t>
      </w:r>
    </w:p>
    <w:p>
      <w:pPr>
        <w:spacing w:after="60" w:line="293" w:lineRule="auto"/>
        <w:ind w:left="369" w:hanging="181"/>
        <w:jc w:val="both"/>
      </w:pPr>
      <w:r>
        <w:rPr>
          <w:rFonts w:ascii="Calibri" w:hAnsi="Calibri" w:eastAsia="微软雅黑" w:cs="Calibri"/>
          <w:b/>
          <w:i w:val="0"/>
          <w:color w:val="1428A0"/>
          <w:sz w:val="22"/>
        </w:rPr>
        <w:t xml:space="preserve">–  </w:t>
      </w:r>
      <w:r>
        <w:rPr>
          <w:rFonts w:ascii="Calibri" w:hAnsi="Calibri" w:eastAsia="微软雅黑" w:cs="Calibri"/>
          <w:b/>
          <w:i w:val="0"/>
          <w:color w:val="1A1A1A"/>
          <w:sz w:val="22"/>
        </w:rPr>
        <w:t xml:space="preserve">结论 4  </w:t>
      </w:r>
      <w:r>
        <w:rPr>
          <w:rFonts w:ascii="Calibri" w:hAnsi="Calibri" w:eastAsia="微软雅黑" w:cs="Calibri"/>
          <w:b w:val="0"/>
          <w:i w:val="0"/>
          <w:color w:val="1A1A1A"/>
          <w:sz w:val="22"/>
        </w:rPr>
        <w:t>金威 2006 年销量 +36.6% 而净利 −13.0%，2008 年三厂仍亏，说明覆盖和出货可以快于真实饮用。乌苏 2023 年同样因经销商库存偏高减发货。样板 KPI 只留四项：有效售卖终端、持续补货、库存周转、扣促销 / 物流 / 人员后的区域贡献。铺货家数不作为阶段成果。</w:t>
      </w:r>
    </w:p>
    <w:p>
      <w:pPr>
        <w:spacing w:after="60" w:line="293" w:lineRule="auto"/>
        <w:ind w:left="369" w:hanging="181"/>
        <w:jc w:val="both"/>
      </w:pPr>
      <w:r>
        <w:rPr>
          <w:rFonts w:ascii="Calibri" w:hAnsi="Calibri" w:eastAsia="微软雅黑" w:cs="Calibri"/>
          <w:b/>
          <w:i w:val="0"/>
          <w:color w:val="1428A0"/>
          <w:sz w:val="22"/>
        </w:rPr>
        <w:t xml:space="preserve">–  </w:t>
      </w:r>
      <w:r>
        <w:rPr>
          <w:rFonts w:ascii="Calibri" w:hAnsi="Calibri" w:eastAsia="微软雅黑" w:cs="Calibri"/>
          <w:b/>
          <w:i w:val="0"/>
          <w:color w:val="1A1A1A"/>
          <w:sz w:val="22"/>
        </w:rPr>
        <w:t xml:space="preserve">结论 5  </w:t>
      </w:r>
      <w:r>
        <w:rPr>
          <w:rFonts w:ascii="Calibri" w:hAnsi="Calibri" w:eastAsia="微软雅黑" w:cs="Calibri"/>
          <w:b w:val="0"/>
          <w:i w:val="0"/>
          <w:color w:val="1A1A1A"/>
          <w:sz w:val="22"/>
        </w:rPr>
        <w:t>东鹏 2025 年华南外已占收入 70.20%，销售费用仍 +27%、渠道推广费 +57.55%。网络建完仍要养。青啤的工厂和经销商能降低进入成本，但不能代替崂山自己的主推供货、销售责任、渠道费用和与主品牌的桌面区隔。这些安排必须在样板阶段写死。</w:t>
      </w:r>
    </w:p>
    <w:p>
      <w:pPr>
        <w:spacing w:after="60" w:line="293" w:lineRule="auto"/>
        <w:ind w:left="369" w:hanging="181"/>
        <w:jc w:val="both"/>
      </w:pPr>
      <w:r>
        <w:rPr>
          <w:rFonts w:ascii="Calibri" w:hAnsi="Calibri" w:eastAsia="微软雅黑" w:cs="Calibri"/>
          <w:b/>
          <w:i w:val="0"/>
          <w:color w:val="1428A0"/>
          <w:sz w:val="22"/>
        </w:rPr>
        <w:t xml:space="preserve">–  </w:t>
      </w:r>
      <w:r>
        <w:rPr>
          <w:rFonts w:ascii="Calibri" w:hAnsi="Calibri" w:eastAsia="微软雅黑" w:cs="Calibri"/>
          <w:b/>
          <w:i w:val="0"/>
          <w:color w:val="1A1A1A"/>
          <w:sz w:val="22"/>
        </w:rPr>
        <w:t xml:space="preserve">结论 6  </w:t>
      </w:r>
      <w:r>
        <w:rPr>
          <w:rFonts w:ascii="Calibri" w:hAnsi="Calibri" w:eastAsia="微软雅黑" w:cs="Calibri"/>
          <w:b w:val="0"/>
          <w:i w:val="0"/>
          <w:color w:val="1A1A1A"/>
          <w:sz w:val="22"/>
        </w:rPr>
        <w:t>金威是自建新厂、产能先于需求；崂山应使用青啤现有体系，按样板售卖分阶段加人员、终端和物流，同时盯住山东 / 河北基本盘不被抽空。持续低于预期时，先分清是产品不被接受、渠道不执行，还是供应成本过高，再决定加码或收缩。现有证据不够设定统一退出月数。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9412"/>
      </w:tblGrid>
      <w:tr>
        <w:tc>
          <w:tcPr>
            <w:tcW w:type="dxa" w:w="9412"/>
            <w:shd w:fill="F4F6FB" w:val="clear"/>
            <w:tcMar>
              <w:top w:w="90" w:type="dxa"/>
              <w:left w:w="130" w:type="dxa"/>
              <w:bottom w:w="90" w:type="dxa"/>
              <w:right w:w="130" w:type="dxa"/>
            </w:tcMar>
            <w:tcBorders>
              <w:top w:val="nil" w:sz="0" w:color="FFFFFF"/>
              <w:left w:val="single" w:sz="24" w:color="1428A0"/>
              <w:bottom w:val="nil" w:sz="0" w:color="FFFFFF"/>
              <w:right w:val="nil" w:sz="0" w:color="FFFFFF"/>
            </w:tcBorders>
          </w:tcPr>
          <w:p>
            <w:pPr>
              <w:spacing w:after="80"/>
              <w:ind w:firstLine="0"/>
            </w:pPr>
            <w:r>
              <w:rPr>
                <w:rFonts w:ascii="Calibri" w:hAnsi="Calibri" w:eastAsia="微软雅黑" w:cs="Calibri"/>
                <w:b/>
                <w:i w:val="0"/>
                <w:color w:val="1428A0"/>
                <w:sz w:val="21"/>
              </w:rPr>
              <w:t>十条给 10.13 的收口</w:t>
            </w:r>
          </w:p>
          <w:p>
            <w:pPr>
              <w:spacing w:after="0" w:line="293" w:lineRule="auto"/>
              <w:ind w:firstLine="0"/>
              <w:jc w:val="both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21"/>
              </w:rPr>
              <w:t>用一款全麦主规格去打 6—8 元，不抢青啤经典桌；先做一个北方保卫样板和一个南方夜宵样板；只认售卖、补货、库存和扣费后贡献；集团资源按单列账户调用；不新建工厂、不按覆盖城市数报功。</w:t>
            </w:r>
          </w:p>
        </w:tc>
      </w:tr>
    </w:tbl>
    <w:p>
      <w:pPr>
        <w:spacing w:after="120"/>
      </w:pPr>
    </w:p>
    <w:p>
      <w:pPr>
        <w:spacing w:before="320" w:after="40"/>
        <w:ind w:firstLine="0"/>
      </w:pPr>
      <w:r>
        <w:rPr>
          <w:rFonts w:ascii="Calibri" w:hAnsi="Calibri" w:eastAsia="微软雅黑" w:cs="Calibri"/>
          <w:b/>
          <w:i w:val="0"/>
          <w:color w:val="1428A0"/>
          <w:sz w:val="30"/>
        </w:rPr>
        <w:t>04  仍缺、会改写结论的数据</w:t>
      </w:r>
    </w:p>
    <w:p>
      <w:pPr>
        <w:spacing w:before="0" w:after="160"/>
        <w:pBdr>
          <w:bottom w:val="single" w:sz="12" w:space="1" w:color="1428A0"/>
        </w:pBdr>
      </w:pPr>
    </w:p>
    <w:p>
      <w:pPr>
        <w:spacing w:before="0" w:after="120" w:line="300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下列缺口未关闭前，不把结论写成已验证方案。</w:t>
      </w:r>
    </w:p>
    <w:p>
      <w:pPr>
        <w:spacing w:after="60" w:line="293" w:lineRule="auto"/>
        <w:ind w:left="369" w:hanging="181"/>
        <w:jc w:val="both"/>
      </w:pPr>
      <w:r>
        <w:rPr>
          <w:rFonts w:ascii="Calibri" w:hAnsi="Calibri" w:eastAsia="微软雅黑" w:cs="Calibri"/>
          <w:b/>
          <w:i w:val="0"/>
          <w:color w:val="1428A0"/>
          <w:sz w:val="22"/>
        </w:rPr>
        <w:t xml:space="preserve">–  </w:t>
      </w: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全麦升级的具体规格、建议零售价 / 成交价、盲测与知晓品牌后的选择。</w:t>
      </w:r>
    </w:p>
    <w:p>
      <w:pPr>
        <w:spacing w:after="60" w:line="293" w:lineRule="auto"/>
        <w:ind w:left="369" w:hanging="181"/>
        <w:jc w:val="both"/>
      </w:pPr>
      <w:r>
        <w:rPr>
          <w:rFonts w:ascii="Calibri" w:hAnsi="Calibri" w:eastAsia="微软雅黑" w:cs="Calibri"/>
          <w:b/>
          <w:i w:val="0"/>
          <w:color w:val="1428A0"/>
          <w:sz w:val="22"/>
        </w:rPr>
        <w:t xml:space="preserve">–  </w:t>
      </w: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崂山 2023—2025 单品牌销量、收入；分省 / 分城；餐饮 vs 零售结构与库存。</w:t>
      </w:r>
    </w:p>
    <w:p>
      <w:pPr>
        <w:spacing w:after="60" w:line="293" w:lineRule="auto"/>
        <w:ind w:left="369" w:hanging="181"/>
        <w:jc w:val="both"/>
      </w:pPr>
      <w:r>
        <w:rPr>
          <w:rFonts w:ascii="Calibri" w:hAnsi="Calibri" w:eastAsia="微软雅黑" w:cs="Calibri"/>
          <w:b/>
          <w:i w:val="0"/>
          <w:color w:val="1428A0"/>
          <w:sz w:val="22"/>
        </w:rPr>
        <w:t xml:space="preserve">–  </w:t>
      </w:r>
      <w:r>
        <w:rPr>
          <w:rFonts w:ascii="Calibri" w:hAnsi="Calibri" w:eastAsia="微软雅黑" w:cs="Calibri"/>
          <w:b w:val="0"/>
          <w:i w:val="0"/>
          <w:color w:val="1A1A1A"/>
          <w:sz w:val="22"/>
        </w:rPr>
        <w:t>样板候选城：同价位竞品成交价、单店销量、经销商毛利、供货距离。</w:t>
      </w:r>
    </w:p>
    <w:p>
      <w:pPr>
        <w:spacing w:after="60" w:line="293" w:lineRule="auto"/>
        <w:ind w:left="369" w:hanging="181"/>
        <w:jc w:val="both"/>
      </w:pPr>
      <w:r>
        <w:rPr>
          <w:rFonts w:ascii="Calibri" w:hAnsi="Calibri" w:eastAsia="微软雅黑" w:cs="Calibri"/>
          <w:b/>
          <w:i w:val="0"/>
          <w:color w:val="1428A0"/>
          <w:sz w:val="22"/>
        </w:rPr>
        <w:t xml:space="preserve">–  </w:t>
      </w:r>
      <w:r>
        <w:rPr>
          <w:rFonts w:ascii="Calibri" w:hAnsi="Calibri" w:eastAsia="微软雅黑" w:cs="Calibri"/>
          <w:b w:val="0"/>
          <w:i w:val="0"/>
          <w:color w:val="1A1A1A"/>
          <w:sz w:val="22"/>
        </w:rPr>
        <w:t>集团可调用工厂、团队、费用科目，以及与青岛主品牌的终端区隔规则。</w:t>
      </w:r>
    </w:p>
    <w:p>
      <w:pPr>
        <w:spacing w:before="320" w:after="40"/>
        <w:ind w:firstLine="0"/>
      </w:pPr>
      <w:r>
        <w:rPr>
          <w:rFonts w:ascii="Calibri" w:hAnsi="Calibri" w:eastAsia="微软雅黑" w:cs="Calibri"/>
          <w:b/>
          <w:i w:val="0"/>
          <w:color w:val="1428A0"/>
          <w:sz w:val="30"/>
        </w:rPr>
        <w:t>05  文献（与正文数据对应）</w:t>
      </w:r>
    </w:p>
    <w:p>
      <w:pPr>
        <w:spacing w:before="0" w:after="160"/>
        <w:pBdr>
          <w:bottom w:val="single" w:sz="12" w:space="1" w:color="1428A0"/>
        </w:pBdr>
      </w:pPr>
    </w:p>
    <w:p>
      <w:pPr>
        <w:spacing w:before="0" w:after="60" w:line="300" w:lineRule="auto"/>
        <w:ind w:firstLine="0"/>
        <w:jc w:val="left"/>
      </w:pPr>
      <w:r>
        <w:rPr>
          <w:rFonts w:ascii="Calibri" w:hAnsi="Calibri" w:eastAsia="微软雅黑" w:cs="Calibri"/>
          <w:b w:val="0"/>
          <w:i w:val="0"/>
          <w:color w:val="767676"/>
          <w:sz w:val="19"/>
        </w:rPr>
        <w:t>[1] 青岛啤酒 2025 年报；2026 中报。</w:t>
      </w:r>
    </w:p>
    <w:p>
      <w:pPr>
        <w:spacing w:before="0" w:after="60" w:line="300" w:lineRule="auto"/>
        <w:ind w:firstLine="0"/>
        <w:jc w:val="left"/>
      </w:pPr>
      <w:r>
        <w:rPr>
          <w:rFonts w:ascii="Calibri" w:hAnsi="Calibri" w:eastAsia="微软雅黑" w:cs="Calibri"/>
          <w:b w:val="0"/>
          <w:i w:val="0"/>
          <w:color w:val="767676"/>
          <w:sz w:val="19"/>
        </w:rPr>
        <w:t>[2] 崂山企业交流逐字稿（2026-09-29，飞书）。</w:t>
      </w:r>
    </w:p>
    <w:p>
      <w:pPr>
        <w:spacing w:before="0" w:after="60" w:line="300" w:lineRule="auto"/>
        <w:ind w:firstLine="0"/>
        <w:jc w:val="left"/>
      </w:pPr>
      <w:r>
        <w:rPr>
          <w:rFonts w:ascii="Calibri" w:hAnsi="Calibri" w:eastAsia="微软雅黑" w:cs="Calibri"/>
          <w:b w:val="0"/>
          <w:i w:val="0"/>
          <w:color w:val="767676"/>
          <w:sz w:val="19"/>
        </w:rPr>
        <w:t>[3] Carlsberg Annual Report 2019；CMD 2019 Part 3；2020 Financial Statement / Call；H1 2021；H1 2023 Call；CMD 2025 Deep Dive China。</w:t>
      </w:r>
    </w:p>
    <w:p>
      <w:pPr>
        <w:spacing w:before="0" w:after="60" w:line="300" w:lineRule="auto"/>
        <w:ind w:firstLine="0"/>
        <w:jc w:val="left"/>
      </w:pPr>
      <w:r>
        <w:rPr>
          <w:rFonts w:ascii="Calibri" w:hAnsi="Calibri" w:eastAsia="微软雅黑" w:cs="Calibri"/>
          <w:b w:val="0"/>
          <w:i w:val="0"/>
          <w:color w:val="767676"/>
          <w:sz w:val="19"/>
        </w:rPr>
        <w:t>[4] 重庆啤酒 2023 中报、2024 年报、2026 中报（乌苏体验店 / 门店数）。</w:t>
      </w:r>
    </w:p>
    <w:p>
      <w:pPr>
        <w:spacing w:before="0" w:after="60" w:line="300" w:lineRule="auto"/>
        <w:ind w:firstLine="0"/>
        <w:jc w:val="left"/>
      </w:pPr>
      <w:r>
        <w:rPr>
          <w:rFonts w:ascii="Calibri" w:hAnsi="Calibri" w:eastAsia="微软雅黑" w:cs="Calibri"/>
          <w:b w:val="0"/>
          <w:i w:val="0"/>
          <w:color w:val="767676"/>
          <w:sz w:val="19"/>
        </w:rPr>
        <w:t>[5] 东鹏饮料招股说明书及摘要（2021-05-14）；2025 年报；2026 中报。</w:t>
      </w:r>
    </w:p>
    <w:p>
      <w:pPr>
        <w:spacing w:before="0" w:after="60" w:line="300" w:lineRule="auto"/>
        <w:ind w:firstLine="0"/>
        <w:jc w:val="left"/>
      </w:pPr>
      <w:r>
        <w:rPr>
          <w:rFonts w:ascii="Calibri" w:hAnsi="Calibri" w:eastAsia="微软雅黑" w:cs="Calibri"/>
          <w:b w:val="0"/>
          <w:i w:val="0"/>
          <w:color w:val="767676"/>
          <w:sz w:val="19"/>
        </w:rPr>
        <w:t>[6] FBIF 专访卡士创始人（2021-08-30）；卡士官网；食品板（2017-01-06）；伟大航路咨询（2023-06-21）；新华社苏州扩产（2021-01-25）；苏相合作区（2026-02-25）。</w:t>
      </w:r>
    </w:p>
    <w:p>
      <w:pPr>
        <w:spacing w:before="0" w:after="60" w:line="300" w:lineRule="auto"/>
        <w:ind w:firstLine="0"/>
        <w:jc w:val="left"/>
      </w:pPr>
      <w:r>
        <w:rPr>
          <w:rFonts w:ascii="Calibri" w:hAnsi="Calibri" w:eastAsia="微软雅黑" w:cs="Calibri"/>
          <w:b w:val="0"/>
          <w:i w:val="0"/>
          <w:color w:val="767676"/>
          <w:sz w:val="19"/>
        </w:rPr>
        <w:t>[7] 金威啤酒 2006 中报、2008 / 2010 / 2012 年报；华润创业 2013 年报。</w:t>
      </w:r>
    </w:p>
    <w:p>
      <w:pPr>
        <w:spacing w:before="160" w:after="120" w:line="300" w:lineRule="auto"/>
        <w:ind w:firstLine="0"/>
        <w:jc w:val="left"/>
      </w:pPr>
      <w:r>
        <w:rPr>
          <w:rFonts w:ascii="Calibri" w:hAnsi="Calibri" w:eastAsia="微软雅黑" w:cs="Calibri"/>
          <w:b w:val="0"/>
          <w:i w:val="0"/>
          <w:color w:val="767676"/>
          <w:sz w:val="19"/>
        </w:rPr>
        <w:t>正文已删除：研究目的铺陈、案例选择方法论、过程复盘、阶段评价框架、六页讲稿设计。数据与表内数字均来自原文交叉核对稿，口径限制保留在各表注。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