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9412"/>
      </w:tblGrid>
      <w:tr>
        <w:tc>
          <w:tcPr>
            <w:tcW w:type="dxa" w:w="9412"/>
            <w:shd w:fill="1428A0" w:val="clear"/>
            <w:tcMar>
              <w:top w:w="36" w:type="dxa"/>
              <w:left w:w="0" w:type="dxa"/>
              <w:bottom w:w="36" w:type="dxa"/>
              <w:right w:w="0" w:type="dxa"/>
            </w:tcMar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</w:tcPr>
          <w:p>
            <w:r>
              <w:rPr>
                <w:rFonts w:ascii="Calibri" w:hAnsi="Calibri" w:eastAsia="微软雅黑" w:cs="Calibri"/>
                <w:b w:val="0"/>
                <w:i w:val="0"/>
                <w:color w:val="FFFFFF"/>
                <w:sz w:val="8"/>
              </w:rPr>
              <w:t xml:space="preserve"> </w:t>
            </w:r>
          </w:p>
        </w:tc>
      </w:tr>
    </w:tbl>
    <w:p>
      <w:pPr>
        <w:spacing w:after="280"/>
      </w:pPr>
    </w:p>
    <w:p>
      <w:pPr>
        <w:spacing w:before="0" w:after="140" w:line="307" w:lineRule="auto"/>
        <w:ind w:firstLine="0"/>
        <w:jc w:val="left"/>
      </w:pPr>
      <w:r>
        <w:rPr>
          <w:rFonts w:ascii="Calibri" w:hAnsi="Calibri" w:eastAsia="微软雅黑" w:cs="Calibri"/>
          <w:b/>
          <w:i w:val="0"/>
          <w:color w:val="1428A0"/>
          <w:sz w:val="20"/>
        </w:rPr>
        <w:t>RESEARCH BRIEF  ·  02 / 04</w:t>
      </w:r>
    </w:p>
    <w:p>
      <w:pPr>
        <w:spacing w:before="0" w:after="16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 w:val="0"/>
          <w:color w:val="767676"/>
          <w:sz w:val="24"/>
        </w:rPr>
        <w:t>崂山啤酒  ·  品牌升级与全国化</w:t>
      </w:r>
    </w:p>
    <w:p>
      <w:pPr>
        <w:spacing w:before="0" w:after="80" w:line="307" w:lineRule="auto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48"/>
        </w:rPr>
        <w:t>竞争品牌与区域市场</w:t>
      </w:r>
    </w:p>
    <w:p>
      <w:pPr>
        <w:spacing w:before="0" w:after="20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/>
          <w:color w:val="767676"/>
          <w:sz w:val="24"/>
        </w:rPr>
        <w:t>谁在抢同一桌酒，战场实际在哪些省</w:t>
      </w:r>
    </w:p>
    <w:p>
      <w:pPr>
        <w:spacing w:before="0" w:after="160"/>
        <w:pBdr>
          <w:bottom w:val="single" w:sz="16" w:space="1" w:color="1428A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4706"/>
        <w:gridCol w:w="4706"/>
      </w:tblGrid>
      <w:tr>
        <w:tc>
          <w:tcPr>
            <w:tcW w:type="dxa" w:w="4706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项目</w:t>
            </w:r>
          </w:p>
        </w:tc>
        <w:tc>
          <w:tcPr>
            <w:tcW w:type="dxa" w:w="4706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4706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负责人 / 协同</w:t>
            </w:r>
          </w:p>
        </w:tc>
        <w:tc>
          <w:tcPr>
            <w:tcW w:type="dxa" w:w="4706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wqf  /  zhh</w:t>
            </w:r>
          </w:p>
        </w:tc>
      </w:tr>
      <w:tr>
        <w:tc>
          <w:tcPr>
            <w:tcW w:type="dxa" w:w="4706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对应分工</w:t>
            </w:r>
          </w:p>
        </w:tc>
        <w:tc>
          <w:tcPr>
            <w:tcW w:type="dxa" w:w="4706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二、竞争品牌与区域市场。不写行业总量综述、崂山产品档案、跨品类全国化案例、渠道机制专章</w:t>
            </w:r>
          </w:p>
        </w:tc>
      </w:tr>
      <w:tr>
        <w:tc>
          <w:tcPr>
            <w:tcW w:type="dxa" w:w="4706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时间窗口</w:t>
            </w:r>
          </w:p>
        </w:tc>
        <w:tc>
          <w:tcPr>
            <w:tcW w:type="dxa" w:w="4706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2023—2025 年全年；主体为崂山品牌，不含青岛主品牌</w:t>
            </w:r>
          </w:p>
        </w:tc>
      </w:tr>
      <w:tr>
        <w:tc>
          <w:tcPr>
            <w:tcW w:type="dxa" w:w="4706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材料依据</w:t>
            </w:r>
          </w:p>
        </w:tc>
        <w:tc>
          <w:tcPr>
            <w:tcW w:type="dxa" w:w="4706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飞书研讨页；复盘@YJ 逐字稿预调研判断与 H6 竞品名单；上市公司年报与统计局产量</w:t>
            </w:r>
          </w:p>
        </w:tc>
      </w:tr>
      <w:tr>
        <w:tc>
          <w:tcPr>
            <w:tcW w:type="dxa" w:w="4706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本稿</w:t>
            </w:r>
          </w:p>
        </w:tc>
        <w:tc>
          <w:tcPr>
            <w:tcW w:type="dxa" w:w="4706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2026-10-04。会上【填】项未闭环，不以访谈空格冒充品牌方原话</w:t>
            </w:r>
          </w:p>
        </w:tc>
      </w:tr>
    </w:tbl>
    <w:p>
      <w:pPr>
        <w:spacing w:before="40" w:after="200"/>
        <w:ind w:firstLine="0"/>
      </w:pPr>
      <w:r>
        <w:rPr>
          <w:rFonts w:ascii="Calibri" w:hAnsi="Calibri" w:eastAsia="微软雅黑" w:cs="Calibri"/>
          <w:b w:val="0"/>
          <w:i/>
          <w:color w:val="767676"/>
          <w:sz w:val="17"/>
        </w:rPr>
        <w:t>表 0  文件信息。评价单元按 YJ 预调研：看品牌经营，不看青啤公司总量。</w:t>
      </w:r>
    </w:p>
    <w:p>
      <w:pPr>
        <w:spacing w:before="320" w:after="40"/>
        <w:ind w:firstLine="0"/>
      </w:pPr>
      <w:r>
        <w:rPr>
          <w:rFonts w:ascii="Calibri" w:hAnsi="Calibri" w:eastAsia="微软雅黑" w:cs="Calibri"/>
          <w:b/>
          <w:i w:val="0"/>
          <w:color w:val="1428A0"/>
          <w:sz w:val="30"/>
        </w:rPr>
        <w:t>01  竞争落在产品和桌上，不落在集团排位</w:t>
      </w:r>
    </w:p>
    <w:p>
      <w:pPr>
        <w:spacing w:before="0" w:after="160"/>
        <w:pBdr>
          <w:bottom w:val="single" w:sz="12" w:space="1" w:color="1428A0"/>
        </w:pBdr>
      </w:pP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2025 年规上啤酒产量同比下降 1.1%。同期青岛啤酒中高端以上销量增长 5.2%，燕京 U8 增长 29.31%。总量没有增量，份额在具体产品和具体终端上重分。YJ 预调研写过同一句话：竞争同时发生在企业体系和终端。对崂山，有用的不是华润、青啤谁第一，而是店里那一瓶跟谁并排、被谁换掉。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青啤公开战略是「主品牌 + 崂山全国性第二品牌」。2023—2025 年，青岛品牌销量 456 → 434 → 449 万千升，2025 年回正 3.54%；其他品牌（崂山为代表）345 → 320 → 315 万千升，三年连降。集团在修主品牌，第二品牌仍在失量。全国化如果按公司销量讲，会把青岛的回量误读成崂山的空间。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其他品牌是组合口径，不是崂山单品牌。320 万、315 万千升不得写成崂山本体。即便高估到这一量级，也只相当于燕京全公司的八成、华润的三成：量在，全国心智不在。飞书的判断成立——销量相对靠前，品牌力偏弱。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口径</w:t>
            </w:r>
          </w:p>
        </w:tc>
        <w:tc>
          <w:tcPr>
            <w:tcW w:type="dxa" w:w="1569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2023</w:t>
            </w:r>
          </w:p>
        </w:tc>
        <w:tc>
          <w:tcPr>
            <w:tcW w:type="dxa" w:w="1569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2024</w:t>
            </w:r>
          </w:p>
        </w:tc>
        <w:tc>
          <w:tcPr>
            <w:tcW w:type="dxa" w:w="1569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2024同比</w:t>
            </w:r>
          </w:p>
        </w:tc>
        <w:tc>
          <w:tcPr>
            <w:tcW w:type="dxa" w:w="1569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2025</w:t>
            </w:r>
          </w:p>
        </w:tc>
        <w:tc>
          <w:tcPr>
            <w:tcW w:type="dxa" w:w="1569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2025同比</w:t>
            </w:r>
          </w:p>
        </w:tc>
      </w:tr>
      <w:tr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规上产量（万千升）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3,555.5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3,521.3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−0.6%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3,536.0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−1.1%*</w:t>
            </w:r>
          </w:p>
        </w:tc>
      </w:tr>
      <w:tr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华润啤酒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1,115.1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1,087.4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−2.5%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1,103.0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+1.4%</w:t>
            </w:r>
          </w:p>
        </w:tc>
      </w:tr>
      <w:tr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青岛啤酒集团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800.7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753.8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−5.86%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764.8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+1.5%</w:t>
            </w:r>
          </w:p>
        </w:tc>
      </w:tr>
      <w:tr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 xml:space="preserve">　青岛品牌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456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434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−4.84%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449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+3.54%</w:t>
            </w:r>
          </w:p>
        </w:tc>
      </w:tr>
      <w:tr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 xml:space="preserve">　其他品牌（崂山为代表）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345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320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−7.20%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315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−1.36%</w:t>
            </w:r>
          </w:p>
        </w:tc>
      </w:tr>
      <w:tr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燕京啤酒（含托管）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394.24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400.44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+1.57%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405.30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+1.21%</w:t>
            </w:r>
          </w:p>
        </w:tc>
      </w:tr>
      <w:tr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 xml:space="preserve">　燕京 U8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—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69.60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+31.40%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90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+29.31%</w:t>
            </w:r>
          </w:p>
        </w:tc>
      </w:tr>
      <w:tr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重庆啤酒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约 300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297.49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−0.75%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299.52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+0.68%</w:t>
            </w:r>
          </w:p>
        </w:tc>
      </w:tr>
      <w:tr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珠江啤酒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140.28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143.96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+2.62%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146.24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+1.58%</w:t>
            </w:r>
          </w:p>
        </w:tc>
      </w:tr>
      <w:tr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百威亚太中国区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—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未披露绝对量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−11.8%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未披露绝对量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−8.6%</w:t>
            </w:r>
          </w:p>
        </w:tc>
      </w:tr>
    </w:tbl>
    <w:p>
      <w:pPr>
        <w:spacing w:before="40" w:after="200"/>
        <w:ind w:firstLine="0"/>
      </w:pPr>
      <w:r>
        <w:rPr>
          <w:rFonts w:ascii="Calibri" w:hAnsi="Calibri" w:eastAsia="微软雅黑" w:cs="Calibri"/>
          <w:b w:val="0"/>
          <w:i/>
          <w:color w:val="767676"/>
          <w:sz w:val="17"/>
        </w:rPr>
        <w:t>表 1  销量（万千升）。*2025 年统计局同比按当年公告，不与 2024 年当时公布基数连乘。企业销量 ÷ 规上产量不是官方市占。</w:t>
      </w:r>
    </w:p>
    <w:p>
      <w:pPr>
        <w:spacing w:before="320" w:after="40"/>
        <w:ind w:firstLine="0"/>
      </w:pPr>
      <w:r>
        <w:rPr>
          <w:rFonts w:ascii="Calibri" w:hAnsi="Calibri" w:eastAsia="微软雅黑" w:cs="Calibri"/>
          <w:b/>
          <w:i w:val="0"/>
          <w:color w:val="1428A0"/>
          <w:sz w:val="30"/>
        </w:rPr>
        <w:t>02  对手名单：勇闯、小麦王、燕京清爽；U8 在上一层拦截</w:t>
      </w:r>
    </w:p>
    <w:p>
      <w:pPr>
        <w:spacing w:before="0" w:after="160"/>
        <w:pBdr>
          <w:bottom w:val="single" w:sz="12" w:space="1" w:color="1428A0"/>
        </w:pBdr>
      </w:pP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课题材料写 6 元以下，分工材料写 8 元以下。YJ 的 H4 仍待品牌方拍板，会上空格未填。本稿先按两层用：历史成交落在 6 元以下；升级后要看的是 6—8 元。6 元以下是存量消耗，6—8 元才是独立大众品牌还能站住的位置。青岛经典、纯生不进对手名单——飞书写明避开青啤腹地。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YJ 预调研 H6 把真实竞品写成勇闯天涯、哈尔滨小麦王、燕京清爽。这一名单和飞书「与雪花、燕京同价位差异化」对得上。雪花要守住经济型、主力市场和大单品；2024 年中档及以上占比首次全年过半，2025 年次高档及以上接近总销量 25%，老雪 +60%。塔基它不会让，升级带它也在填。崂山出省以后，店主最省事的替换就是雪花。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燕京 2024、2025 年连续正增长。U8 从 69.60 万千升到 90 万千升，两年仍是三十来个点的增速。华北仍占燕京收入 53.40%。U8 的成交口径有 5—6 元和 8—10 元两说，不在本稿合成一个价。对崂山只需记住结构：燕京清爽抢塔基，U8 在大众升级带截流。哈尔滨小麦王把「小麦 / 口感」摆上同一条大众桌，和全麦叙事最近，也最容易把升级讲成口味游戏而不是品牌。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百威中国区 2024 年销量 −11.8%，2025 年 −8.6%，公司自己写的是现饮人流下降。飞书把崂山场景钉在火锅、烧烤、小龙虾。现饮是原点，也是 2024—2025 年掉得最快的一层。对手如果只在餐饮桌上比，崂山会把全国化做成复制一个正在变难的场景。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层</w:t>
            </w:r>
          </w:p>
        </w:tc>
        <w:tc>
          <w:tcPr>
            <w:tcW w:type="dxa" w:w="2353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价位（工作口径）</w:t>
            </w:r>
          </w:p>
        </w:tc>
        <w:tc>
          <w:tcPr>
            <w:tcW w:type="dxa" w:w="2353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对位</w:t>
            </w:r>
          </w:p>
        </w:tc>
        <w:tc>
          <w:tcPr>
            <w:tcW w:type="dxa" w:w="2353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崂山怎么用</w:t>
            </w:r>
          </w:p>
        </w:tc>
      </w:tr>
      <w:tr>
        <w:tc>
          <w:tcPr>
            <w:tcW w:type="dxa" w:w="2353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塔基</w:t>
            </w:r>
          </w:p>
        </w:tc>
        <w:tc>
          <w:tcPr>
            <w:tcW w:type="dxa" w:w="2353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约 6 元以下</w:t>
            </w:r>
          </w:p>
        </w:tc>
        <w:tc>
          <w:tcPr>
            <w:tcW w:type="dxa" w:w="2353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勇闯天涯、燕京清爽、地方经济型、哈啤入门款</w:t>
            </w:r>
          </w:p>
        </w:tc>
        <w:tc>
          <w:tcPr>
            <w:tcW w:type="dxa" w:w="2353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历史基本盘。费用最烈，盘在缩</w:t>
            </w:r>
          </w:p>
        </w:tc>
      </w:tr>
      <w:tr>
        <w:tc>
          <w:tcPr>
            <w:tcW w:type="dxa" w:w="2353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大众升级</w:t>
            </w:r>
          </w:p>
        </w:tc>
        <w:tc>
          <w:tcPr>
            <w:tcW w:type="dxa" w:w="2353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约 6—8 元</w:t>
            </w:r>
          </w:p>
        </w:tc>
        <w:tc>
          <w:tcPr>
            <w:tcW w:type="dxa" w:w="2353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老雪向下、U8、哈尔滨小麦王</w:t>
            </w:r>
          </w:p>
        </w:tc>
        <w:tc>
          <w:tcPr>
            <w:tcW w:type="dxa" w:w="2353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独立品牌要去的位置。全麦必须在这里被选中</w:t>
            </w:r>
          </w:p>
        </w:tc>
      </w:tr>
      <w:tr>
        <w:tc>
          <w:tcPr>
            <w:tcW w:type="dxa" w:w="2353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不进入</w:t>
            </w:r>
          </w:p>
        </w:tc>
        <w:tc>
          <w:tcPr>
            <w:tcW w:type="dxa" w:w="2353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经典 / 纯生及中高端以上</w:t>
            </w:r>
          </w:p>
        </w:tc>
        <w:tc>
          <w:tcPr>
            <w:tcW w:type="dxa" w:w="2353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青岛主品牌、喜力、百威核心</w:t>
            </w:r>
          </w:p>
        </w:tc>
        <w:tc>
          <w:tcPr>
            <w:tcW w:type="dxa" w:w="2353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红线。做成小青岛即失败</w:t>
            </w:r>
          </w:p>
        </w:tc>
      </w:tr>
    </w:tbl>
    <w:p>
      <w:pPr>
        <w:spacing w:before="40" w:after="200"/>
        <w:ind w:firstLine="0"/>
      </w:pPr>
      <w:r>
        <w:rPr>
          <w:rFonts w:ascii="Calibri" w:hAnsi="Calibri" w:eastAsia="微软雅黑" w:cs="Calibri"/>
          <w:b w:val="0"/>
          <w:i/>
          <w:color w:val="767676"/>
          <w:sz w:val="17"/>
        </w:rPr>
        <w:t>表 2  同价位分层。价位待终端核价与品牌方确认 H4，不作官方零售价。</w:t>
      </w:r>
    </w:p>
    <w:p>
      <w:pPr>
        <w:spacing w:before="320" w:after="40"/>
        <w:ind w:firstLine="0"/>
      </w:pPr>
      <w:r>
        <w:rPr>
          <w:rFonts w:ascii="Calibri" w:hAnsi="Calibri" w:eastAsia="微软雅黑" w:cs="Calibri"/>
          <w:b/>
          <w:i w:val="0"/>
          <w:color w:val="1428A0"/>
          <w:sz w:val="30"/>
        </w:rPr>
        <w:t>03  区域：量在北方分部，墙在南方桌上</w:t>
      </w:r>
    </w:p>
    <w:p>
      <w:pPr>
        <w:spacing w:before="0" w:after="160"/>
        <w:pBdr>
          <w:bottom w:val="single" w:sz="12" w:space="1" w:color="1428A0"/>
        </w:pBdr>
      </w:pP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飞书点名核心市场是山东、河北。青啤 2024 年山东分部收入 220.95 亿元，同比 −3.38%；2025 年 223.24 亿元，+1.04%。山东分部销量占集团 70.68%（2024）、70.60%（2025），华北占 26.59%、26.62%。两分部相加约 97%。这是销售组织记账，不是消费地占 97%。山东工厂完全可能把销往外省的酒记在自己账上。能确定的只有一句：基本盘和队伍在北方，南方不是换个商标就能接上的市场。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2024 年华南收入 −6.75%，华东 −9.91%，东南 −24.14%。2025 年华南、华东转正，体量仍小。广东 2024 年规上产量 474.72 万千升，超过山东 463.4 万千升，已经是第一生产大省。珠江 2025 年华南收入占 95.66%，且仍在正增长。南下面对的是珠江、雪花、嘉士伯已经站好的桌，不是空出来的中低端。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山东也不是后花园。行业访谈把青啤在鲁份额放到 70%—80%，华润约 20%。更早的渠道材料写过，雪花用清爽、勇闯和部分罐装切的就是 6 元及以下，青啤回击时用过精品崂山和经典。数字是访谈口径，机制是实的：勇闯已经在根据地打过同价位。河北 2024 年啤酒产量下降 3.98%；华润雪花河北、河北燕京、青啤石家庄、蓝贝四家合计拿走全省规上啤酒营收的 50.98%。河北是四强绞杀，也是 U8 除北京、内蒙外的优势区。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分部</w:t>
            </w:r>
          </w:p>
        </w:tc>
        <w:tc>
          <w:tcPr>
            <w:tcW w:type="dxa" w:w="1882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2024 收入（千元）</w:t>
            </w:r>
          </w:p>
        </w:tc>
        <w:tc>
          <w:tcPr>
            <w:tcW w:type="dxa" w:w="1882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2024 同比</w:t>
            </w:r>
          </w:p>
        </w:tc>
        <w:tc>
          <w:tcPr>
            <w:tcW w:type="dxa" w:w="1882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2025 收入（千元）</w:t>
            </w:r>
          </w:p>
        </w:tc>
        <w:tc>
          <w:tcPr>
            <w:tcW w:type="dxa" w:w="1882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2025 同比</w:t>
            </w:r>
          </w:p>
        </w:tc>
      </w:tr>
      <w:tr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山东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22,094,714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−3.38%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22,324,392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+1.04%</w:t>
            </w:r>
          </w:p>
        </w:tc>
      </w:tr>
      <w:tr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华北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7,802,889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−2.24%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7,863,769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+0.78%</w:t>
            </w:r>
          </w:p>
        </w:tc>
      </w:tr>
      <w:tr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华南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3,377,276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−6.75%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3,416,961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+1.18%</w:t>
            </w:r>
          </w:p>
        </w:tc>
      </w:tr>
      <w:tr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华东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2,496,807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−9.91%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2,592,029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+3.81%</w:t>
            </w:r>
          </w:p>
        </w:tc>
      </w:tr>
      <w:tr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东南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673,845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−24.14%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见年报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见年报</w:t>
            </w:r>
          </w:p>
        </w:tc>
      </w:tr>
      <w:tr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港澳及海外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543,428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−24.23%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见年报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见年报</w:t>
            </w:r>
          </w:p>
        </w:tc>
      </w:tr>
    </w:tbl>
    <w:p>
      <w:pPr>
        <w:spacing w:before="40" w:after="200"/>
        <w:ind w:firstLine="0"/>
      </w:pPr>
      <w:r>
        <w:rPr>
          <w:rFonts w:ascii="Calibri" w:hAnsi="Calibri" w:eastAsia="微软雅黑" w:cs="Calibri"/>
          <w:b w:val="0"/>
          <w:i/>
          <w:color w:val="767676"/>
          <w:sz w:val="17"/>
        </w:rPr>
        <w:t>表 3  青啤分部收入，含分部间交易。南部分部销量不拿二手数填。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</w:r>
          </w:p>
        </w:tc>
        <w:tc>
          <w:tcPr>
            <w:tcW w:type="dxa" w:w="3137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北方（鲁 / 冀及沿黄）</w:t>
            </w:r>
          </w:p>
        </w:tc>
        <w:tc>
          <w:tcPr>
            <w:tcW w:type="dxa" w:w="3137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南方（粤及泛华南）</w:t>
            </w:r>
          </w:p>
        </w:tc>
      </w:tr>
      <w:tr>
        <w:tc>
          <w:tcPr>
            <w:tcW w:type="dxa" w:w="3137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已有厚度</w:t>
            </w:r>
          </w:p>
        </w:tc>
        <w:tc>
          <w:tcPr>
            <w:tcW w:type="dxa" w:w="3137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飞书点名核心；北方分部记账占集团销量约七成加两成</w:t>
            </w:r>
          </w:p>
        </w:tc>
        <w:tc>
          <w:tcPr>
            <w:tcW w:type="dxa" w:w="3137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收入薄，2024 年掉得快</w:t>
            </w:r>
          </w:p>
        </w:tc>
      </w:tr>
      <w:tr>
        <w:tc>
          <w:tcPr>
            <w:tcW w:type="dxa" w:w="3137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桌上对手</w:t>
            </w:r>
          </w:p>
        </w:tc>
        <w:tc>
          <w:tcPr>
            <w:tcW w:type="dxa" w:w="3137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勇闯、U8、燕京清爽、地方鲜啤</w:t>
            </w:r>
          </w:p>
        </w:tc>
        <w:tc>
          <w:tcPr>
            <w:tcW w:type="dxa" w:w="3137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珠江 + 雪花 + 嘉士伯</w:t>
            </w:r>
          </w:p>
        </w:tc>
      </w:tr>
      <w:tr>
        <w:tc>
          <w:tcPr>
            <w:tcW w:type="dxa" w:w="3137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场景</w:t>
            </w:r>
          </w:p>
        </w:tc>
        <w:tc>
          <w:tcPr>
            <w:tcW w:type="dxa" w:w="3137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火锅烧烤夜宵，和飞书一致</w:t>
            </w:r>
          </w:p>
        </w:tc>
        <w:tc>
          <w:tcPr>
            <w:tcW w:type="dxa" w:w="3137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餐饮更碎，地域心智更强</w:t>
            </w:r>
          </w:p>
        </w:tc>
      </w:tr>
      <w:tr>
        <w:tc>
          <w:tcPr>
            <w:tcW w:type="dxa" w:w="3137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对崂山</w:t>
            </w:r>
          </w:p>
        </w:tc>
        <w:tc>
          <w:tcPr>
            <w:tcW w:type="dxa" w:w="3137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先守桌，再换产品语言</w:t>
            </w:r>
          </w:p>
        </w:tc>
        <w:tc>
          <w:tcPr>
            <w:tcW w:type="dxa" w:w="3137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单城进入，不铺全省</w:t>
            </w:r>
          </w:p>
        </w:tc>
      </w:tr>
    </w:tbl>
    <w:p>
      <w:pPr>
        <w:spacing w:before="40" w:after="200"/>
        <w:ind w:firstLine="0"/>
      </w:pPr>
      <w:r>
        <w:rPr>
          <w:rFonts w:ascii="Calibri" w:hAnsi="Calibri" w:eastAsia="微软雅黑" w:cs="Calibri"/>
          <w:b w:val="0"/>
          <w:i/>
          <w:color w:val="767676"/>
          <w:sz w:val="17"/>
        </w:rPr>
        <w:t>表 4  南北只要这一张。渠道深挖、案例对照不在本组。</w:t>
      </w:r>
    </w:p>
    <w:p>
      <w:pPr>
        <w:spacing w:before="320" w:after="40"/>
        <w:ind w:firstLine="0"/>
      </w:pPr>
      <w:r>
        <w:rPr>
          <w:rFonts w:ascii="Calibri" w:hAnsi="Calibri" w:eastAsia="微软雅黑" w:cs="Calibri"/>
          <w:b/>
          <w:i w:val="0"/>
          <w:color w:val="1428A0"/>
          <w:sz w:val="30"/>
        </w:rPr>
        <w:t>04  判断</w:t>
      </w:r>
    </w:p>
    <w:p>
      <w:pPr>
        <w:spacing w:before="0" w:after="160"/>
        <w:pBdr>
          <w:bottom w:val="single" w:sz="12" w:space="1" w:color="1428A0"/>
        </w:pBdr>
      </w:pP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崂山要赢的不是五强排位，是 6—8 元那一桌有没有独立理由被点。假想敌按这个顺序：雪花第一，燕京第二——清爽在下面、U8 在上面。青岛主品牌是红线。哈尔滨小麦王是全麦叙事最近的干扰项，终端核价后决定是否升格为主对手。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第二品牌三年失量，全国化是止衰，不是锦上添花。吨酒收入按其他品牌粗算约 2,970—3,000 元 / 千升，大约是青岛品牌的六成。继续当便宜青岛，资源会被主品牌吸走；做成独立大众品牌，失量才有机会变成再配置。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南方中低端并不空。空的是「有品质感、不是青岛、还进得了大众预算」。样板先定门槛：有现成经销商、场景和北方同源、勇闯或 U8 费用还没顶格、不和经典抢同一张中档桌、能铺到邻城。按这个看，先做鲁西或冀中的升级保卫，再进一座南方夜宵城。不做广东全省，也不做全国铺开。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现饮可以做原点，不能做唯一引擎。百威中国连续两年双位数下滑，写的就是现饮。样板城同时看餐饮桌数、零售排面、即时零售有没有出单。铺货家数不算阶段成果。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9412"/>
      </w:tblGrid>
      <w:tr>
        <w:tc>
          <w:tcPr>
            <w:tcW w:type="dxa" w:w="9412"/>
            <w:shd w:fill="F4F6FB" w:val="clear"/>
            <w:tcMar>
              <w:top w:w="90" w:type="dxa"/>
              <w:left w:w="130" w:type="dxa"/>
              <w:bottom w:w="90" w:type="dxa"/>
              <w:right w:w="130" w:type="dxa"/>
            </w:tcMar>
            <w:tcBorders>
              <w:top w:val="nil" w:sz="0" w:color="FFFFFF"/>
              <w:left w:val="single" w:sz="24" w:color="1428A0"/>
              <w:bottom w:val="nil" w:sz="0" w:color="FFFFFF"/>
              <w:right w:val="nil" w:sz="0" w:color="FFFFFF"/>
            </w:tcBorders>
          </w:tcPr>
          <w:p>
            <w:pPr>
              <w:spacing w:after="80"/>
              <w:ind w:firstLine="0"/>
            </w:pPr>
            <w:r>
              <w:rPr>
                <w:rFonts w:ascii="Calibri" w:hAnsi="Calibri" w:eastAsia="微软雅黑" w:cs="Calibri"/>
                <w:b/>
                <w:i w:val="0"/>
                <w:color w:val="1428A0"/>
                <w:sz w:val="21"/>
              </w:rPr>
              <w:t>给 10.13 的三句</w:t>
            </w:r>
          </w:p>
          <w:p>
            <w:pPr>
              <w:spacing w:after="0" w:line="300" w:lineRule="auto"/>
              <w:ind w:firstLine="0"/>
              <w:jc w:val="both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21"/>
              </w:rPr>
              <w:t>对手是勇闯、小麦王、燕京清爽，上一层还有 U8；不是青岛经典。战场先在鲁冀守住，再进一座南方夜宵城。价位看 6—8 元，6 元以下只守不扩。</w:t>
            </w:r>
          </w:p>
        </w:tc>
      </w:tr>
    </w:tbl>
    <w:p>
      <w:pPr>
        <w:spacing w:after="120"/>
      </w:pPr>
    </w:p>
    <w:p>
      <w:pPr>
        <w:spacing w:before="320" w:after="40"/>
        <w:ind w:firstLine="0"/>
      </w:pPr>
      <w:r>
        <w:rPr>
          <w:rFonts w:ascii="Calibri" w:hAnsi="Calibri" w:eastAsia="微软雅黑" w:cs="Calibri"/>
          <w:b/>
          <w:i w:val="0"/>
          <w:color w:val="1428A0"/>
          <w:sz w:val="30"/>
        </w:rPr>
        <w:t>05  本组还缺的数</w:t>
      </w:r>
    </w:p>
    <w:p>
      <w:pPr>
        <w:spacing w:before="0" w:after="160"/>
        <w:pBdr>
          <w:bottom w:val="single" w:sz="12" w:space="1" w:color="1428A0"/>
        </w:pBdr>
      </w:pP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升级规格、购买理由、渠道利润模型、乌苏 / 大窑 / 天地壹号对照，分别归产品组和案例组。本组只追下面这些。</w:t>
      </w:r>
    </w:p>
    <w:p>
      <w:pPr>
        <w:spacing w:after="80" w:line="300" w:lineRule="auto"/>
        <w:ind w:left="351" w:hanging="170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H4：品牌方确认成交口径以 6 元还是 8 元为准。</w:t>
      </w:r>
    </w:p>
    <w:p>
      <w:pPr>
        <w:spacing w:after="80" w:line="300" w:lineRule="auto"/>
        <w:ind w:left="351" w:hanging="170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H6：勇闯、小麦王、燕京清爽、U8 在鲁 / 冀 / 候选样板城的建议零售价、常态价、促销价。</w:t>
      </w:r>
    </w:p>
    <w:p>
      <w:pPr>
        <w:spacing w:after="80" w:line="300" w:lineRule="auto"/>
        <w:ind w:left="351" w:hanging="170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崂山分省或鲁 / 冀 / 其他的销量、占比、同比。公开年报给不出单品牌。</w:t>
      </w:r>
    </w:p>
    <w:p>
      <w:pPr>
        <w:spacing w:after="80" w:line="300" w:lineRule="auto"/>
        <w:ind w:left="351" w:hanging="170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餐饮、传统零售、即时零售的销量结构。没有结构，现饮判断只能停在行业层。</w:t>
      </w:r>
    </w:p>
    <w:p>
      <w:pPr>
        <w:spacing w:before="320" w:after="40"/>
        <w:ind w:firstLine="0"/>
      </w:pPr>
      <w:r>
        <w:rPr>
          <w:rFonts w:ascii="Calibri" w:hAnsi="Calibri" w:eastAsia="微软雅黑" w:cs="Calibri"/>
          <w:b/>
          <w:i w:val="0"/>
          <w:color w:val="1428A0"/>
          <w:sz w:val="30"/>
        </w:rPr>
        <w:t>06  来源</w:t>
      </w:r>
    </w:p>
    <w:p>
      <w:pPr>
        <w:spacing w:before="0" w:after="160"/>
        <w:pBdr>
          <w:bottom w:val="single" w:sz="12" w:space="1" w:color="1428A0"/>
        </w:pBdr>
      </w:pPr>
    </w:p>
    <w:p>
      <w:pPr>
        <w:spacing w:before="0" w:after="6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 w:val="0"/>
          <w:color w:val="767676"/>
          <w:sz w:val="19"/>
        </w:rPr>
        <w:t>复盘@YJ 逐字稿：P02 四条预研判断；H4 价格带；H6 竞品名单；Q7–Q10 对应本组。</w:t>
      </w:r>
    </w:p>
    <w:p>
      <w:pPr>
        <w:spacing w:before="0" w:after="6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 w:val="0"/>
          <w:color w:val="767676"/>
          <w:sz w:val="19"/>
        </w:rPr>
        <w:t>飞书研讨页：避开青啤腹地；核心市场鲁冀；场景火锅烧烤小龙虾；样板先行。</w:t>
      </w:r>
    </w:p>
    <w:p>
      <w:pPr>
        <w:spacing w:before="0" w:after="6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 w:val="0"/>
          <w:color w:val="767676"/>
          <w:sz w:val="19"/>
        </w:rPr>
        <w:t>青岛啤酒 2023 / 2024 / 2025 年报：集团与分品牌销量、分部收入。</w:t>
      </w:r>
    </w:p>
    <w:p>
      <w:pPr>
        <w:spacing w:before="0" w:after="6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 w:val="0"/>
          <w:color w:val="767676"/>
          <w:sz w:val="19"/>
        </w:rPr>
        <w:t>华润啤酒 2023 / 2024 / 2025 全年业绩；燕京年报及 2025 业绩快报；重啤、珠江年报；百威亚太年报。</w:t>
      </w:r>
    </w:p>
    <w:p>
      <w:pPr>
        <w:spacing w:before="0" w:after="6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 w:val="0"/>
          <w:color w:val="767676"/>
          <w:sz w:val="19"/>
        </w:rPr>
        <w:t>国家统计局规上产量（各年年报转引）。河北轻工行业协会 2024。粤鲁产量易位公开报道。</w:t>
      </w:r>
    </w:p>
    <w:p>
      <w:pPr>
        <w:spacing w:before="0" w:after="6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 w:val="0"/>
          <w:color w:val="767676"/>
          <w:sz w:val="19"/>
        </w:rPr>
        <w:t>云酒头条 2024-04、国金证券 2023-08 渠道材料：山东份额，仅作机制，不作官方市占。界面新闻：U8 成交两说并存。</w:t>
      </w:r>
    </w:p>
    <w:p>
      <w:pPr>
        <w:spacing w:before="120" w:after="14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 w:val="0"/>
          <w:color w:val="767676"/>
          <w:sz w:val="18"/>
        </w:rPr>
        <w:t>关键复核：华润 24/23 = −2.48%（公告 −2.5%）；青啤 24/23 = −5.86%；25/24 = +1.46%（公告 +1.5%）；其他品牌 345→320→315；燕京 24/23 = +1.57%；U8 25/24 = +29.31%；山东分部销量 / 集团销量 = 70.68%。320 万千升未写作崂山单品牌。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