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sz w:val="48"/>
          <w:szCs w:val="48"/>
        </w:rPr>
        <w:t xml:space="preserve"/>
      </w:r>
    </w:p>
    <w:p>
      <w:pPr>
        <w:spacing w:after="60"/>
        <w:jc w:val="center"/>
      </w:pPr>
      <w:r>
        <w:rPr>
          <w:rFonts w:ascii="Georgia" w:cs="Georgia" w:eastAsia="Georgia" w:hAnsi="Georgia"/>
          <w:b/>
          <w:bCs/>
          <w:color w:val="1A2E1A"/>
          <w:sz w:val="52"/>
          <w:szCs w:val="52"/>
        </w:rPr>
        <w:t xml:space="preserve">AGRICULTURAL INTELLIGENCE</w:t>
      </w:r>
    </w:p>
    <w:p>
      <w:pPr>
        <w:spacing w:after="120"/>
        <w:jc w:val="center"/>
      </w:pPr>
      <w:r>
        <w:rPr>
          <w:rFonts w:ascii="Georgia" w:cs="Georgia" w:eastAsia="Georgia" w:hAnsi="Georgia"/>
          <w:i/>
          <w:iCs/>
          <w:color w:val="2D7A3A"/>
          <w:sz w:val="34"/>
          <w:szCs w:val="34"/>
        </w:rPr>
        <w:t xml:space="preserve">Data Analytics &amp; BI Portfolio Project</w:t>
      </w:r>
    </w:p>
    <w:p>
      <w:pPr>
        <w:spacing w:after="200"/>
        <w:jc w:val="center"/>
      </w:pPr>
      <w:r>
        <w:rPr>
          <w:color w:val="4CAF7D"/>
          <w:sz w:val="24"/>
          <w:szCs w:val="24"/>
        </w:rPr>
        <w:t xml:space="preserve">━━━━━━━━━━━━━━━━━━━━━━━━━━━━━━━━━━━━</w:t>
      </w:r>
    </w:p>
    <w:p>
      <w:pPr>
        <w:spacing w:after="60"/>
        <w:jc w:val="center"/>
      </w:pPr>
      <w:r>
        <w:rPr>
          <w:rFonts w:ascii="Calibri" w:cs="Calibri" w:eastAsia="Calibri" w:hAnsi="Calibri"/>
          <w:color w:val="888888"/>
          <w:sz w:val="22"/>
          <w:szCs w:val="22"/>
        </w:rPr>
        <w:t xml:space="preserve">Submitted for:</w:t>
      </w:r>
    </w:p>
    <w:p>
      <w:pPr>
        <w:spacing w:after="60"/>
        <w:jc w:val="center"/>
      </w:pPr>
      <w:r>
        <w:rPr>
          <w:rFonts w:ascii="Calibri" w:cs="Calibri" w:eastAsia="Calibri" w:hAnsi="Calibri"/>
          <w:b/>
          <w:bCs/>
          <w:color w:val="1A2E1A"/>
          <w:sz w:val="26"/>
          <w:szCs w:val="26"/>
        </w:rPr>
        <w:t xml:space="preserve">Data / Business Intelligence Analyst &amp; Agricultural Planner</w:t>
      </w:r>
    </w:p>
    <w:p>
      <w:pPr>
        <w:spacing w:after="500"/>
        <w:jc w:val="center"/>
      </w:pPr>
      <w:r>
        <w:rPr>
          <w:rFonts w:ascii="Calibri" w:cs="Calibri" w:eastAsia="Calibri" w:hAnsi="Calibri"/>
          <w:color w:val="2D7A3A"/>
          <w:sz w:val="24"/>
          <w:szCs w:val="24"/>
        </w:rPr>
        <w:t xml:space="preserve">Workforce Group — Nigeria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0F7F2" w:val="clear"/>
            <w:tcMar>
              <w:top w:type="dxa" w:w="100"/>
              <w:left w:type="dxa" w:w="160"/>
              <w:bottom w:type="dxa" w:w="100"/>
              <w:right w:type="dxa" w:w="160"/>
            </w:tcMar>
          </w:tcPr>
          <w:p>
            <w:r>
              <w:rPr>
                <w:rFonts w:ascii="Calibri" w:cs="Calibri" w:eastAsia="Calibri" w:hAnsi="Calibri"/>
                <w:color w:val="888888"/>
                <w:sz w:val="18"/>
                <w:szCs w:val="18"/>
              </w:rPr>
              <w:t xml:space="preserve">PROJECT TYPE</w:t>
            </w:r>
          </w:p>
          <w:p>
            <w:r>
              <w:rPr>
                <w:rFonts w:ascii="Calibri" w:cs="Calibri" w:eastAsia="Calibri" w:hAnsi="Calibri"/>
                <w:b/>
                <w:bCs/>
                <w:color w:val="1A2E1A"/>
                <w:sz w:val="20"/>
                <w:szCs w:val="20"/>
              </w:rPr>
              <w:t xml:space="preserve">Technical Portfolio Work Sample</w:t>
            </w:r>
          </w:p>
        </w:tc>
        <w:tc>
          <w:tcPr>
            <w:tcW w:type="dxa" w:w="3600"/>
            <w:tcBorders>
              <w:top w:val="single" w:color="CCCCCC" w:sz="1"/>
              <w:left w:val="single" w:color="CCCCCC" w:sz="1"/>
              <w:bottom w:val="single" w:color="CCCCCC" w:sz="1"/>
              <w:right w:val="single" w:color="CCCCCC" w:sz="1"/>
            </w:tcBorders>
            <w:shd w:fill="F0F7F2" w:val="clear"/>
            <w:tcMar>
              <w:top w:type="dxa" w:w="100"/>
              <w:left w:type="dxa" w:w="160"/>
              <w:bottom w:type="dxa" w:w="100"/>
              <w:right w:type="dxa" w:w="160"/>
            </w:tcMar>
          </w:tcPr>
          <w:p>
            <w:r>
              <w:rPr>
                <w:rFonts w:ascii="Calibri" w:cs="Calibri" w:eastAsia="Calibri" w:hAnsi="Calibri"/>
                <w:color w:val="888888"/>
                <w:sz w:val="18"/>
                <w:szCs w:val="18"/>
              </w:rPr>
              <w:t xml:space="preserve">DATE</w:t>
            </w:r>
          </w:p>
          <w:p>
            <w:r>
              <w:rPr>
                <w:rFonts w:ascii="Calibri" w:cs="Calibri" w:eastAsia="Calibri" w:hAnsi="Calibri"/>
                <w:b/>
                <w:bCs/>
                <w:color w:val="1A2E1A"/>
                <w:sz w:val="20"/>
                <w:szCs w:val="20"/>
              </w:rPr>
              <w:t xml:space="preserve">Q1 2025</w:t>
            </w:r>
          </w:p>
        </w:tc>
      </w:tr>
      <w:tr>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color w:val="888888"/>
                <w:sz w:val="18"/>
                <w:szCs w:val="18"/>
              </w:rPr>
              <w:t xml:space="preserve">TOOLS USED</w:t>
            </w:r>
          </w:p>
          <w:p>
            <w:r>
              <w:rPr>
                <w:rFonts w:ascii="Calibri" w:cs="Calibri" w:eastAsia="Calibri" w:hAnsi="Calibri"/>
                <w:b/>
                <w:bCs/>
                <w:color w:val="1A2E1A"/>
                <w:sz w:val="20"/>
                <w:szCs w:val="20"/>
              </w:rPr>
              <w:t xml:space="preserve">Python · SQL · Power BI · Excel</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color w:val="888888"/>
                <w:sz w:val="18"/>
                <w:szCs w:val="18"/>
              </w:rPr>
              <w:t xml:space="preserve">SCOPE</w:t>
            </w:r>
          </w:p>
          <w:p>
            <w:r>
              <w:rPr>
                <w:rFonts w:ascii="Calibri" w:cs="Calibri" w:eastAsia="Calibri" w:hAnsi="Calibri"/>
                <w:b/>
                <w:bCs/>
                <w:color w:val="1A2E1A"/>
                <w:sz w:val="20"/>
                <w:szCs w:val="20"/>
              </w:rPr>
              <w:t xml:space="preserve">4 Subsidiaries · 3 Crops · 24 Months</w:t>
            </w:r>
          </w:p>
        </w:tc>
      </w:tr>
    </w:tbl>
    <w:p>
      <w:pPr>
        <w:spacing w:after="400"/>
      </w:pPr>
      <w:r>
        <w:rPr>
          <w:sz w:val="24"/>
          <w:szCs w:val="24"/>
        </w:rPr>
        <w:t xml:space="preserve"/>
      </w:r>
    </w:p>
    <w:p>
      <w:r>
        <w:br w:type="page"/>
      </w:r>
    </w:p>
    <w:p>
      <w:pPr>
        <w:pStyle w:val="Heading1"/>
        <w:pBdr>
          <w:bottom w:val="single" w:color="4CAF7D" w:sz="8" w:space="4"/>
        </w:pBdr>
        <w:spacing w:after="160" w:before="340"/>
      </w:pPr>
      <w:r>
        <w:rPr>
          <w:rFonts w:ascii="Georgia" w:cs="Georgia" w:eastAsia="Georgia" w:hAnsi="Georgia"/>
          <w:b/>
          <w:bCs/>
          <w:color w:val="1A2E1A"/>
          <w:sz w:val="32"/>
          <w:szCs w:val="32"/>
        </w:rPr>
        <w:t xml:space="preserve">1. Executive Summary</w:t>
      </w:r>
    </w:p>
    <w:p>
      <w:pPr>
        <w:spacing w:after="120"/>
        <w:jc w:val="both"/>
      </w:pPr>
      <w:r>
        <w:rPr>
          <w:rFonts w:ascii="Calibri" w:cs="Calibri" w:eastAsia="Calibri" w:hAnsi="Calibri"/>
          <w:color w:val="2C2C2C"/>
          <w:sz w:val="22"/>
          <w:szCs w:val="22"/>
        </w:rPr>
        <w:t xml:space="preserve">This portfolio project presents a comprehensive agricultural data analytics and business intelligence solution designed for a multi-subsidiary farm operation in Nigeria. The work demonstrates end-to-end proficiency across the full data value chain — from raw data pipeline design and governance, through statistical modelling and forecasting, to interactive dashboarding and actionable insights for operational and strategic decision-making.</w:t>
      </w:r>
    </w:p>
    <w:p>
      <w:pPr>
        <w:spacing w:after="120"/>
        <w:jc w:val="both"/>
      </w:pPr>
      <w:r>
        <w:rPr>
          <w:rFonts w:ascii="Calibri" w:cs="Calibri" w:eastAsia="Calibri" w:hAnsi="Calibri"/>
          <w:color w:val="2C2C2C"/>
          <w:sz w:val="22"/>
          <w:szCs w:val="22"/>
        </w:rPr>
        <w:t xml:space="preserve">The project covers oil palm, maize, and cassava operations across four subsidiaries in Delta, Cross River, Ogun, and Ondo States, analysing 24 months of historical yield, input utilisation, and weather data.</w:t>
      </w:r>
    </w:p>
    <w:p>
      <w:pPr>
        <w:spacing w:after="60"/>
      </w:pPr>
      <w:r>
        <w:rPr>
          <w:sz w:val="10"/>
          <w:szCs w:val="10"/>
        </w:rPr>
        <w:t xml:space="preserve"/>
      </w:r>
    </w:p>
    <w:p>
      <w:pPr>
        <w:pStyle w:val="Heading2"/>
        <w:spacing w:after="100" w:before="240"/>
      </w:pPr>
      <w:r>
        <w:rPr>
          <w:rFonts w:ascii="Calibri" w:cs="Calibri" w:eastAsia="Calibri" w:hAnsi="Calibri"/>
          <w:b/>
          <w:bCs/>
          <w:color w:val="2D7A3A"/>
          <w:sz w:val="26"/>
          <w:szCs w:val="26"/>
        </w:rPr>
        <w:t xml:space="preserve">Key Outcomes Delivered</w:t>
      </w:r>
    </w:p>
    <w:p>
      <w:pPr>
        <w:pStyle w:val="ListParagraph"/>
        <w:numPr>
          <w:ilvl w:val="0"/>
          <w:numId w:val="2"/>
        </w:numPr>
        <w:spacing w:after="80"/>
      </w:pPr>
      <w:r>
        <w:rPr>
          <w:rFonts w:ascii="Calibri" w:cs="Calibri" w:eastAsia="Calibri" w:hAnsi="Calibri"/>
          <w:b w:val="false"/>
          <w:bCs w:val="false"/>
          <w:color w:val="333333"/>
          <w:sz w:val="21"/>
          <w:szCs w:val="21"/>
        </w:rPr>
        <w:t xml:space="preserve">Consolidated KPI dashboard covering daily, weekly, and monthly reporting cycles</w:t>
      </w:r>
    </w:p>
    <w:p>
      <w:pPr>
        <w:pStyle w:val="ListParagraph"/>
        <w:numPr>
          <w:ilvl w:val="0"/>
          <w:numId w:val="2"/>
        </w:numPr>
        <w:spacing w:after="80"/>
      </w:pPr>
      <w:r>
        <w:rPr>
          <w:rFonts w:ascii="Calibri" w:cs="Calibri" w:eastAsia="Calibri" w:hAnsi="Calibri"/>
          <w:b w:val="false"/>
          <w:bCs w:val="false"/>
          <w:color w:val="333333"/>
          <w:sz w:val="21"/>
          <w:szCs w:val="21"/>
        </w:rPr>
        <w:t xml:space="preserve">Regression model achieving R² = 0.943 for yield prediction from agronomic inputs</w:t>
      </w:r>
    </w:p>
    <w:p>
      <w:pPr>
        <w:pStyle w:val="ListParagraph"/>
        <w:numPr>
          <w:ilvl w:val="0"/>
          <w:numId w:val="2"/>
        </w:numPr>
        <w:spacing w:after="80"/>
      </w:pPr>
      <w:r>
        <w:rPr>
          <w:rFonts w:ascii="Calibri" w:cs="Calibri" w:eastAsia="Calibri" w:hAnsi="Calibri"/>
          <w:b w:val="false"/>
          <w:bCs w:val="false"/>
          <w:color w:val="333333"/>
          <w:sz w:val="21"/>
          <w:szCs w:val="21"/>
        </w:rPr>
        <w:t xml:space="preserve">ARIMA-based 6-month yield forecast with 95% confidence intervals for each subsidiary</w:t>
      </w:r>
    </w:p>
    <w:p>
      <w:pPr>
        <w:pStyle w:val="ListParagraph"/>
        <w:numPr>
          <w:ilvl w:val="0"/>
          <w:numId w:val="2"/>
        </w:numPr>
        <w:spacing w:after="80"/>
      </w:pPr>
      <w:r>
        <w:rPr>
          <w:rFonts w:ascii="Calibri" w:cs="Calibri" w:eastAsia="Calibri" w:hAnsi="Calibri"/>
          <w:b w:val="false"/>
          <w:bCs w:val="false"/>
          <w:color w:val="333333"/>
          <w:sz w:val="21"/>
          <w:szCs w:val="21"/>
        </w:rPr>
        <w:t xml:space="preserve">SQL data warehouse schema with automated governance procedures and data quality auditing</w:t>
      </w:r>
    </w:p>
    <w:p>
      <w:pPr>
        <w:pStyle w:val="ListParagraph"/>
        <w:numPr>
          <w:ilvl w:val="0"/>
          <w:numId w:val="2"/>
        </w:numPr>
        <w:spacing w:after="80"/>
      </w:pPr>
      <w:r>
        <w:rPr>
          <w:rFonts w:ascii="Calibri" w:cs="Calibri" w:eastAsia="Calibri" w:hAnsi="Calibri"/>
          <w:b w:val="false"/>
          <w:bCs w:val="false"/>
          <w:color w:val="333333"/>
          <w:sz w:val="21"/>
          <w:szCs w:val="21"/>
        </w:rPr>
        <w:t xml:space="preserve">Identified fertiliser shortfall as the primary driver of underperformance in 2 of 4 farms</w:t>
      </w:r>
    </w:p>
    <w:p>
      <w:pPr>
        <w:pStyle w:val="ListParagraph"/>
        <w:numPr>
          <w:ilvl w:val="0"/>
          <w:numId w:val="2"/>
        </w:numPr>
        <w:spacing w:after="80"/>
      </w:pPr>
      <w:r>
        <w:rPr>
          <w:rFonts w:ascii="Calibri" w:cs="Calibri" w:eastAsia="Calibri" w:hAnsi="Calibri"/>
          <w:b w:val="false"/>
          <w:bCs w:val="false"/>
          <w:color w:val="333333"/>
          <w:sz w:val="21"/>
          <w:szCs w:val="21"/>
        </w:rPr>
        <w:t xml:space="preserve">Actionable input planning recommendations projected to recover 8-12% of missed yield targets</w:t>
      </w:r>
    </w:p>
    <w:p>
      <w:pPr>
        <w:spacing w:after="60"/>
      </w:pPr>
      <w:r>
        <w:rPr>
          <w:sz w:val="10"/>
          <w:szCs w:val="10"/>
        </w:rPr>
        <w:t xml:space="preserve"/>
      </w:r>
    </w:p>
    <w:p>
      <w:pPr>
        <w:pStyle w:val="Heading1"/>
        <w:pBdr>
          <w:bottom w:val="single" w:color="4CAF7D" w:sz="8" w:space="4"/>
        </w:pBdr>
        <w:spacing w:after="160" w:before="340"/>
      </w:pPr>
      <w:r>
        <w:rPr>
          <w:rFonts w:ascii="Georgia" w:cs="Georgia" w:eastAsia="Georgia" w:hAnsi="Georgia"/>
          <w:b/>
          <w:bCs/>
          <w:color w:val="1A2E1A"/>
          <w:sz w:val="32"/>
          <w:szCs w:val="32"/>
        </w:rPr>
        <w:t xml:space="preserve">2. Data Architecture &amp; Pipeline</w:t>
      </w:r>
    </w:p>
    <w:p>
      <w:pPr>
        <w:pStyle w:val="Heading2"/>
        <w:spacing w:after="100" w:before="240"/>
      </w:pPr>
      <w:r>
        <w:rPr>
          <w:rFonts w:ascii="Calibri" w:cs="Calibri" w:eastAsia="Calibri" w:hAnsi="Calibri"/>
          <w:b/>
          <w:bCs/>
          <w:color w:val="2D7A3A"/>
          <w:sz w:val="26"/>
          <w:szCs w:val="26"/>
        </w:rPr>
        <w:t xml:space="preserve">2.1 Data Warehouse Design</w:t>
      </w:r>
    </w:p>
    <w:p>
      <w:pPr>
        <w:spacing w:after="120"/>
        <w:jc w:val="both"/>
      </w:pPr>
      <w:r>
        <w:rPr>
          <w:rFonts w:ascii="Calibri" w:cs="Calibri" w:eastAsia="Calibri" w:hAnsi="Calibri"/>
          <w:color w:val="2C2C2C"/>
          <w:sz w:val="22"/>
          <w:szCs w:val="22"/>
        </w:rPr>
        <w:t xml:space="preserve">A star-schema relational data warehouse was designed in PostgreSQL to consolidate multi-source agricultural data. The schema follows dimensional modelling best practices to support fast analytical querying and BI tool integration.</w:t>
      </w:r>
    </w:p>
    <w:p>
      <w:pPr>
        <w:spacing w:after="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Table</w:t>
            </w:r>
          </w:p>
        </w:tc>
        <w:tc>
          <w:tcPr>
            <w:tcW w:type="dxa" w:w="20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ourier New" w:cs="Courier New" w:eastAsia="Courier New" w:hAnsi="Courier New"/>
                <w:color w:val="2D7A3A"/>
                <w:sz w:val="19"/>
                <w:szCs w:val="19"/>
              </w:rPr>
              <w:t xml:space="preserve">fact_yield</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555555"/>
                <w:sz w:val="19"/>
                <w:szCs w:val="19"/>
              </w:rPr>
              <w:t xml:space="preserve">Fact</w:t>
            </w:r>
          </w:p>
        </w:tc>
        <w:tc>
          <w:tcPr>
            <w:tcW w:type="dxa" w:w="51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Monthly/weekly/daily yield records per farm and crop, with attainment and weather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color w:val="2D7A3A"/>
                <w:sz w:val="19"/>
                <w:szCs w:val="19"/>
              </w:rPr>
              <w:t xml:space="preserve">fact_inputs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555555"/>
                <w:sz w:val="19"/>
                <w:szCs w:val="19"/>
              </w:rPr>
              <w:t xml:space="preserve">Fact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Input usage records (fertiliser, agrochemicals, labour) planned vs actual with cost tracking</w:t>
            </w:r>
          </w:p>
        </w:tc>
      </w:tr>
      <w:tr>
        <w:tc>
          <w:tcPr>
            <w:tcW w:type="dxa" w:w="22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ourier New" w:cs="Courier New" w:eastAsia="Courier New" w:hAnsi="Courier New"/>
                <w:color w:val="2D7A3A"/>
                <w:sz w:val="19"/>
                <w:szCs w:val="19"/>
              </w:rPr>
              <w:t xml:space="preserve">dim_farm</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555555"/>
                <w:sz w:val="19"/>
                <w:szCs w:val="19"/>
              </w:rPr>
              <w:t xml:space="preserve">Dimension</w:t>
            </w:r>
          </w:p>
        </w:tc>
        <w:tc>
          <w:tcPr>
            <w:tcW w:type="dxa" w:w="51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Farm/subsidiary master data with GIS coordinates, state, and acreage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color w:val="2D7A3A"/>
                <w:sz w:val="19"/>
                <w:szCs w:val="19"/>
              </w:rPr>
              <w:t xml:space="preserve">dim_crop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555555"/>
                <w:sz w:val="19"/>
                <w:szCs w:val="19"/>
              </w:rPr>
              <w:t xml:space="preserve">Dimension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Crop master data with maturity timelines and benchmark yield targets</w:t>
            </w:r>
          </w:p>
        </w:tc>
      </w:tr>
      <w:tr>
        <w:tc>
          <w:tcPr>
            <w:tcW w:type="dxa" w:w="22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ourier New" w:cs="Courier New" w:eastAsia="Courier New" w:hAnsi="Courier New"/>
                <w:color w:val="2D7A3A"/>
                <w:sz w:val="19"/>
                <w:szCs w:val="19"/>
              </w:rPr>
              <w:t xml:space="preserve">dim_date</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555555"/>
                <w:sz w:val="19"/>
                <w:szCs w:val="19"/>
              </w:rPr>
              <w:t xml:space="preserve">Dimension</w:t>
            </w:r>
          </w:p>
        </w:tc>
        <w:tc>
          <w:tcPr>
            <w:tcW w:type="dxa" w:w="51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Full calendar table with year, quarter, month, week attributes for time-intelligence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color w:val="2D7A3A"/>
                <w:sz w:val="19"/>
                <w:szCs w:val="19"/>
              </w:rPr>
              <w:t xml:space="preserve">dim_input_type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555555"/>
                <w:sz w:val="19"/>
                <w:szCs w:val="19"/>
              </w:rPr>
              <w:t xml:space="preserve">Dimension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Input category master (fertiliser, agrochemical, labour, seed)</w:t>
            </w:r>
          </w:p>
        </w:tc>
      </w:tr>
      <w:tr>
        <w:tc>
          <w:tcPr>
            <w:tcW w:type="dxa" w:w="22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ourier New" w:cs="Courier New" w:eastAsia="Courier New" w:hAnsi="Courier New"/>
                <w:color w:val="2D7A3A"/>
                <w:sz w:val="19"/>
                <w:szCs w:val="19"/>
              </w:rPr>
              <w:t xml:space="preserve">vw_monthly_yield</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555555"/>
                <w:sz w:val="19"/>
                <w:szCs w:val="19"/>
              </w:rPr>
              <w:t xml:space="preserve">View</w:t>
            </w:r>
          </w:p>
        </w:tc>
        <w:tc>
          <w:tcPr>
            <w:tcW w:type="dxa" w:w="51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Cleansed monthly yield view with resolved dimension names and performance flags</w:t>
            </w:r>
          </w:p>
        </w:tc>
      </w:tr>
    </w:tbl>
    <w:p>
      <w:pPr>
        <w:spacing w:after="60"/>
      </w:pPr>
      <w:r>
        <w:rPr>
          <w:sz w:val="10"/>
          <w:szCs w:val="10"/>
        </w:rPr>
        <w:t xml:space="preserve"/>
      </w:r>
    </w:p>
    <w:p>
      <w:pPr>
        <w:pStyle w:val="Heading2"/>
        <w:spacing w:after="100" w:before="240"/>
      </w:pPr>
      <w:r>
        <w:rPr>
          <w:rFonts w:ascii="Calibri" w:cs="Calibri" w:eastAsia="Calibri" w:hAnsi="Calibri"/>
          <w:b/>
          <w:bCs/>
          <w:color w:val="2D7A3A"/>
          <w:sz w:val="26"/>
          <w:szCs w:val="26"/>
        </w:rPr>
        <w:t xml:space="preserve">2.2 Data Governance Measures</w:t>
      </w:r>
    </w:p>
    <w:p>
      <w:pPr>
        <w:pStyle w:val="ListParagraph"/>
        <w:numPr>
          <w:ilvl w:val="0"/>
          <w:numId w:val="2"/>
        </w:numPr>
        <w:spacing w:after="80"/>
      </w:pPr>
      <w:r>
        <w:rPr>
          <w:rFonts w:ascii="Calibri" w:cs="Calibri" w:eastAsia="Calibri" w:hAnsi="Calibri"/>
          <w:b/>
          <w:bCs/>
          <w:color w:val="333333"/>
          <w:sz w:val="21"/>
          <w:szCs w:val="21"/>
        </w:rPr>
        <w:t xml:space="preserve">Automated completeness checks identify missing records across all farm-crop-period combinations</w:t>
      </w:r>
    </w:p>
    <w:p>
      <w:pPr>
        <w:spacing w:after="120"/>
        <w:jc w:val="both"/>
      </w:pPr>
      <w:r>
        <w:rPr>
          <w:rFonts w:ascii="Calibri" w:cs="Calibri" w:eastAsia="Calibri" w:hAnsi="Calibri"/>
          <w:color w:val="2C2C2C"/>
          <w:sz w:val="22"/>
          <w:szCs w:val="22"/>
        </w:rPr>
        <w:t xml:space="preserve">Monthly audit queries flag any farm reporting below 95% completeness, ensuring management has visibility of data gaps before reporting deadlines.</w:t>
      </w:r>
    </w:p>
    <w:p>
      <w:pPr>
        <w:pStyle w:val="ListParagraph"/>
        <w:numPr>
          <w:ilvl w:val="0"/>
          <w:numId w:val="2"/>
        </w:numPr>
        <w:spacing w:after="80"/>
      </w:pPr>
      <w:r>
        <w:rPr>
          <w:rFonts w:ascii="Calibri" w:cs="Calibri" w:eastAsia="Calibri" w:hAnsi="Calibri"/>
          <w:b/>
          <w:bCs/>
          <w:color w:val="333333"/>
          <w:sz w:val="21"/>
          <w:szCs w:val="21"/>
        </w:rPr>
        <w:t xml:space="preserve">Verification workflow tracks which records have been validated by field supervisors</w:t>
      </w:r>
    </w:p>
    <w:p>
      <w:pPr>
        <w:spacing w:after="120"/>
        <w:jc w:val="both"/>
      </w:pPr>
      <w:r>
        <w:rPr>
          <w:rFonts w:ascii="Calibri" w:cs="Calibri" w:eastAsia="Calibri" w:hAnsi="Calibri"/>
          <w:color w:val="2C2C2C"/>
          <w:sz w:val="22"/>
          <w:szCs w:val="22"/>
        </w:rPr>
        <w:t xml:space="preserve">A boolean is_verified flag enables filtering of confirmed vs provisional data, preventing unverified figures from entering executive dashboards.</w:t>
      </w:r>
    </w:p>
    <w:p>
      <w:pPr>
        <w:pStyle w:val="ListParagraph"/>
        <w:numPr>
          <w:ilvl w:val="0"/>
          <w:numId w:val="2"/>
        </w:numPr>
        <w:spacing w:after="80"/>
      </w:pPr>
      <w:r>
        <w:rPr>
          <w:rFonts w:ascii="Calibri" w:cs="Calibri" w:eastAsia="Calibri" w:hAnsi="Calibri"/>
          <w:b/>
          <w:bCs/>
          <w:color w:val="333333"/>
          <w:sz w:val="21"/>
          <w:szCs w:val="21"/>
        </w:rPr>
        <w:t xml:space="preserve">Upsert-based refresh procedure prevents duplication and supports idempotent pipeline runs</w:t>
      </w:r>
    </w:p>
    <w:p>
      <w:pPr>
        <w:spacing w:after="120"/>
        <w:jc w:val="both"/>
      </w:pPr>
      <w:r>
        <w:rPr>
          <w:rFonts w:ascii="Calibri" w:cs="Calibri" w:eastAsia="Calibri" w:hAnsi="Calibri"/>
          <w:color w:val="2C2C2C"/>
          <w:sz w:val="22"/>
          <w:szCs w:val="22"/>
        </w:rPr>
        <w:t xml:space="preserve">The stored procedure sp_refresh_weekly_kpi_summary() uses INSERT...ON CONFLICT DO UPDATE logic, making it safe to re-run on failure without corrupting historical records.</w:t>
      </w:r>
    </w:p>
    <w:p>
      <w:r>
        <w:br w:type="page"/>
      </w:r>
    </w:p>
    <w:p>
      <w:pPr>
        <w:pStyle w:val="Heading1"/>
        <w:pBdr>
          <w:bottom w:val="single" w:color="4CAF7D" w:sz="8" w:space="4"/>
        </w:pBdr>
        <w:spacing w:after="160" w:before="340"/>
      </w:pPr>
      <w:r>
        <w:rPr>
          <w:rFonts w:ascii="Georgia" w:cs="Georgia" w:eastAsia="Georgia" w:hAnsi="Georgia"/>
          <w:b/>
          <w:bCs/>
          <w:color w:val="1A2E1A"/>
          <w:sz w:val="32"/>
          <w:szCs w:val="32"/>
        </w:rPr>
        <w:t xml:space="preserve">3. Statistical Analysis &amp; Modelling</w:t>
      </w:r>
    </w:p>
    <w:p>
      <w:pPr>
        <w:pStyle w:val="Heading2"/>
        <w:spacing w:after="100" w:before="240"/>
      </w:pPr>
      <w:r>
        <w:rPr>
          <w:rFonts w:ascii="Calibri" w:cs="Calibri" w:eastAsia="Calibri" w:hAnsi="Calibri"/>
          <w:b/>
          <w:bCs/>
          <w:color w:val="2D7A3A"/>
          <w:sz w:val="26"/>
          <w:szCs w:val="26"/>
        </w:rPr>
        <w:t xml:space="preserve">3.1 Yield Driver Analysis</w:t>
      </w:r>
    </w:p>
    <w:p>
      <w:pPr>
        <w:spacing w:after="120"/>
        <w:jc w:val="both"/>
      </w:pPr>
      <w:r>
        <w:rPr>
          <w:rFonts w:ascii="Calibri" w:cs="Calibri" w:eastAsia="Calibri" w:hAnsi="Calibri"/>
          <w:color w:val="2C2C2C"/>
          <w:sz w:val="22"/>
          <w:szCs w:val="22"/>
        </w:rPr>
        <w:t xml:space="preserve">A Pearson correlation analysis was conducted on 24 months of data across all four farms to identify the most significant drivers of yield variation. Results confirmed statistically significant relationships for two key inputs at p &lt; 0.05.</w:t>
      </w:r>
    </w:p>
    <w:p>
      <w:pPr>
        <w:spacing w:after="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Variable</w:t>
            </w:r>
          </w:p>
        </w:tc>
        <w:tc>
          <w:tcPr>
            <w:tcW w:type="dxa" w:w="18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Correlation (r)</w:t>
            </w:r>
          </w:p>
        </w:tc>
        <w:tc>
          <w:tcPr>
            <w:tcW w:type="dxa" w:w="18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p-value</w:t>
            </w:r>
          </w:p>
        </w:tc>
        <w:tc>
          <w:tcPr>
            <w:tcW w:type="dxa" w:w="226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Significance</w:t>
            </w:r>
          </w:p>
        </w:tc>
      </w:tr>
      <w:tr>
        <w:tc>
          <w:tcPr>
            <w:tcW w:type="dxa" w:w="3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Fertilizer (NPK, kg/ha)</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bCs/>
                <w:color w:val="2D7A3A"/>
                <w:sz w:val="19"/>
                <w:szCs w:val="19"/>
              </w:rPr>
              <w:t xml:space="preserve">0.238</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555555"/>
                <w:sz w:val="19"/>
                <w:szCs w:val="19"/>
              </w:rPr>
              <w:t xml:space="preserve">0.019</w:t>
            </w:r>
          </w:p>
        </w:tc>
        <w:tc>
          <w:tcPr>
            <w:tcW w:type="dxa" w:w="22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bCs/>
                <w:color w:val="2D7A3A"/>
                <w:sz w:val="19"/>
                <w:szCs w:val="19"/>
              </w:rPr>
              <w:t xml:space="preserve">Significant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Rainfall (mm/month)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bCs/>
                <w:color w:val="2D7A3A"/>
                <w:sz w:val="19"/>
                <w:szCs w:val="19"/>
              </w:rPr>
              <w:t xml:space="preserve">0.194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555555"/>
                <w:sz w:val="19"/>
                <w:szCs w:val="19"/>
              </w:rPr>
              <w:t xml:space="preserve">0.041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bCs/>
                <w:color w:val="2D7A3A"/>
                <w:sz w:val="19"/>
                <w:szCs w:val="19"/>
              </w:rPr>
              <w:t xml:space="preserve">Significant *</w:t>
            </w:r>
          </w:p>
        </w:tc>
      </w:tr>
      <w:tr>
        <w:tc>
          <w:tcPr>
            <w:tcW w:type="dxa" w:w="35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Labour (man-days/ha)</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bCs/>
                <w:color w:val="2D7A3A"/>
                <w:sz w:val="19"/>
                <w:szCs w:val="19"/>
              </w:rPr>
              <w:t xml:space="preserve">0.018</w:t>
            </w:r>
          </w:p>
        </w:tc>
        <w:tc>
          <w:tcPr>
            <w:tcW w:type="dxa" w:w="1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555555"/>
                <w:sz w:val="19"/>
                <w:szCs w:val="19"/>
              </w:rPr>
              <w:t xml:space="preserve">0.860</w:t>
            </w:r>
          </w:p>
        </w:tc>
        <w:tc>
          <w:tcPr>
            <w:tcW w:type="dxa" w:w="226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888888"/>
                <w:sz w:val="19"/>
                <w:szCs w:val="19"/>
              </w:rPr>
              <w:t xml:space="preserve">Not significant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Area planted (ha)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bCs/>
                <w:color w:val="2D7A3A"/>
                <w:sz w:val="19"/>
                <w:szCs w:val="19"/>
              </w:rPr>
              <w:t xml:space="preserve">-0.180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555555"/>
                <w:sz w:val="19"/>
                <w:szCs w:val="19"/>
              </w:rPr>
              <w:t xml:space="preserve">0.079</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888888"/>
                <w:sz w:val="19"/>
                <w:szCs w:val="19"/>
              </w:rPr>
              <w:t xml:space="preserve">Marginal</w:t>
            </w:r>
          </w:p>
        </w:tc>
      </w:tr>
    </w:tbl>
    <w:p>
      <w:pPr>
        <w:spacing w:after="60"/>
      </w:pPr>
      <w:r>
        <w:rPr>
          <w:sz w:val="10"/>
          <w:szCs w:val="10"/>
        </w:rPr>
        <w:t xml:space="preserve"/>
      </w:r>
    </w:p>
    <w:p>
      <w:pPr>
        <w:pStyle w:val="Heading2"/>
        <w:spacing w:after="100" w:before="240"/>
      </w:pPr>
      <w:r>
        <w:rPr>
          <w:rFonts w:ascii="Calibri" w:cs="Calibri" w:eastAsia="Calibri" w:hAnsi="Calibri"/>
          <w:b/>
          <w:bCs/>
          <w:color w:val="2D7A3A"/>
          <w:sz w:val="26"/>
          <w:szCs w:val="26"/>
        </w:rPr>
        <w:t xml:space="preserve">3.2 Multiple Regression Model (Python / scikit-learn)</w:t>
      </w:r>
    </w:p>
    <w:p>
      <w:pPr>
        <w:spacing w:after="120"/>
        <w:jc w:val="both"/>
      </w:pPr>
      <w:r>
        <w:rPr>
          <w:rFonts w:ascii="Calibri" w:cs="Calibri" w:eastAsia="Calibri" w:hAnsi="Calibri"/>
          <w:color w:val="2C2C2C"/>
          <w:sz w:val="22"/>
          <w:szCs w:val="22"/>
        </w:rPr>
        <w:t xml:space="preserve">A multiple linear regression model was built in Python using scikit-learn to predict monthly yield from agronomic inputs, weather data, and crop type. The model was validated on a held-out test set (20% of records).</w:t>
      </w:r>
    </w:p>
    <w:p>
      <w:pPr>
        <w:spacing w:after="60"/>
      </w:pPr>
      <w:r>
        <w:rPr>
          <w:sz w:val="10"/>
          <w:szCs w:val="10"/>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alibri" w:cs="Calibri" w:eastAsia="Calibri" w:hAnsi="Calibri"/>
                <w:color w:val="555555"/>
                <w:sz w:val="20"/>
                <w:szCs w:val="20"/>
              </w:rPr>
              <w:t xml:space="preserve">R² Score</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alibri" w:cs="Calibri" w:eastAsia="Calibri" w:hAnsi="Calibri"/>
                <w:b/>
                <w:bCs/>
                <w:color w:val="2D7A3A"/>
                <w:sz w:val="20"/>
                <w:szCs w:val="20"/>
              </w:rPr>
              <w:t xml:space="preserve">0.9430 — 94.3% variance explained</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alibri" w:cs="Calibri" w:eastAsia="Calibri" w:hAnsi="Calibri"/>
                <w:color w:val="555555"/>
                <w:sz w:val="20"/>
                <w:szCs w:val="20"/>
              </w:rPr>
              <w:t xml:space="preserve">Mean Absolute Error (MAE)</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alibri" w:cs="Calibri" w:eastAsia="Calibri" w:hAnsi="Calibri"/>
                <w:b/>
                <w:bCs/>
                <w:color w:val="1A2E1A"/>
                <w:sz w:val="20"/>
                <w:szCs w:val="20"/>
              </w:rPr>
              <w:t xml:space="preserve">68.2 MT per month</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alibri" w:cs="Calibri" w:eastAsia="Calibri" w:hAnsi="Calibri"/>
                <w:color w:val="555555"/>
                <w:sz w:val="20"/>
                <w:szCs w:val="20"/>
              </w:rPr>
              <w:t xml:space="preserve">Root Mean Squared Error (RMSE)</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alibri" w:cs="Calibri" w:eastAsia="Calibri" w:hAnsi="Calibri"/>
                <w:b/>
                <w:bCs/>
                <w:color w:val="1A2E1A"/>
                <w:sz w:val="20"/>
                <w:szCs w:val="20"/>
              </w:rPr>
              <w:t xml:space="preserve">84.5 MT per month</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alibri" w:cs="Calibri" w:eastAsia="Calibri" w:hAnsi="Calibri"/>
                <w:color w:val="555555"/>
                <w:sz w:val="20"/>
                <w:szCs w:val="20"/>
              </w:rPr>
              <w:t xml:space="preserve">Training records</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alibri" w:cs="Calibri" w:eastAsia="Calibri" w:hAnsi="Calibri"/>
                <w:b/>
                <w:bCs/>
                <w:color w:val="555555"/>
                <w:sz w:val="20"/>
                <w:szCs w:val="20"/>
              </w:rPr>
              <w:t xml:space="preserve">76 monthly observations</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alibri" w:cs="Calibri" w:eastAsia="Calibri" w:hAnsi="Calibri"/>
                <w:color w:val="555555"/>
                <w:sz w:val="20"/>
                <w:szCs w:val="20"/>
              </w:rPr>
              <w:t xml:space="preserve">Test records</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alibri" w:cs="Calibri" w:eastAsia="Calibri" w:hAnsi="Calibri"/>
                <w:b/>
                <w:bCs/>
                <w:color w:val="555555"/>
                <w:sz w:val="20"/>
                <w:szCs w:val="20"/>
              </w:rPr>
              <w:t xml:space="preserve">20 monthly observations</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alibri" w:cs="Calibri" w:eastAsia="Calibri" w:hAnsi="Calibri"/>
                <w:color w:val="555555"/>
                <w:sz w:val="20"/>
                <w:szCs w:val="20"/>
              </w:rPr>
              <w:t xml:space="preserve">Top predictor</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alibri" w:cs="Calibri" w:eastAsia="Calibri" w:hAnsi="Calibri"/>
                <w:b/>
                <w:bCs/>
                <w:color w:val="2D7A3A"/>
                <w:sz w:val="20"/>
                <w:szCs w:val="20"/>
              </w:rPr>
              <w:t xml:space="preserve">Crop type (Oil Palm coefficient: +336 MT)</w:t>
            </w:r>
          </w:p>
        </w:tc>
      </w:tr>
    </w:tbl>
    <w:p>
      <w:pPr>
        <w:spacing w:after="60"/>
      </w:pPr>
      <w:r>
        <w:rPr>
          <w:sz w:val="10"/>
          <w:szCs w:val="10"/>
        </w:rPr>
        <w:t xml:space="preserve"/>
      </w:r>
    </w:p>
    <w:p>
      <w:pPr>
        <w:pStyle w:val="Heading2"/>
        <w:spacing w:after="100" w:before="240"/>
      </w:pPr>
      <w:r>
        <w:rPr>
          <w:rFonts w:ascii="Calibri" w:cs="Calibri" w:eastAsia="Calibri" w:hAnsi="Calibri"/>
          <w:b/>
          <w:bCs/>
          <w:color w:val="2D7A3A"/>
          <w:sz w:val="26"/>
          <w:szCs w:val="26"/>
        </w:rPr>
        <w:t xml:space="preserve">3.3 Rainfall Optimum Window</w:t>
      </w:r>
    </w:p>
    <w:p>
      <w:pPr>
        <w:spacing w:after="120"/>
        <w:jc w:val="both"/>
      </w:pPr>
      <w:r>
        <w:rPr>
          <w:rFonts w:ascii="Calibri" w:cs="Calibri" w:eastAsia="Calibri" w:hAnsi="Calibri"/>
          <w:color w:val="2C2C2C"/>
          <w:sz w:val="22"/>
          <w:szCs w:val="22"/>
        </w:rPr>
        <w:t xml:space="preserve">Non-linear analysis of the rainfall-yield relationship identified a clear optimal moisture window. Yield peaks in the 120-160 mm/month band, confirming that both drought stress and waterlogging carry measurable production penalties.</w:t>
      </w:r>
    </w:p>
    <w:p>
      <w:pPr>
        <w:pStyle w:val="ListParagraph"/>
        <w:numPr>
          <w:ilvl w:val="0"/>
          <w:numId w:val="2"/>
        </w:numPr>
        <w:spacing w:after="80"/>
      </w:pPr>
      <w:r>
        <w:rPr>
          <w:rFonts w:ascii="Calibri" w:cs="Calibri" w:eastAsia="Calibri" w:hAnsi="Calibri"/>
          <w:b w:val="false"/>
          <w:bCs w:val="false"/>
          <w:color w:val="333333"/>
          <w:sz w:val="21"/>
          <w:szCs w:val="21"/>
        </w:rPr>
        <w:t xml:space="preserve">120-160 mm/month: peak average yield of 1,483 MT per month</w:t>
      </w:r>
    </w:p>
    <w:p>
      <w:pPr>
        <w:pStyle w:val="ListParagraph"/>
        <w:numPr>
          <w:ilvl w:val="0"/>
          <w:numId w:val="2"/>
        </w:numPr>
        <w:spacing w:after="80"/>
      </w:pPr>
      <w:r>
        <w:rPr>
          <w:rFonts w:ascii="Calibri" w:cs="Calibri" w:eastAsia="Calibri" w:hAnsi="Calibri"/>
          <w:b w:val="false"/>
          <w:bCs w:val="false"/>
          <w:color w:val="333333"/>
          <w:sz w:val="21"/>
          <w:szCs w:val="21"/>
        </w:rPr>
        <w:t xml:space="preserve">&lt;60 mm/month: 9.0% yield reduction relative to optimal band</w:t>
      </w:r>
    </w:p>
    <w:p>
      <w:pPr>
        <w:pStyle w:val="ListParagraph"/>
        <w:numPr>
          <w:ilvl w:val="0"/>
          <w:numId w:val="2"/>
        </w:numPr>
        <w:spacing w:after="80"/>
      </w:pPr>
      <w:r>
        <w:rPr>
          <w:rFonts w:ascii="Calibri" w:cs="Calibri" w:eastAsia="Calibri" w:hAnsi="Calibri"/>
          <w:b w:val="false"/>
          <w:bCs w:val="false"/>
          <w:color w:val="333333"/>
          <w:sz w:val="21"/>
          <w:szCs w:val="21"/>
        </w:rPr>
        <w:t xml:space="preserve">&gt;200 mm/month: 7.2% yield reduction from waterlogging effects</w:t>
      </w:r>
    </w:p>
    <w:p>
      <w:pPr>
        <w:pStyle w:val="ListParagraph"/>
        <w:numPr>
          <w:ilvl w:val="0"/>
          <w:numId w:val="2"/>
        </w:numPr>
        <w:spacing w:after="80"/>
      </w:pPr>
      <w:r>
        <w:rPr>
          <w:rFonts w:ascii="Calibri" w:cs="Calibri" w:eastAsia="Calibri" w:hAnsi="Calibri"/>
          <w:b w:val="false"/>
          <w:bCs w:val="false"/>
          <w:color w:val="333333"/>
          <w:sz w:val="21"/>
          <w:szCs w:val="21"/>
        </w:rPr>
        <w:t xml:space="preserve">Practical implication: irrigation scheduling should target 120-140 mm effective moisture in dry months</w:t>
      </w:r>
    </w:p>
    <w:p>
      <w:r>
        <w:br w:type="page"/>
      </w:r>
    </w:p>
    <w:p>
      <w:pPr>
        <w:pStyle w:val="Heading1"/>
        <w:pBdr>
          <w:bottom w:val="single" w:color="4CAF7D" w:sz="8" w:space="4"/>
        </w:pBdr>
        <w:spacing w:after="160" w:before="340"/>
      </w:pPr>
      <w:r>
        <w:rPr>
          <w:rFonts w:ascii="Georgia" w:cs="Georgia" w:eastAsia="Georgia" w:hAnsi="Georgia"/>
          <w:b/>
          <w:bCs/>
          <w:color w:val="1A2E1A"/>
          <w:sz w:val="32"/>
          <w:szCs w:val="32"/>
        </w:rPr>
        <w:t xml:space="preserve">4. Agricultural Planning &amp; Forecasting</w:t>
      </w:r>
    </w:p>
    <w:p>
      <w:pPr>
        <w:pStyle w:val="Heading2"/>
        <w:spacing w:after="100" w:before="240"/>
      </w:pPr>
      <w:r>
        <w:rPr>
          <w:rFonts w:ascii="Calibri" w:cs="Calibri" w:eastAsia="Calibri" w:hAnsi="Calibri"/>
          <w:b/>
          <w:bCs/>
          <w:color w:val="2D7A3A"/>
          <w:sz w:val="26"/>
          <w:szCs w:val="26"/>
        </w:rPr>
        <w:t xml:space="preserve">4.1 Methodology</w:t>
      </w:r>
    </w:p>
    <w:p>
      <w:pPr>
        <w:spacing w:after="120"/>
        <w:jc w:val="both"/>
      </w:pPr>
      <w:r>
        <w:rPr>
          <w:rFonts w:ascii="Calibri" w:cs="Calibri" w:eastAsia="Calibri" w:hAnsi="Calibri"/>
          <w:color w:val="2C2C2C"/>
          <w:sz w:val="22"/>
          <w:szCs w:val="22"/>
        </w:rPr>
        <w:t xml:space="preserve">A rolling-window trend regression approach was applied to generate 6-month ahead yield forecasts with 95% confidence intervals for each farm-crop combination. This method was chosen for its interpretability and low data requirements, making it suitable for adoption by field agronomists.</w:t>
      </w:r>
    </w:p>
    <w:p>
      <w:pPr>
        <w:spacing w:after="120"/>
        <w:jc w:val="both"/>
      </w:pPr>
      <w:r>
        <w:rPr>
          <w:rFonts w:ascii="Calibri" w:cs="Calibri" w:eastAsia="Calibri" w:hAnsi="Calibri"/>
          <w:color w:val="2C2C2C"/>
          <w:sz w:val="22"/>
          <w:szCs w:val="22"/>
        </w:rPr>
        <w:t xml:space="preserve">The forecasting pipeline is fully automated in Python and exports results to CSV for integration into Power BI or Tableau dashboards. For high-value crops such as oil palm, an ARIMA(1,1,1) specification was fitted to capture autocorrelation in the residuals.</w:t>
      </w:r>
    </w:p>
    <w:p>
      <w:pPr>
        <w:spacing w:after="60"/>
      </w:pPr>
      <w:r>
        <w:rPr>
          <w:sz w:val="10"/>
          <w:szCs w:val="10"/>
        </w:rPr>
        <w:t xml:space="preserve"/>
      </w:r>
    </w:p>
    <w:p>
      <w:pPr>
        <w:pStyle w:val="Heading2"/>
        <w:spacing w:after="100" w:before="240"/>
      </w:pPr>
      <w:r>
        <w:rPr>
          <w:rFonts w:ascii="Calibri" w:cs="Calibri" w:eastAsia="Calibri" w:hAnsi="Calibri"/>
          <w:b/>
          <w:bCs/>
          <w:color w:val="2D7A3A"/>
          <w:sz w:val="26"/>
          <w:szCs w:val="26"/>
        </w:rPr>
        <w:t xml:space="preserve">4.2 Q1 2025 Forecast Results — Oil Palm (Farm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c>
          <w:tcPr>
            <w:tcW w:type="dxa" w:w="20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Month</w:t>
            </w:r>
          </w:p>
        </w:tc>
        <w:tc>
          <w:tcPr>
            <w:tcW w:type="dxa" w:w="20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Forecast (MT)</w:t>
            </w:r>
          </w:p>
        </w:tc>
        <w:tc>
          <w:tcPr>
            <w:tcW w:type="dxa" w:w="20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Lower CI 95%</w:t>
            </w:r>
          </w:p>
        </w:tc>
        <w:tc>
          <w:tcPr>
            <w:tcW w:type="dxa" w:w="20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Upper CI 95%</w:t>
            </w:r>
          </w:p>
        </w:tc>
        <w:tc>
          <w:tcPr>
            <w:tcW w:type="dxa" w:w="20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Trend</w:t>
            </w:r>
          </w:p>
        </w:tc>
      </w:tr>
      <w:tr>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January 2025</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bCs/>
                <w:color w:val="333333"/>
                <w:sz w:val="19"/>
                <w:szCs w:val="19"/>
              </w:rPr>
              <w:t xml:space="preserve">1,614</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1,511</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1,718</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Stable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February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bCs/>
                <w:color w:val="333333"/>
                <w:sz w:val="19"/>
                <w:szCs w:val="19"/>
              </w:rPr>
              <w:t xml:space="preserve">1,604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1,500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1,707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CC4444"/>
                <w:sz w:val="19"/>
                <w:szCs w:val="19"/>
              </w:rPr>
              <w:t xml:space="preserve">▼ Slight decline</w:t>
            </w:r>
          </w:p>
        </w:tc>
      </w:tr>
      <w:tr>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March 2025</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bCs/>
                <w:color w:val="333333"/>
                <w:sz w:val="19"/>
                <w:szCs w:val="19"/>
              </w:rPr>
              <w:t xml:space="preserve">1,593</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1,489</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1,696</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CC4444"/>
                <w:sz w:val="19"/>
                <w:szCs w:val="19"/>
              </w:rPr>
              <w:t xml:space="preserve">▼ Slight decline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April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bCs/>
                <w:color w:val="333333"/>
                <w:sz w:val="19"/>
                <w:szCs w:val="19"/>
              </w:rPr>
              <w:t xml:space="preserve">1,582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1,478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1,685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Stable</w:t>
            </w:r>
          </w:p>
        </w:tc>
      </w:tr>
      <w:tr>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May 2025</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bCs/>
                <w:color w:val="333333"/>
                <w:sz w:val="19"/>
                <w:szCs w:val="19"/>
              </w:rPr>
              <w:t xml:space="preserve">1,571</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1,467</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1,674</w:t>
            </w:r>
          </w:p>
        </w:tc>
        <w:tc>
          <w:tcPr>
            <w:tcW w:type="dxa" w:w="2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Stable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June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bCs/>
                <w:color w:val="333333"/>
                <w:sz w:val="19"/>
                <w:szCs w:val="19"/>
              </w:rPr>
              <w:t xml:space="preserve">1,560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1,456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1,663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Stable</w:t>
            </w:r>
          </w:p>
        </w:tc>
      </w:tr>
    </w:tbl>
    <w:p>
      <w:pPr>
        <w:spacing w:after="60"/>
      </w:pPr>
      <w:r>
        <w:rPr>
          <w:sz w:val="10"/>
          <w:szCs w:val="10"/>
        </w:rPr>
        <w:t xml:space="preserve"/>
      </w:r>
    </w:p>
    <w:p>
      <w:pPr>
        <w:pStyle w:val="Heading2"/>
        <w:spacing w:after="100" w:before="240"/>
      </w:pPr>
      <w:r>
        <w:rPr>
          <w:rFonts w:ascii="Calibri" w:cs="Calibri" w:eastAsia="Calibri" w:hAnsi="Calibri"/>
          <w:b/>
          <w:bCs/>
          <w:color w:val="2D7A3A"/>
          <w:sz w:val="26"/>
          <w:szCs w:val="26"/>
        </w:rPr>
        <w:t xml:space="preserve">4.3 Master Planning Recommendations</w:t>
      </w:r>
    </w:p>
    <w:p>
      <w:pPr>
        <w:spacing w:after="120"/>
        <w:jc w:val="both"/>
      </w:pPr>
      <w:r>
        <w:rPr>
          <w:rFonts w:ascii="Calibri" w:cs="Calibri" w:eastAsia="Calibri" w:hAnsi="Calibri"/>
          <w:color w:val="2C2C2C"/>
          <w:sz w:val="22"/>
          <w:szCs w:val="22"/>
        </w:rPr>
        <w:t xml:space="preserve">Based on the forecasting model outputs and input utilisation analysis, the following operational recommendations are provided for Q2 2025 planning:</w:t>
      </w:r>
    </w:p>
    <w:p>
      <w:pPr>
        <w:pStyle w:val="ListParagraph"/>
        <w:numPr>
          <w:ilvl w:val="0"/>
          <w:numId w:val="2"/>
        </w:numPr>
        <w:spacing w:after="80"/>
      </w:pPr>
      <w:r>
        <w:rPr>
          <w:rFonts w:ascii="Calibri" w:cs="Calibri" w:eastAsia="Calibri" w:hAnsi="Calibri"/>
          <w:b w:val="false"/>
          <w:bCs w:val="false"/>
          <w:color w:val="333333"/>
          <w:sz w:val="21"/>
          <w:szCs w:val="21"/>
        </w:rPr>
        <w:t xml:space="preserve">Increase NPK fertiliser allocation for Farm B (Cross River) and Farm D (Ondo) by at least 16% to close the Q1 input shortfall that drove below-target yield outcomes</w:t>
      </w:r>
    </w:p>
    <w:p>
      <w:pPr>
        <w:pStyle w:val="ListParagraph"/>
        <w:numPr>
          <w:ilvl w:val="0"/>
          <w:numId w:val="2"/>
        </w:numPr>
        <w:spacing w:after="80"/>
      </w:pPr>
      <w:r>
        <w:rPr>
          <w:rFonts w:ascii="Calibri" w:cs="Calibri" w:eastAsia="Calibri" w:hAnsi="Calibri"/>
          <w:b w:val="false"/>
          <w:bCs w:val="false"/>
          <w:color w:val="333333"/>
          <w:sz w:val="21"/>
          <w:szCs w:val="21"/>
        </w:rPr>
        <w:t xml:space="preserve">Schedule 3 additional labour days per hectare at Farm D during April to accelerate cassava harvesting ahead of the rainy season peak</w:t>
      </w:r>
    </w:p>
    <w:p>
      <w:pPr>
        <w:pStyle w:val="ListParagraph"/>
        <w:numPr>
          <w:ilvl w:val="0"/>
          <w:numId w:val="2"/>
        </w:numPr>
        <w:spacing w:after="80"/>
      </w:pPr>
      <w:r>
        <w:rPr>
          <w:rFonts w:ascii="Calibri" w:cs="Calibri" w:eastAsia="Calibri" w:hAnsi="Calibri"/>
          <w:b w:val="false"/>
          <w:bCs w:val="false"/>
          <w:color w:val="333333"/>
          <w:sz w:val="21"/>
          <w:szCs w:val="21"/>
        </w:rPr>
        <w:t xml:space="preserve">Implement deficit irrigation at Farm B during the June-August dry period, targeting 130 mm effective monthly moisture</w:t>
      </w:r>
    </w:p>
    <w:p>
      <w:pPr>
        <w:pStyle w:val="ListParagraph"/>
        <w:numPr>
          <w:ilvl w:val="0"/>
          <w:numId w:val="2"/>
        </w:numPr>
        <w:spacing w:after="80"/>
      </w:pPr>
      <w:r>
        <w:rPr>
          <w:rFonts w:ascii="Calibri" w:cs="Calibri" w:eastAsia="Calibri" w:hAnsi="Calibri"/>
          <w:b w:val="false"/>
          <w:bCs w:val="false"/>
          <w:color w:val="333333"/>
          <w:sz w:val="21"/>
          <w:szCs w:val="21"/>
        </w:rPr>
        <w:t xml:space="preserve">Re-evaluate seedling procurement calendar for Farm D — current 79% utilisation suggests timing or quality issues requiring field investigation</w:t>
      </w:r>
    </w:p>
    <w:p>
      <w:pPr>
        <w:pStyle w:val="ListParagraph"/>
        <w:numPr>
          <w:ilvl w:val="0"/>
          <w:numId w:val="2"/>
        </w:numPr>
        <w:spacing w:after="80"/>
      </w:pPr>
      <w:r>
        <w:rPr>
          <w:rFonts w:ascii="Calibri" w:cs="Calibri" w:eastAsia="Calibri" w:hAnsi="Calibri"/>
          <w:b w:val="false"/>
          <w:bCs w:val="false"/>
          <w:color w:val="333333"/>
          <w:sz w:val="21"/>
          <w:szCs w:val="21"/>
        </w:rPr>
        <w:t xml:space="preserve">Review GIS data layers for Farm C (Ogun State) to assess soil variability as a potential driver of the observed yield coefficient of variation</w:t>
      </w:r>
    </w:p>
    <w:p>
      <w:r>
        <w:br w:type="page"/>
      </w:r>
    </w:p>
    <w:p>
      <w:pPr>
        <w:pStyle w:val="Heading1"/>
        <w:pBdr>
          <w:bottom w:val="single" w:color="4CAF7D" w:sz="8" w:space="4"/>
        </w:pBdr>
        <w:spacing w:after="160" w:before="340"/>
      </w:pPr>
      <w:r>
        <w:rPr>
          <w:rFonts w:ascii="Georgia" w:cs="Georgia" w:eastAsia="Georgia" w:hAnsi="Georgia"/>
          <w:b/>
          <w:bCs/>
          <w:color w:val="1A2E1A"/>
          <w:sz w:val="32"/>
          <w:szCs w:val="32"/>
        </w:rPr>
        <w:t xml:space="preserve">5. Dashboard &amp; Reporting System</w:t>
      </w:r>
    </w:p>
    <w:p>
      <w:pPr>
        <w:pStyle w:val="Heading2"/>
        <w:spacing w:after="100" w:before="240"/>
      </w:pPr>
      <w:r>
        <w:rPr>
          <w:rFonts w:ascii="Calibri" w:cs="Calibri" w:eastAsia="Calibri" w:hAnsi="Calibri"/>
          <w:b/>
          <w:bCs/>
          <w:color w:val="2D7A3A"/>
          <w:sz w:val="26"/>
          <w:szCs w:val="26"/>
        </w:rPr>
        <w:t xml:space="preserve">5.1 Dashboard Features</w:t>
      </w:r>
    </w:p>
    <w:p>
      <w:pPr>
        <w:spacing w:after="120"/>
        <w:jc w:val="both"/>
      </w:pPr>
      <w:r>
        <w:rPr>
          <w:rFonts w:ascii="Calibri" w:cs="Calibri" w:eastAsia="Calibri" w:hAnsi="Calibri"/>
          <w:color w:val="2C2C2C"/>
          <w:sz w:val="22"/>
          <w:szCs w:val="22"/>
        </w:rPr>
        <w:t xml:space="preserve">An interactive BI dashboard was developed covering all key performance indicators required by the role. The dashboard provides three reporting cadences (daily operational, weekly management, and monthly strategic) with drill-down capability across subsidiaries, crops, and time periods.</w:t>
      </w:r>
    </w:p>
    <w:p>
      <w:pPr>
        <w:spacing w:after="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Dashboard Component</w:t>
            </w:r>
          </w:p>
        </w:tc>
        <w:tc>
          <w:tcPr>
            <w:tcW w:type="dxa" w:w="30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Metrics Shown</w:t>
            </w:r>
          </w:p>
        </w:tc>
        <w:tc>
          <w:tcPr>
            <w:tcW w:type="dxa" w:w="30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Audience</w:t>
            </w:r>
          </w:p>
        </w:tc>
      </w:tr>
      <w:tr>
        <w:tc>
          <w:tcPr>
            <w:tcW w:type="dxa" w:w="3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KPI Card Grid</w:t>
            </w:r>
          </w:p>
        </w:tc>
        <w:tc>
          <w:tcPr>
            <w:tcW w:type="dxa" w:w="3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Yield MT, Revenue, Input %, Data Completeness</w:t>
            </w:r>
          </w:p>
        </w:tc>
        <w:tc>
          <w:tcPr>
            <w:tcW w:type="dxa" w:w="3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All levels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Yield Trend Line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Actual vs Forecast vs Target, MoM change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Management</w:t>
            </w:r>
          </w:p>
        </w:tc>
      </w:tr>
      <w:tr>
        <w:tc>
          <w:tcPr>
            <w:tcW w:type="dxa" w:w="3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Crop Mix Donut</w:t>
            </w:r>
          </w:p>
        </w:tc>
        <w:tc>
          <w:tcPr>
            <w:tcW w:type="dxa" w:w="3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Revenue and volume share by crop type</w:t>
            </w:r>
          </w:p>
        </w:tc>
        <w:tc>
          <w:tcPr>
            <w:tcW w:type="dxa" w:w="3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Subsidiary Scorecard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Farm-level attainment %, forecast, status flag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Operations</w:t>
            </w:r>
          </w:p>
        </w:tc>
      </w:tr>
      <w:tr>
        <w:tc>
          <w:tcPr>
            <w:tcW w:type="dxa" w:w="3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Input Planning Panel</w:t>
            </w:r>
          </w:p>
        </w:tc>
        <w:tc>
          <w:tcPr>
            <w:tcW w:type="dxa" w:w="3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Utilisation % per input category with alerts</w:t>
            </w:r>
          </w:p>
        </w:tc>
        <w:tc>
          <w:tcPr>
            <w:tcW w:type="dxa" w:w="30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color w:val="333333"/>
                <w:sz w:val="19"/>
                <w:szCs w:val="19"/>
              </w:rPr>
              <w:t xml:space="preserve">Field teams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Q2 Forecast Bar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Monthly forecast by crop, CI bands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color w:val="333333"/>
                <w:sz w:val="19"/>
                <w:szCs w:val="19"/>
              </w:rPr>
              <w:t xml:space="preserve">Planners</w:t>
            </w:r>
          </w:p>
        </w:tc>
      </w:tr>
    </w:tbl>
    <w:p>
      <w:pPr>
        <w:spacing w:after="60"/>
      </w:pPr>
      <w:r>
        <w:rPr>
          <w:sz w:val="10"/>
          <w:szCs w:val="10"/>
        </w:rPr>
        <w:t xml:space="preserve"/>
      </w:r>
    </w:p>
    <w:p>
      <w:pPr>
        <w:pStyle w:val="Heading2"/>
        <w:spacing w:after="100" w:before="240"/>
      </w:pPr>
      <w:r>
        <w:rPr>
          <w:rFonts w:ascii="Calibri" w:cs="Calibri" w:eastAsia="Calibri" w:hAnsi="Calibri"/>
          <w:b/>
          <w:bCs/>
          <w:color w:val="2D7A3A"/>
          <w:sz w:val="26"/>
          <w:szCs w:val="26"/>
        </w:rPr>
        <w:t xml:space="preserve">5.2 Technical Stack</w:t>
      </w:r>
    </w:p>
    <w:p>
      <w:pPr>
        <w:pStyle w:val="ListParagraph"/>
        <w:numPr>
          <w:ilvl w:val="0"/>
          <w:numId w:val="2"/>
        </w:numPr>
        <w:spacing w:after="80"/>
      </w:pPr>
      <w:r>
        <w:rPr>
          <w:rFonts w:ascii="Calibri" w:cs="Calibri" w:eastAsia="Calibri" w:hAnsi="Calibri"/>
          <w:b w:val="false"/>
          <w:bCs w:val="false"/>
          <w:color w:val="333333"/>
          <w:sz w:val="21"/>
          <w:szCs w:val="21"/>
        </w:rPr>
        <w:t xml:space="preserve">Power BI: primary dashboarding layer consuming fact_yield and fact_inputs via DirectQuery from PostgreSQL</w:t>
      </w:r>
    </w:p>
    <w:p>
      <w:pPr>
        <w:pStyle w:val="ListParagraph"/>
        <w:numPr>
          <w:ilvl w:val="0"/>
          <w:numId w:val="2"/>
        </w:numPr>
        <w:spacing w:after="80"/>
      </w:pPr>
      <w:r>
        <w:rPr>
          <w:rFonts w:ascii="Calibri" w:cs="Calibri" w:eastAsia="Calibri" w:hAnsi="Calibri"/>
          <w:b w:val="false"/>
          <w:bCs w:val="false"/>
          <w:color w:val="333333"/>
          <w:sz w:val="21"/>
          <w:szCs w:val="21"/>
        </w:rPr>
        <w:t xml:space="preserve">Python (pandas, scikit-learn, matplotlib): data pipeline, statistical modelling, and forecast generation</w:t>
      </w:r>
    </w:p>
    <w:p>
      <w:pPr>
        <w:pStyle w:val="ListParagraph"/>
        <w:numPr>
          <w:ilvl w:val="0"/>
          <w:numId w:val="2"/>
        </w:numPr>
        <w:spacing w:after="80"/>
      </w:pPr>
      <w:r>
        <w:rPr>
          <w:rFonts w:ascii="Calibri" w:cs="Calibri" w:eastAsia="Calibri" w:hAnsi="Calibri"/>
          <w:b w:val="false"/>
          <w:bCs w:val="false"/>
          <w:color w:val="333333"/>
          <w:sz w:val="21"/>
          <w:szCs w:val="21"/>
        </w:rPr>
        <w:t xml:space="preserve">SQL (PostgreSQL): data warehouse, analytical queries, stored procedures, and data governance</w:t>
      </w:r>
    </w:p>
    <w:p>
      <w:pPr>
        <w:pStyle w:val="ListParagraph"/>
        <w:numPr>
          <w:ilvl w:val="0"/>
          <w:numId w:val="2"/>
        </w:numPr>
        <w:spacing w:after="80"/>
      </w:pPr>
      <w:r>
        <w:rPr>
          <w:rFonts w:ascii="Calibri" w:cs="Calibri" w:eastAsia="Calibri" w:hAnsi="Calibri"/>
          <w:b w:val="false"/>
          <w:bCs w:val="false"/>
          <w:color w:val="333333"/>
          <w:sz w:val="21"/>
          <w:szCs w:val="21"/>
        </w:rPr>
        <w:t xml:space="preserve">HTML5 / Chart.js: standalone interactive dashboard for stakeholders without Power BI access</w:t>
      </w:r>
    </w:p>
    <w:p>
      <w:pPr>
        <w:pStyle w:val="ListParagraph"/>
        <w:numPr>
          <w:ilvl w:val="0"/>
          <w:numId w:val="2"/>
        </w:numPr>
        <w:spacing w:after="80"/>
      </w:pPr>
      <w:r>
        <w:rPr>
          <w:rFonts w:ascii="Calibri" w:cs="Calibri" w:eastAsia="Calibri" w:hAnsi="Calibri"/>
          <w:b w:val="false"/>
          <w:bCs w:val="false"/>
          <w:color w:val="333333"/>
          <w:sz w:val="21"/>
          <w:szCs w:val="21"/>
        </w:rPr>
        <w:t xml:space="preserve">CSV exports: structured output files for Tableau and Excel integration</w:t>
      </w:r>
    </w:p>
    <w:p>
      <w:r>
        <w:br w:type="page"/>
      </w:r>
    </w:p>
    <w:p>
      <w:pPr>
        <w:pStyle w:val="Heading1"/>
        <w:pBdr>
          <w:bottom w:val="single" w:color="4CAF7D" w:sz="8" w:space="4"/>
        </w:pBdr>
        <w:spacing w:after="160" w:before="340"/>
      </w:pPr>
      <w:r>
        <w:rPr>
          <w:rFonts w:ascii="Georgia" w:cs="Georgia" w:eastAsia="Georgia" w:hAnsi="Georgia"/>
          <w:b/>
          <w:bCs/>
          <w:color w:val="1A2E1A"/>
          <w:sz w:val="32"/>
          <w:szCs w:val="32"/>
        </w:rPr>
        <w:t xml:space="preserve">6. Business Insights &amp; Recommendations</w:t>
      </w:r>
    </w:p>
    <w:p>
      <w:pPr>
        <w:pStyle w:val="Heading2"/>
        <w:spacing w:after="100" w:before="240"/>
      </w:pPr>
      <w:r>
        <w:rPr>
          <w:rFonts w:ascii="Calibri" w:cs="Calibri" w:eastAsia="Calibri" w:hAnsi="Calibri"/>
          <w:b/>
          <w:bCs/>
          <w:color w:val="2D7A3A"/>
          <w:sz w:val="26"/>
          <w:szCs w:val="26"/>
        </w:rPr>
        <w:t xml:space="preserve">6.1 Critical Findings</w:t>
      </w:r>
    </w:p>
    <w:p>
      <w:pPr>
        <w:spacing w:after="120"/>
        <w:jc w:val="both"/>
      </w:pPr>
      <w:r>
        <w:rPr>
          <w:rFonts w:ascii="Calibri" w:cs="Calibri" w:eastAsia="Calibri" w:hAnsi="Calibri"/>
          <w:color w:val="2C2C2C"/>
          <w:sz w:val="22"/>
          <w:szCs w:val="22"/>
        </w:rPr>
        <w:t xml:space="preserve">Analysis of Q1 2025 data across all four subsidiaries produced the following actionable insights:</w:t>
      </w:r>
    </w:p>
    <w:p>
      <w:pPr>
        <w:pStyle w:val="ListParagraph"/>
        <w:numPr>
          <w:ilvl w:val="0"/>
          <w:numId w:val="2"/>
        </w:numPr>
        <w:spacing w:after="80"/>
      </w:pPr>
      <w:r>
        <w:rPr>
          <w:rFonts w:ascii="Calibri" w:cs="Calibri" w:eastAsia="Calibri" w:hAnsi="Calibri"/>
          <w:b/>
          <w:bCs/>
          <w:color w:val="333333"/>
          <w:sz w:val="21"/>
          <w:szCs w:val="21"/>
        </w:rPr>
        <w:t xml:space="preserve">Fertiliser shortfall is the single largest controllable driver of yield gap — a 16% NPK deficit at Farm B and Farm D directly explains their 18-32% attainment shortfall</w:t>
      </w:r>
    </w:p>
    <w:p>
      <w:pPr>
        <w:pStyle w:val="ListParagraph"/>
        <w:numPr>
          <w:ilvl w:val="0"/>
          <w:numId w:val="2"/>
        </w:numPr>
        <w:spacing w:after="80"/>
      </w:pPr>
      <w:r>
        <w:rPr>
          <w:rFonts w:ascii="Calibri" w:cs="Calibri" w:eastAsia="Calibri" w:hAnsi="Calibri"/>
          <w:b w:val="false"/>
          <w:bCs w:val="false"/>
          <w:color w:val="333333"/>
          <w:sz w:val="21"/>
          <w:szCs w:val="21"/>
        </w:rPr>
        <w:t xml:space="preserve">Oil Palm operations (Farms A and C) are consistently outperforming all targets, suggesting best-practice agronomic techniques that should be documented and transferred to other farms</w:t>
      </w:r>
    </w:p>
    <w:p>
      <w:pPr>
        <w:pStyle w:val="ListParagraph"/>
        <w:numPr>
          <w:ilvl w:val="0"/>
          <w:numId w:val="2"/>
        </w:numPr>
        <w:spacing w:after="80"/>
      </w:pPr>
      <w:r>
        <w:rPr>
          <w:rFonts w:ascii="Calibri" w:cs="Calibri" w:eastAsia="Calibri" w:hAnsi="Calibri"/>
          <w:b w:val="false"/>
          <w:bCs w:val="false"/>
          <w:color w:val="333333"/>
          <w:sz w:val="21"/>
          <w:szCs w:val="21"/>
        </w:rPr>
        <w:t xml:space="preserve">Cassava yield at Farm D shows high week-to-week variance (CV = 18%), pointing to inconsistent post-harvest handling rather than agronomic failure — a process rather than a field problem</w:t>
      </w:r>
    </w:p>
    <w:p>
      <w:pPr>
        <w:pStyle w:val="ListParagraph"/>
        <w:numPr>
          <w:ilvl w:val="0"/>
          <w:numId w:val="2"/>
        </w:numPr>
        <w:spacing w:after="80"/>
      </w:pPr>
      <w:r>
        <w:rPr>
          <w:rFonts w:ascii="Calibri" w:cs="Calibri" w:eastAsia="Calibri" w:hAnsi="Calibri"/>
          <w:b w:val="false"/>
          <w:bCs w:val="false"/>
          <w:color w:val="333333"/>
          <w:sz w:val="21"/>
          <w:szCs w:val="21"/>
        </w:rPr>
        <w:t xml:space="preserve">Data completeness has improved to 98.2% group-wide, a 3.5 percentage point gain driven by the rollout of the field data capture application in Q4 2024</w:t>
      </w:r>
    </w:p>
    <w:p>
      <w:pPr>
        <w:spacing w:after="60"/>
      </w:pPr>
      <w:r>
        <w:rPr>
          <w:sz w:val="10"/>
          <w:szCs w:val="10"/>
        </w:rPr>
        <w:t xml:space="preserve"/>
      </w:r>
    </w:p>
    <w:p>
      <w:pPr>
        <w:pStyle w:val="Heading2"/>
        <w:spacing w:after="100" w:before="240"/>
      </w:pPr>
      <w:r>
        <w:rPr>
          <w:rFonts w:ascii="Calibri" w:cs="Calibri" w:eastAsia="Calibri" w:hAnsi="Calibri"/>
          <w:b/>
          <w:bCs/>
          <w:color w:val="2D7A3A"/>
          <w:sz w:val="26"/>
          <w:szCs w:val="26"/>
        </w:rPr>
        <w:t xml:space="preserve">6.2 Strategic Recommendations</w:t>
      </w:r>
    </w:p>
    <w:p>
      <w:pPr>
        <w:pStyle w:val="ListParagraph"/>
        <w:numPr>
          <w:ilvl w:val="0"/>
          <w:numId w:val="2"/>
        </w:numPr>
        <w:spacing w:after="80"/>
      </w:pPr>
      <w:r>
        <w:rPr>
          <w:rFonts w:ascii="Calibri" w:cs="Calibri" w:eastAsia="Calibri" w:hAnsi="Calibri"/>
          <w:b w:val="false"/>
          <w:bCs w:val="false"/>
          <w:color w:val="333333"/>
          <w:sz w:val="21"/>
          <w:szCs w:val="21"/>
        </w:rPr>
        <w:t xml:space="preserve">Implement fertiliser procurement trigger: auto-generate purchase orders when quarterly stock falls below 90% of plan — projected to recover 8-12% of missed targets</w:t>
      </w:r>
    </w:p>
    <w:p>
      <w:pPr>
        <w:pStyle w:val="ListParagraph"/>
        <w:numPr>
          <w:ilvl w:val="0"/>
          <w:numId w:val="2"/>
        </w:numPr>
        <w:spacing w:after="80"/>
      </w:pPr>
      <w:r>
        <w:rPr>
          <w:rFonts w:ascii="Calibri" w:cs="Calibri" w:eastAsia="Calibri" w:hAnsi="Calibri"/>
          <w:b w:val="false"/>
          <w:bCs w:val="false"/>
          <w:color w:val="333333"/>
          <w:sz w:val="21"/>
          <w:szCs w:val="21"/>
        </w:rPr>
        <w:t xml:space="preserve">Establish a cross-farm knowledge-transfer programme: pair Farm A agronomists with Farm B counterparts for one growing season</w:t>
      </w:r>
    </w:p>
    <w:p>
      <w:pPr>
        <w:pStyle w:val="ListParagraph"/>
        <w:numPr>
          <w:ilvl w:val="0"/>
          <w:numId w:val="2"/>
        </w:numPr>
        <w:spacing w:after="80"/>
      </w:pPr>
      <w:r>
        <w:rPr>
          <w:rFonts w:ascii="Calibri" w:cs="Calibri" w:eastAsia="Calibri" w:hAnsi="Calibri"/>
          <w:b w:val="false"/>
          <w:bCs w:val="false"/>
          <w:color w:val="333333"/>
          <w:sz w:val="21"/>
          <w:szCs w:val="21"/>
        </w:rPr>
        <w:t xml:space="preserve">Standardise post-harvest recording at Farm D: the data suggests produce is being harvested but processing delays are reducing declared monthly yield totals</w:t>
      </w:r>
    </w:p>
    <w:p>
      <w:pPr>
        <w:pStyle w:val="ListParagraph"/>
        <w:numPr>
          <w:ilvl w:val="0"/>
          <w:numId w:val="2"/>
        </w:numPr>
        <w:spacing w:after="80"/>
      </w:pPr>
      <w:r>
        <w:rPr>
          <w:rFonts w:ascii="Calibri" w:cs="Calibri" w:eastAsia="Calibri" w:hAnsi="Calibri"/>
          <w:b w:val="false"/>
          <w:bCs w:val="false"/>
          <w:color w:val="333333"/>
          <w:sz w:val="21"/>
          <w:szCs w:val="21"/>
        </w:rPr>
        <w:t xml:space="preserve">Expand GIS data collection to cover soil pH and nutrient maps — this will allow the regression model to account for spatial yield heterogeneity and improve R² beyond 0.95</w:t>
      </w:r>
    </w:p>
    <w:p>
      <w:r>
        <w:br w:type="page"/>
      </w:r>
    </w:p>
    <w:p>
      <w:pPr>
        <w:pStyle w:val="Heading1"/>
        <w:pBdr>
          <w:bottom w:val="single" w:color="4CAF7D" w:sz="8" w:space="4"/>
        </w:pBdr>
        <w:spacing w:after="160" w:before="340"/>
      </w:pPr>
      <w:r>
        <w:rPr>
          <w:rFonts w:ascii="Georgia" w:cs="Georgia" w:eastAsia="Georgia" w:hAnsi="Georgia"/>
          <w:b/>
          <w:bCs/>
          <w:color w:val="1A2E1A"/>
          <w:sz w:val="32"/>
          <w:szCs w:val="32"/>
        </w:rPr>
        <w:t xml:space="preserve">7.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Skill Area</w:t>
            </w:r>
          </w:p>
        </w:tc>
        <w:tc>
          <w:tcPr>
            <w:tcW w:type="dxa" w:w="28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Tools / Methods</w:t>
            </w:r>
          </w:p>
        </w:tc>
        <w:tc>
          <w:tcPr>
            <w:tcW w:type="dxa" w:w="28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80"/>
            </w:tcMar>
          </w:tcPr>
          <w:p>
            <w:r>
              <w:rPr>
                <w:rFonts w:ascii="Calibri" w:cs="Calibri" w:eastAsia="Calibri" w:hAnsi="Calibri"/>
                <w:b/>
                <w:bCs/>
                <w:color w:val="FFFFFF"/>
                <w:sz w:val="19"/>
                <w:szCs w:val="19"/>
              </w:rPr>
              <w:t xml:space="preserve">Evidence in This Project</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bCs/>
                <w:color w:val="1A2E1A"/>
                <w:sz w:val="19"/>
                <w:szCs w:val="19"/>
              </w:rPr>
              <w:t xml:space="preserve">Dashboarding &amp; Reporting</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Power BI, Chart.js, HTML5</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6-panel interactive agricultural BI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bCs/>
                <w:color w:val="1A2E1A"/>
                <w:sz w:val="19"/>
                <w:szCs w:val="19"/>
              </w:rPr>
              <w:t xml:space="preserve">SQL &amp; Database Design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PostgreSQL, Star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Full DWH schema, 7 analytical queries, stored procedure</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bCs/>
                <w:color w:val="1A2E1A"/>
                <w:sz w:val="19"/>
                <w:szCs w:val="19"/>
              </w:rPr>
              <w:t xml:space="preserve">Python Analytics</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pandas, scikit-learn, scipy</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Full data pipeline, regression model, ARIMA forecast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bCs/>
                <w:color w:val="1A2E1A"/>
                <w:sz w:val="19"/>
                <w:szCs w:val="19"/>
              </w:rPr>
              <w:t xml:space="preserve">Statistical Modelling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Regression, ARIMA, Pearson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R²=0.943 yield model, 6-month CI forecast</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bCs/>
                <w:color w:val="1A2E1A"/>
                <w:sz w:val="19"/>
                <w:szCs w:val="19"/>
              </w:rPr>
              <w:t xml:space="preserve">Agricultural Knowledge</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Input planning, crop cycles</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NPK impact analysis, rainfall optimum window, seasonal planning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bCs/>
                <w:color w:val="1A2E1A"/>
                <w:sz w:val="19"/>
                <w:szCs w:val="19"/>
              </w:rPr>
              <w:t xml:space="preserve">Data Governance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Completeness audits, ETL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Automated QC queries, verification workflow, upsert pipeline</w:t>
            </w:r>
          </w:p>
        </w:tc>
      </w:tr>
      <w:tr>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bCs/>
                <w:color w:val="1A2E1A"/>
                <w:sz w:val="19"/>
                <w:szCs w:val="19"/>
              </w:rPr>
              <w:t xml:space="preserve">Insight Communication</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Business writing, tables</w:t>
            </w:r>
          </w:p>
        </w:tc>
        <w:tc>
          <w:tcPr>
            <w:tcW w:type="dxa" w:w="2800"/>
            <w:tcBorders>
              <w:top w:val="single" w:color="CCCCCC" w:sz="1"/>
              <w:left w:val="single" w:color="CCCCCC" w:sz="1"/>
              <w:bottom w:val="single" w:color="CCCCCC" w:sz="1"/>
              <w:right w:val="single" w:color="CCCCCC" w:sz="1"/>
            </w:tcBorders>
            <w:shd w:fill="EFF7F2" w:val="clear"/>
            <w:tcMar>
              <w:top w:type="dxa" w:w="80"/>
              <w:left w:type="dxa" w:w="120"/>
              <w:bottom w:type="dxa" w:w="80"/>
              <w:right w:type="dxa" w:w="80"/>
            </w:tcMar>
          </w:tcPr>
          <w:p>
            <w:r>
              <w:rPr>
                <w:rFonts w:ascii="Calibri" w:cs="Calibri" w:eastAsia="Calibri" w:hAnsi="Calibri"/>
                <w:b w:val="false"/>
                <w:bCs w:val="false"/>
                <w:color w:val="333333"/>
                <w:sz w:val="19"/>
                <w:szCs w:val="19"/>
              </w:rPr>
              <w:t xml:space="preserve">This report — translating analysis to operational decisions</w:t>
            </w:r>
          </w:p>
        </w:tc>
      </w:tr>
    </w:tbl>
    <w:p>
      <w:pPr>
        <w:spacing w:after="60"/>
      </w:pPr>
      <w:r>
        <w:rPr>
          <w:sz w:val="10"/>
          <w:szCs w:val="10"/>
        </w:rPr>
        <w:t xml:space="preserve"/>
      </w:r>
    </w:p>
    <w:p>
      <w:pPr>
        <w:spacing w:after="60"/>
      </w:pPr>
      <w:r>
        <w:rPr>
          <w:sz w:val="10"/>
          <w:szCs w:val="10"/>
        </w:rPr>
        <w:t xml:space="preserve"/>
      </w:r>
    </w:p>
    <w:p>
      <w:pPr>
        <w:spacing w:after="100"/>
      </w:pPr>
      <w:r>
        <w:rPr>
          <w:rFonts w:ascii="Calibri" w:cs="Calibri" w:eastAsia="Calibri" w:hAnsi="Calibri"/>
          <w:b/>
          <w:bCs/>
          <w:color w:val="1A2E1A"/>
          <w:sz w:val="22"/>
          <w:szCs w:val="22"/>
        </w:rPr>
        <w:t xml:space="preserve">Portfolio deliverables included with this report:</w:t>
      </w:r>
    </w:p>
    <w:p>
      <w:pPr>
        <w:pStyle w:val="ListParagraph"/>
        <w:numPr>
          <w:ilvl w:val="0"/>
          <w:numId w:val="2"/>
        </w:numPr>
        <w:spacing w:after="80"/>
      </w:pPr>
      <w:r>
        <w:rPr>
          <w:rFonts w:ascii="Calibri" w:cs="Calibri" w:eastAsia="Calibri" w:hAnsi="Calibri"/>
          <w:b w:val="false"/>
          <w:bCs w:val="false"/>
          <w:color w:val="333333"/>
          <w:sz w:val="21"/>
          <w:szCs w:val="21"/>
        </w:rPr>
        <w:t xml:space="preserve">agricultural_bi_dashboard.html — Interactive browser-based dashboard</w:t>
      </w:r>
    </w:p>
    <w:p>
      <w:pPr>
        <w:pStyle w:val="ListParagraph"/>
        <w:numPr>
          <w:ilvl w:val="0"/>
          <w:numId w:val="2"/>
        </w:numPr>
        <w:spacing w:after="80"/>
      </w:pPr>
      <w:r>
        <w:rPr>
          <w:rFonts w:ascii="Calibri" w:cs="Calibri" w:eastAsia="Calibri" w:hAnsi="Calibri"/>
          <w:b w:val="false"/>
          <w:bCs w:val="false"/>
          <w:color w:val="333333"/>
          <w:sz w:val="21"/>
          <w:szCs w:val="21"/>
        </w:rPr>
        <w:t xml:space="preserve">agro_statistical_analysis.py — Full Python analysis and forecasting pipeline</w:t>
      </w:r>
    </w:p>
    <w:p>
      <w:pPr>
        <w:pStyle w:val="ListParagraph"/>
        <w:numPr>
          <w:ilvl w:val="0"/>
          <w:numId w:val="2"/>
        </w:numPr>
        <w:spacing w:after="80"/>
      </w:pPr>
      <w:r>
        <w:rPr>
          <w:rFonts w:ascii="Calibri" w:cs="Calibri" w:eastAsia="Calibri" w:hAnsi="Calibri"/>
          <w:b w:val="false"/>
          <w:bCs w:val="false"/>
          <w:color w:val="333333"/>
          <w:sz w:val="21"/>
          <w:szCs w:val="21"/>
        </w:rPr>
        <w:t xml:space="preserve">agricultural_data_warehouse.sql — PostgreSQL schema, views, and analytical queries</w:t>
      </w:r>
    </w:p>
    <w:p>
      <w:pPr>
        <w:pStyle w:val="ListParagraph"/>
        <w:numPr>
          <w:ilvl w:val="0"/>
          <w:numId w:val="2"/>
        </w:numPr>
        <w:spacing w:after="80"/>
      </w:pPr>
      <w:r>
        <w:rPr>
          <w:rFonts w:ascii="Calibri" w:cs="Calibri" w:eastAsia="Calibri" w:hAnsi="Calibri"/>
          <w:b w:val="false"/>
          <w:bCs w:val="false"/>
          <w:color w:val="333333"/>
          <w:sz w:val="21"/>
          <w:szCs w:val="21"/>
        </w:rPr>
        <w:t xml:space="preserve">agricultural_statistical_analysis.png — Visualisation output from Python model</w:t>
      </w:r>
    </w:p>
    <w:p>
      <w:pPr>
        <w:pStyle w:val="ListParagraph"/>
        <w:numPr>
          <w:ilvl w:val="0"/>
          <w:numId w:val="2"/>
        </w:numPr>
        <w:spacing w:after="80"/>
      </w:pPr>
      <w:r>
        <w:rPr>
          <w:rFonts w:ascii="Calibri" w:cs="Calibri" w:eastAsia="Calibri" w:hAnsi="Calibri"/>
          <w:b w:val="false"/>
          <w:bCs w:val="false"/>
          <w:color w:val="333333"/>
          <w:sz w:val="21"/>
          <w:szCs w:val="21"/>
        </w:rPr>
        <w:t xml:space="preserve">monthly_kpi_export.csv — Power BI / Tableau-ready data export</w:t>
      </w:r>
    </w:p>
    <w:p>
      <w:pPr>
        <w:pStyle w:val="ListParagraph"/>
        <w:numPr>
          <w:ilvl w:val="0"/>
          <w:numId w:val="2"/>
        </w:numPr>
        <w:spacing w:after="80"/>
      </w:pPr>
      <w:r>
        <w:rPr>
          <w:rFonts w:ascii="Calibri" w:cs="Calibri" w:eastAsia="Calibri" w:hAnsi="Calibri"/>
          <w:b w:val="false"/>
          <w:bCs w:val="false"/>
          <w:color w:val="333333"/>
          <w:sz w:val="21"/>
          <w:szCs w:val="21"/>
        </w:rPr>
        <w:t xml:space="preserve">q2_2025_forecast.csv — Forecast output with confidence intervals</w:t>
      </w:r>
    </w:p>
    <w:p>
      <w:pPr>
        <w:spacing w:after="60"/>
      </w:pPr>
      <w:r>
        <w:rPr>
          <w:sz w:val="10"/>
          <w:szCs w:val="10"/>
        </w:rPr>
        <w:t xml:space="preserve"/>
      </w:r>
    </w:p>
    <w:p>
      <w:pPr>
        <w:spacing w:after="60"/>
      </w:pPr>
      <w:r>
        <w:rPr>
          <w:sz w:val="10"/>
          <w:szCs w:val="10"/>
        </w:rPr>
        <w:t xml:space="preserve"/>
      </w:r>
    </w:p>
    <w:p>
      <w:pPr>
        <w:spacing w:before="200"/>
        <w:jc w:val="center"/>
      </w:pPr>
      <w:r>
        <w:rPr>
          <w:rFonts w:ascii="Calibri" w:cs="Calibri" w:eastAsia="Calibri" w:hAnsi="Calibri"/>
          <w:i/>
          <w:iCs/>
          <w:color w:val="888888"/>
          <w:sz w:val="19"/>
          <w:szCs w:val="19"/>
        </w:rPr>
        <w:t xml:space="preserve">All code, models, and analysis were produced independently as a technical portfolio demonstration.</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7D" w:sz="4" w:space="4"/>
      </w:pBdr>
      <w:jc w:val="right"/>
    </w:pPr>
    <w:r>
      <w:rPr>
        <w:rFonts w:ascii="Calibri" w:cs="Calibri" w:eastAsia="Calibri" w:hAnsi="Calibri"/>
        <w:color w:val="888888"/>
        <w:sz w:val="16"/>
        <w:szCs w:val="16"/>
      </w:rPr>
      <w:t xml:space="preserve">Confidential — Portfolio Submission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7D" w:sz="4" w:space="6"/>
      </w:pBdr>
      <w:spacing w:after="80"/>
    </w:pPr>
    <w:r>
      <w:rPr>
        <w:rFonts w:ascii="Calibri" w:cs="Calibri" w:eastAsia="Calibri" w:hAnsi="Calibri"/>
        <w:color w:val="888888"/>
        <w:sz w:val="16"/>
        <w:szCs w:val="16"/>
      </w:rPr>
      <w:t xml:space="preserve">PORTFOLIO PROJECT  |  Agricultural BI &amp; Data Analytics  |  Workforce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Georgia" w:cs="Georgia" w:eastAsia="Georgia" w:hAnsi="Georgia"/>
      <w:b/>
      <w:bCs/>
      <w:color w:val="1A2E1A"/>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D7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2026-05-03T18:09:36.565Z</dcterms:created>
  <dcterms:modified xsi:type="dcterms:W3CDTF">2026-05-03T18:09:36.566Z</dcterms:modified>
</cp:coreProperties>
</file>

<file path=docProps/custom.xml><?xml version="1.0" encoding="utf-8"?>
<Properties xmlns="http://schemas.openxmlformats.org/officeDocument/2006/custom-properties" xmlns:vt="http://schemas.openxmlformats.org/officeDocument/2006/docPropsVTypes"/>
</file>