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B2B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 Demographics - Target Users &amp; Buyers Worksheet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object w:dxaOrig="4118" w:dyaOrig="1295">
          <v:rect xmlns:o="urn:schemas-microsoft-com:office:office" xmlns:v="urn:schemas-microsoft-com:vml" id="rectole0000000000" style="width:205.900000pt;height:6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24"/>
          <w:shd w:fill="auto" w:val="clear"/>
        </w:rPr>
        <w:t xml:space="preserve">Company Demographics: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age/stage (new, growing, mature):   New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employees range:  0-10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infrastructure (privately held, gov’t, publicly traded):   Privately held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Geographic area/region:   Columbus Metropolitan Area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office locations/sites:   1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Annual revenue range:  $250.000 (Proposal)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budget range:  200.000  (Proposal)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24"/>
          <w:shd w:fill="auto" w:val="clear"/>
        </w:rPr>
        <w:t xml:space="preserve">Company Industry Details: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 type (retail, manufacturing, medical, etc.):   Transportation - last mile delivery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companies in this industry sector:   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or services offered:   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market/s (who are their customers):   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are their suppliers:   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are their business/strategic partners:   </w:t>
      </w: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  <w:tab w:val="left" w:pos="450" w:leader="none"/>
        </w:tabs>
        <w:spacing w:before="0" w:after="24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departments/titles, makes the buying decisions:  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