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Provenance-labelled physical climate-risk evidence: a declaration standard for sustainable-finance due diligence</w:t>
      </w:r>
    </w:p>
    <w:p>
      <w:pPr>
        <w:pStyle w:val="BodyText"/>
      </w:pPr>
      <w:r>
        <w:rPr>
          <w:b/>
          <w:bCs/>
        </w:rPr>
        <w:t xml:space="preserve">Article type:</w:t>
      </w:r>
      <w:r>
        <w:t xml:space="preserve"> </w:t>
      </w:r>
      <w:r>
        <w:t xml:space="preserve">Analysis</w:t>
      </w:r>
    </w:p>
    <w:p>
      <w:pPr>
        <w:pStyle w:val="BodyText"/>
      </w:pPr>
      <w:r>
        <w:rPr>
          <w:b/>
          <w:bCs/>
        </w:rPr>
        <w:t xml:space="preserve">Author:</w:t>
      </w:r>
      <w:r>
        <w:t xml:space="preserve"> </w:t>
      </w:r>
      <w:r>
        <w:t xml:space="preserve">Motaz Omarien</w:t>
      </w:r>
    </w:p>
    <w:p>
      <w:pPr>
        <w:pStyle w:val="BodyText"/>
      </w:pPr>
      <w:r>
        <w:rPr>
          <w:b/>
          <w:bCs/>
        </w:rPr>
        <w:t xml:space="preserve">Affiliation:</w:t>
      </w:r>
      <w:r>
        <w:t xml:space="preserve"> </w:t>
      </w:r>
      <w:r>
        <w:t xml:space="preserve">Talaix, Luxembourg</w:t>
      </w:r>
    </w:p>
    <w:p>
      <w:pPr>
        <w:pStyle w:val="BodyText"/>
      </w:pPr>
      <w:r>
        <w:rPr>
          <w:b/>
          <w:bCs/>
        </w:rPr>
        <w:t xml:space="preserve">Corresponding author:</w:t>
      </w:r>
      <w:r>
        <w:t xml:space="preserve"> </w:t>
      </w:r>
      <w:r>
        <w:t xml:space="preserve">Motaz Omarien — motaz3d@gmail.com | talaix.com</w:t>
      </w:r>
    </w:p>
    <w:p>
      <w:pPr>
        <w:pStyle w:val="BodyText"/>
      </w:pPr>
      <w:r>
        <w:rPr>
          <w:b/>
          <w:bCs/>
        </w:rPr>
        <w:t xml:space="preserve">ORCID:</w:t>
      </w:r>
      <w:r>
        <w:t xml:space="preserve"> </w:t>
      </w:r>
      <w:r>
        <w:t xml:space="preserve">0009-0000-9260-4925 (https://orcid.org/0009-0000-9260-4925)</w:t>
      </w:r>
    </w:p>
    <w:p>
      <w:pPr>
        <w:pStyle w:val="BodyText"/>
      </w:pPr>
      <w:r>
        <w:rPr>
          <w:b/>
          <w:bCs/>
        </w:rPr>
        <w:t xml:space="preserve">Notes on contributor:</w:t>
      </w:r>
      <w:r>
        <w:t xml:space="preserve"> </w:t>
      </w:r>
      <w:r>
        <w:t xml:space="preserve">Motaz Omarien is the founder of Talaix, a Luxembourg-based technology team working on earth observation and environmental risk for financial decision intelligence.</w:t>
      </w:r>
    </w:p>
    <w:p>
      <w:pPr>
        <w:pStyle w:val="BodyText"/>
      </w:pPr>
      <w:r>
        <w:rPr>
          <w:b/>
          <w:bCs/>
        </w:rPr>
        <w:t xml:space="preserve">Word count:</w:t>
      </w:r>
      <w:r>
        <w:t xml:space="preserve"> </w:t>
      </w:r>
      <w:r>
        <w:t xml:space="preserve">approximately 2,900 words including abstract, tables and captions.</w:t>
      </w:r>
    </w:p>
    <w:p>
      <w:r>
        <w:pict>
          <v:rect style="width:0;height:1.5pt" o:hralign="center" o:hrstd="t" o:hr="t"/>
        </w:pict>
      </w:r>
    </w:p>
    <w:bookmarkEnd w:id="9"/>
    <w:bookmarkStart w:id="24" w:name="manuscript"/>
    <w:p>
      <w:pPr>
        <w:pStyle w:val="Heading1"/>
      </w:pPr>
      <w:r>
        <w:t xml:space="preserve">MANUSCRIPT</w:t>
      </w:r>
    </w:p>
    <w:bookmarkStart w:id="10" w:name="abstract"/>
    <w:p>
      <w:pPr>
        <w:pStyle w:val="Heading2"/>
      </w:pPr>
      <w:r>
        <w:t xml:space="preserve">Abstract</w:t>
      </w:r>
    </w:p>
    <w:p>
      <w:pPr>
        <w:pStyle w:val="FirstParagraph"/>
      </w:pPr>
      <w:r>
        <w:t xml:space="preserve">Wherever physical evidence enters the sustainable-finance due-diligence chain — green-bond asset screening, sustainability-linked lending tied to physical-exposure targets, EU Taxonomy alignment claims — decisions rest on assessments of hazard exposure for individual assets. The EU’s disclosure architecture increasingly specifies how such assessments must be described, yet establishes no standard vocabulary for declaring the evidential status of the inputs themselves. This article argues that physical climate-risk evidence needs a declaration standard, and presents one drawn from production practice: three conceptually distinct dimensions — evidential provenance (observed, documented, reported, modelled, inferred, unknown), temporal status, and quality metadata — with an explicit composition rule and a published record schema. We map declaration patterns onto due-diligence actions for three instrument families, state the standard’s limits, and propose how investors, preparers and standard-setters can adopt it without prescribing any vendor or model.</w:t>
      </w:r>
    </w:p>
    <w:p>
      <w:pPr>
        <w:pStyle w:val="BodyText"/>
      </w:pPr>
      <w:r>
        <w:rPr>
          <w:b/>
          <w:bCs/>
        </w:rPr>
        <w:t xml:space="preserve">Keywords:</w:t>
      </w:r>
      <w:r>
        <w:t xml:space="preserve"> </w:t>
      </w:r>
      <w:r>
        <w:t xml:space="preserve">sustainable finance; physical climate risk; climate disclosure; EU Taxonomy; CSRD; data provenance; evidence classification</w:t>
      </w:r>
    </w:p>
    <w:bookmarkEnd w:id="10"/>
    <w:bookmarkStart w:id="11" w:name="Xbcaf4c18c2eda77f1f0e39a278e84eb8e81774f"/>
    <w:p>
      <w:pPr>
        <w:pStyle w:val="Heading2"/>
      </w:pPr>
      <w:r>
        <w:t xml:space="preserve">1. A number borrowing authority it has not earned</w:t>
      </w:r>
    </w:p>
    <w:p>
      <w:pPr>
        <w:pStyle w:val="FirstParagraph"/>
      </w:pPr>
      <w:r>
        <w:t xml:space="preserve">Every sustainable-finance decision of consequence now depends, somewhere down the chain, on a physical fact about the world: whether a substation floods, whether a mortgage portfolio sits in a wildfire corridor, whether a borrower’s collateral will face chronic water stress over the life of the loan. Institutional investors report treating such climate risks as material (Krueger, Sautner, and Starks 2020); measuring corporate exposure is an active methodological frontier (Li et al. 2024); and the mechanisms by which investors can have real-world impact all presuppose information counterparties can rely on (Kölbel et al. 2020). Regulation has made the dependence structural: the EU Taxonomy’s climate-adaptation criteria, the Corporate Sustainability Reporting Directive (CSRD) and the Article 8 disclosure regime each make physical climate-risk assessment a condition or content of disclosure (Section 2, primary sources). How investors use the resulting disclosures is itself an active research area (Cohen, Kadach, and Ormazábal 2023).</w:t>
      </w:r>
    </w:p>
    <w:p>
      <w:pPr>
        <w:pStyle w:val="BodyText"/>
      </w:pPr>
      <w:r>
        <w:t xml:space="preserve">Yet the evidence behind those assessments circulates without a declared origin. A satellite measurement of vegetation moisture, a reanalysis-derived drought indicator, a crowdsourced building footprint and a modelled 2050 scenario can appear in the same assessment, on the same page, with the same visual authority. Downstream — a bond investor, a loan officer, an assurance provider — nobody can tell an observed fact from a modelled estimate, or an estimate from an absence filled in quietly. Each number borrows authority it has not earned.</w:t>
      </w:r>
    </w:p>
    <w:p>
      <w:pPr>
        <w:pStyle w:val="BodyText"/>
      </w:pPr>
      <w:r>
        <w:t xml:space="preserve">The cost is visible in the market’s own information products. ESG ratings diverge substantially from agency to agency, and the divergence traces in large part to differences in scope, measurement and weighting rather than to disagreement about underlying facts (Berg, Kölbel, and Rigobon 2022). If synthesised ratings cannot be reconciled because their inputs are opaque, the same opacity afflicts, with less scrutiny, the physical-risk inputs beneath sustainable-finance instruments: when two vendors give different answers for the same asset, a diligent investor has no standard way to ask</w:t>
      </w:r>
      <w:r>
        <w:t xml:space="preserve"> </w:t>
      </w:r>
      <w:r>
        <w:rPr>
          <w:i/>
          <w:iCs/>
        </w:rPr>
        <w:t xml:space="preserve">what kind of evidence each answer is</w:t>
      </w:r>
      <w:r>
        <w:t xml:space="preserve">.</w:t>
      </w:r>
    </w:p>
    <w:p>
      <w:pPr>
        <w:pStyle w:val="BodyText"/>
      </w:pPr>
      <w:r>
        <w:t xml:space="preserve">This article argues that physical climate-risk evidence needs a declaration standard — an explicit, compact statement of what each piece of evidence</w:t>
      </w:r>
      <w:r>
        <w:t xml:space="preserve"> </w:t>
      </w:r>
      <w:r>
        <w:rPr>
          <w:i/>
          <w:iCs/>
        </w:rPr>
        <w:t xml:space="preserve">is</w:t>
      </w:r>
      <w:r>
        <w:t xml:space="preserve"> </w:t>
      </w:r>
      <w:r>
        <w:t xml:space="preserve">— and presents one that is operational today. The claim is modest: declaration does not make evidence true. But without it, nothing downstream can be checked, compared or audited.</w:t>
      </w:r>
    </w:p>
    <w:bookmarkEnd w:id="11"/>
    <w:bookmarkStart w:id="12" w:name="Xe0becea84f66cf3f3cf2ba2a30a2cf6f6f7d650"/>
    <w:p>
      <w:pPr>
        <w:pStyle w:val="Heading2"/>
      </w:pPr>
      <w:r>
        <w:t xml:space="preserve">2. What the regulator requires — and what remains unspecified</w:t>
      </w:r>
    </w:p>
    <w:p>
      <w:pPr>
        <w:pStyle w:val="FirstParagraph"/>
      </w:pPr>
      <w:r>
        <w:t xml:space="preserve">Three pillars of the EU sustainable-finance acquis create the demand for physical climate-risk evidence — reinforced by supervisory concern over climate-related financial stability (Battiston, Dafermos, and Monasterolo 2021; Campiglio et al. 2018).</w:t>
      </w:r>
    </w:p>
    <w:p>
      <w:pPr>
        <w:pStyle w:val="BodyText"/>
      </w:pPr>
      <w:r>
        <w:rPr>
          <w:b/>
          <w:bCs/>
        </w:rPr>
        <w:t xml:space="preserve">The EU Taxonomy’s climate-adaptation test.</w:t>
      </w:r>
      <w:r>
        <w:t xml:space="preserve"> </w:t>
      </w:r>
      <w:r>
        <w:t xml:space="preserve">Regulation (EU) 2020/852 makes environmental sustainability conditional on doing no significant harm, and the Climate Delegated Act, Commission Delegated Regulation (EU) 2021/2139, operationalises the adaptation limb in Appendix A: hazards classified as chronic and acute, with a requirement to assess the activity’s</w:t>
      </w:r>
      <w:r>
        <w:t xml:space="preserve"> </w:t>
      </w:r>
      <w:r>
        <w:rPr>
          <w:i/>
          <w:iCs/>
        </w:rPr>
        <w:t xml:space="preserve">material</w:t>
      </w:r>
      <w:r>
        <w:t xml:space="preserve"> </w:t>
      </w:r>
      <w:r>
        <w:t xml:space="preserve">physical climate risks over its expected lifetime, using state-of-the-art climate projections where relevant, and to implement adaptation solutions where material risks exist.</w:t>
      </w:r>
    </w:p>
    <w:p>
      <w:pPr>
        <w:pStyle w:val="BodyText"/>
      </w:pPr>
      <w:r>
        <w:rPr>
          <w:b/>
          <w:bCs/>
        </w:rPr>
        <w:t xml:space="preserve">The CSRD and ESRS.</w:t>
      </w:r>
      <w:r>
        <w:t xml:space="preserve"> </w:t>
      </w:r>
      <w:r>
        <w:t xml:space="preserve">Directive (EU) 2022/2464 extended mandatory sustainability reporting, with content specified in the European Sustainability Reporting Standards adopted by Commission Delegated Regulation (EU) 2023/2772; ESRS E1 requires undertakings to identify and disclose material climate-related physical risks and their anticipated financial effects.</w:t>
      </w:r>
    </w:p>
    <w:p>
      <w:pPr>
        <w:pStyle w:val="BodyText"/>
      </w:pPr>
      <w:r>
        <w:rPr>
          <w:b/>
          <w:bCs/>
        </w:rPr>
        <w:t xml:space="preserve">The Article 8 regime.</w:t>
      </w:r>
      <w:r>
        <w:t xml:space="preserve"> </w:t>
      </w:r>
      <w:r>
        <w:t xml:space="preserve">Commission Delegated Regulation (EU) 2021/2178 specifies the KPIs through which undertakings disclose Taxonomy alignment; for banks this feeds the Green Asset Ratio.</w:t>
      </w:r>
    </w:p>
    <w:p>
      <w:pPr>
        <w:pStyle w:val="BodyText"/>
      </w:pPr>
      <w:r>
        <w:rPr>
          <w:b/>
          <w:bCs/>
        </w:rPr>
        <w:t xml:space="preserve">A precise diagnosis.</w:t>
      </w:r>
      <w:r>
        <w:t xml:space="preserve"> </w:t>
      </w:r>
      <w:r>
        <w:t xml:space="preserve">It would be inaccurate to claim this architecture ignores assessment evidence. ESRS E1 reaches further into methodology than is often recognised: undertakings must describe the process used to identify and assess physical risks (¶20(b)), including hazard identification, time horizons, and exposure and sensitivity assessment taking into account the</w:t>
      </w:r>
      <w:r>
        <w:t xml:space="preserve"> </w:t>
      </w:r>
      <w:r>
        <w:rPr>
          <w:i/>
          <w:iCs/>
        </w:rPr>
        <w:t xml:space="preserve">geospatial coordinates</w:t>
      </w:r>
      <w:r>
        <w:t xml:space="preserve"> </w:t>
      </w:r>
      <w:r>
        <w:t xml:space="preserve">of their locations and supply chains (AR 11); the resilience analysis must describe the use of climate scenario analysis (¶19(b)), disclosing</w:t>
      </w:r>
      <w:r>
        <w:t xml:space="preserve"> </w:t>
      </w:r>
      <w:r>
        <w:rPr>
          <w:i/>
          <w:iCs/>
        </w:rPr>
        <w:t xml:space="preserve">which scenarios, their sources and alignment with state-of-the-art science</w:t>
      </w:r>
      <w:r>
        <w:t xml:space="preserve">, and their</w:t>
      </w:r>
      <w:r>
        <w:t xml:space="preserve"> </w:t>
      </w:r>
      <w:r>
        <w:rPr>
          <w:i/>
          <w:iCs/>
        </w:rPr>
        <w:t xml:space="preserve">key inputs and constraints — including the level of detail, e.g. geospatial coordinates versus national- or regional-level broad data</w:t>
      </w:r>
      <w:r>
        <w:t xml:space="preserve"> </w:t>
      </w:r>
      <w:r>
        <w:t xml:space="preserve">(AR 13); AR 14 points to recognised guidance (TCFD, ISO 14091, NGFS). ESRS 1 defines the time horizons (¶77); E1-9 requires the location of significant assets at material physical risk (¶66(c)).</w:t>
      </w:r>
    </w:p>
    <w:p>
      <w:pPr>
        <w:pStyle w:val="BodyText"/>
      </w:pPr>
      <w:r>
        <w:t xml:space="preserve">What this architecture still does</w:t>
      </w:r>
      <w:r>
        <w:t xml:space="preserve"> </w:t>
      </w:r>
      <w:r>
        <w:rPr>
          <w:b/>
          <w:bCs/>
        </w:rPr>
        <w:t xml:space="preserve">not</w:t>
      </w:r>
      <w:r>
        <w:t xml:space="preserve"> </w:t>
      </w:r>
      <w:r>
        <w:t xml:space="preserve">establish is a</w:t>
      </w:r>
      <w:r>
        <w:t xml:space="preserve"> </w:t>
      </w:r>
      <w:r>
        <w:rPr>
          <w:i/>
          <w:iCs/>
        </w:rPr>
        <w:t xml:space="preserve">declaration standard for the evidential status of individual inputs</w:t>
      </w:r>
      <w:r>
        <w:t xml:space="preserve">. ESRS E1 requires disclosure of the assessment</w:t>
      </w:r>
      <w:r>
        <w:t xml:space="preserve"> </w:t>
      </w:r>
      <w:r>
        <w:rPr>
          <w:i/>
          <w:iCs/>
        </w:rPr>
        <w:t xml:space="preserve">process</w:t>
      </w:r>
      <w:r>
        <w:t xml:space="preserve"> </w:t>
      </w:r>
      <w:r>
        <w:t xml:space="preserve">and of scenario</w:t>
      </w:r>
      <w:r>
        <w:t xml:space="preserve"> </w:t>
      </w:r>
      <w:r>
        <w:rPr>
          <w:i/>
          <w:iCs/>
        </w:rPr>
        <w:t xml:space="preserve">sources</w:t>
      </w:r>
      <w:r>
        <w:t xml:space="preserve">; it does not require each input entering an assessment — a satellite acquisition, a reanalysis field, a crowdsourced footprint, a rejected dataset — to carry a declared evidential class, nor does it define such classes. An alignment claim can still rest on observed data in one institution and on an unlabelled model output in another, indistinguishably in the reported ratio; assurance providers must reconstruct input provenance case by case; and preparers have no shared vocabulary for the honest answer —</w:t>
      </w:r>
      <w:r>
        <w:t xml:space="preserve"> </w:t>
      </w:r>
      <w:r>
        <w:t xml:space="preserve">“we do not know”</w:t>
      </w:r>
      <w:r>
        <w:t xml:space="preserve"> </w:t>
      </w:r>
      <w:r>
        <w:t xml:space="preserve">— which the current grammar treats as failure rather than as information.</w:t>
      </w:r>
    </w:p>
    <w:p>
      <w:pPr>
        <w:pStyle w:val="BodyText"/>
      </w:pPr>
      <w:r>
        <w:rPr>
          <w:b/>
          <w:bCs/>
        </w:rPr>
        <w:t xml:space="preserve">Regulatory status at the time of writing (checked 2026-09-06).</w:t>
      </w:r>
      <w:r>
        <w:t xml:space="preserve"> </w:t>
      </w:r>
      <w:r>
        <w:t xml:space="preserve">The acquis is in motion: Directive (EU) 2025/794 deferred the CSRD’s second and third waves by two years; Directive (EU) 2026/470, in force since 18 March 2026, narrows the scope of mandatory sustainability reporting to undertakings with more than 1,000 employees and net turnover above EUR 450 million; Commission Delegated Regulation (EU) 2025/1416 postponed certain ESRS requirements, including phase-in relief for E1-9; and on 3 July 2026 the Commission adopted delegated acts revising the ESRS and introducing a voluntary standard for smaller undertakings (C(2026) 5010), which at the time of writing remain under parliamentary scrutiny and have not yet been assigned Official Journal numbers. None of these amendments introduces an evidence-provenance declaration standard; the gap diagnosed here is unchanged by them. All regulatory citations should be re-checked against EUR-Lex at submission.</w:t>
      </w:r>
    </w:p>
    <w:bookmarkEnd w:id="12"/>
    <w:bookmarkStart w:id="13" w:name="Xc0f1aa354a4b9c068277807947301d362d95f68"/>
    <w:p>
      <w:pPr>
        <w:pStyle w:val="Heading2"/>
      </w:pPr>
      <w:r>
        <w:t xml:space="preserve">3. The declaration standard: three dimensions and a composition rule</w:t>
      </w:r>
    </w:p>
    <w:p>
      <w:pPr>
        <w:pStyle w:val="FirstParagraph"/>
      </w:pPr>
      <w:r>
        <w:t xml:space="preserve">The standard’s first discipline is to separate three questions that are routinely conflated.</w:t>
      </w:r>
      <w:r>
        <w:t xml:space="preserve"> </w:t>
      </w:r>
      <w:r>
        <w:rPr>
          <w:i/>
          <w:iCs/>
        </w:rPr>
        <w:t xml:space="preserve">What kind of evidence is this?</w:t>
      </w:r>
      <w:r>
        <w:t xml:space="preserve"> </w:t>
      </w:r>
      <w:r>
        <w:t xml:space="preserve">(provenance) is not</w:t>
      </w:r>
      <w:r>
        <w:t xml:space="preserve"> </w:t>
      </w:r>
      <w:r>
        <w:rPr>
          <w:i/>
          <w:iCs/>
        </w:rPr>
        <w:t xml:space="preserve">when does the statement hold?</w:t>
      </w:r>
      <w:r>
        <w:t xml:space="preserve"> </w:t>
      </w:r>
      <w:r>
        <w:t xml:space="preserve">(temporal status), and neither is</w:t>
      </w:r>
      <w:r>
        <w:t xml:space="preserve"> </w:t>
      </w:r>
      <w:r>
        <w:rPr>
          <w:i/>
          <w:iCs/>
        </w:rPr>
        <w:t xml:space="preserve">how good is it?</w:t>
      </w:r>
      <w:r>
        <w:t xml:space="preserve"> </w:t>
      </w:r>
      <w:r>
        <w:t xml:space="preserve">(quality). The dimensions are conceptually distinct — not statistically independent in practice — and the standard claims no more than the separation: what breaks audits is the conflation, such as an old measurement presented as current, a scenario presented as an observation, or a high-resolution model quoted as if it were a measurement.</w:t>
      </w:r>
    </w:p>
    <w:p>
      <w:pPr>
        <w:pStyle w:val="BodyText"/>
      </w:pPr>
      <w:r>
        <w:rPr>
          <w:b/>
          <w:bCs/>
        </w:rPr>
        <w:t xml:space="preserve">Dimension A — evidential provenance.</w:t>
      </w:r>
      <w:r>
        <w:t xml:space="preserve"> </w:t>
      </w:r>
      <w:r>
        <w:t xml:space="preserve">Six classes, each defined by</w:t>
      </w:r>
      <w:r>
        <w:t xml:space="preserve"> </w:t>
      </w:r>
      <w:r>
        <w:rPr>
          <w:i/>
          <w:iCs/>
        </w:rPr>
        <w:t xml:space="preserve">the process that produced the item</w:t>
      </w:r>
      <w:r>
        <w:t xml:space="preserve"> </w:t>
      </w:r>
      <w:r>
        <w:t xml:space="preserve">(Table 1). The closest published work — the EO-data taxonomy of Rapach et al. (2024) — classifies data by</w:t>
      </w:r>
      <w:r>
        <w:t xml:space="preserve"> </w:t>
      </w:r>
      <w:r>
        <w:rPr>
          <w:i/>
          <w:iCs/>
        </w:rPr>
        <w:t xml:space="preserve">what they can measure</w:t>
      </w:r>
      <w:r>
        <w:t xml:space="preserve">; this dimension classifies evidence by</w:t>
      </w:r>
      <w:r>
        <w:t xml:space="preserve"> </w:t>
      </w:r>
      <w:r>
        <w:rPr>
          <w:i/>
          <w:iCs/>
        </w:rPr>
        <w:t xml:space="preserve">what it is</w:t>
      </w:r>
      <w:r>
        <w:t xml:space="preserve">, and the two compose: the same satellite-derived indicator may be</w:t>
      </w:r>
      <w:r>
        <w:t xml:space="preserve"> </w:t>
      </w:r>
      <w:r>
        <w:rPr>
          <w:i/>
          <w:iCs/>
        </w:rPr>
        <w:t xml:space="preserve">observed</w:t>
      </w:r>
      <w:r>
        <w:t xml:space="preserve"> </w:t>
      </w:r>
      <w:r>
        <w:t xml:space="preserve">(a dated acquisition),</w:t>
      </w:r>
      <w:r>
        <w:t xml:space="preserve"> </w:t>
      </w:r>
      <w:r>
        <w:rPr>
          <w:i/>
          <w:iCs/>
        </w:rPr>
        <w:t xml:space="preserve">modelled</w:t>
      </w:r>
      <w:r>
        <w:t xml:space="preserve"> </w:t>
      </w:r>
      <w:r>
        <w:t xml:space="preserve">(a reanalysis index) or</w:t>
      </w:r>
      <w:r>
        <w:t xml:space="preserve"> </w:t>
      </w:r>
      <w:r>
        <w:rPr>
          <w:i/>
          <w:iCs/>
        </w:rPr>
        <w:t xml:space="preserve">inferred</w:t>
      </w:r>
      <w:r>
        <w:t xml:space="preserve"> </w:t>
      </w:r>
      <w:r>
        <w:t xml:space="preserve">(an ML estimate), and the difference is decision-relevant. Earth-observation-derived evidence is observational evidence, not</w:t>
      </w:r>
      <w:r>
        <w:t xml:space="preserve"> </w:t>
      </w:r>
      <w:r>
        <w:t xml:space="preserve">“ground truth”</w:t>
      </w:r>
      <w:r>
        <w:t xml:space="preserve">.</w:t>
      </w:r>
      <w:r>
        <w:t xml:space="preserve"> </w:t>
      </w:r>
      <w:r>
        <w:rPr>
          <w:i/>
          <w:iCs/>
        </w:rPr>
        <w:t xml:space="preserve">Unknown</w:t>
      </w:r>
      <w:r>
        <w:t xml:space="preserve"> </w:t>
      </w:r>
      <w:r>
        <w:t xml:space="preserve">— the declared absence, including sources evaluated and rejected with reasons — is an answer, not a failure state; often the most decision-relevant one.</w:t>
      </w:r>
    </w:p>
    <w:p>
      <w:pPr>
        <w:pStyle w:val="BodyText"/>
      </w:pPr>
      <w:r>
        <w:rPr>
          <w:b/>
          <w:bCs/>
        </w:rPr>
        <w:t xml:space="preserve">Table 1 — Evidence classes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Defined by</w:t>
            </w:r>
          </w:p>
        </w:tc>
        <w:tc>
          <w:tcPr/>
          <w:p>
            <w:pPr>
              <w:pStyle w:val="Compact"/>
            </w:pPr>
            <w:r>
              <w:t xml:space="preserve">The due-diligence question it answers</w:t>
            </w:r>
          </w:p>
        </w:tc>
      </w:tr>
      <w:tr>
        <w:tc>
          <w:tcPr/>
          <w:p>
            <w:pPr>
              <w:pStyle w:val="Compact"/>
            </w:pPr>
            <w:r>
              <w:t xml:space="preserve">Observed</w:t>
            </w:r>
          </w:p>
        </w:tc>
        <w:tc>
          <w:tcPr/>
          <w:p>
            <w:pPr>
              <w:pStyle w:val="Compact"/>
            </w:pPr>
            <w:r>
              <w:t xml:space="preserve">Direct instrument measurement</w:t>
            </w:r>
          </w:p>
        </w:tc>
        <w:tc>
          <w:tcPr/>
          <w:p>
            <w:pPr>
              <w:pStyle w:val="Compact"/>
            </w:pPr>
            <w:r>
              <w:t xml:space="preserve">Was it measured?</w:t>
            </w:r>
          </w:p>
        </w:tc>
      </w:tr>
      <w:tr>
        <w:tc>
          <w:tcPr/>
          <w:p>
            <w:pPr>
              <w:pStyle w:val="Compact"/>
            </w:pPr>
            <w:r>
              <w:t xml:space="preserve">Documented</w:t>
            </w:r>
          </w:p>
        </w:tc>
        <w:tc>
          <w:tcPr/>
          <w:p>
            <w:pPr>
              <w:pStyle w:val="Compact"/>
            </w:pPr>
            <w:r>
              <w:t xml:space="preserve">Legal/institutional record (regulation, registry, published baseline)</w:t>
            </w:r>
          </w:p>
        </w:tc>
        <w:tc>
          <w:tcPr/>
          <w:p>
            <w:pPr>
              <w:pStyle w:val="Compact"/>
            </w:pPr>
            <w:r>
              <w:t xml:space="preserve">Is it on official record?</w:t>
            </w:r>
          </w:p>
        </w:tc>
      </w:tr>
      <w:tr>
        <w:tc>
          <w:tcPr/>
          <w:p>
            <w:pPr>
              <w:pStyle w:val="Compact"/>
            </w:pPr>
            <w:r>
              <w:t xml:space="preserve">Reported</w:t>
            </w:r>
          </w:p>
        </w:tc>
        <w:tc>
          <w:tcPr/>
          <w:p>
            <w:pPr>
              <w:pStyle w:val="Compact"/>
            </w:pPr>
            <w:r>
              <w:t xml:space="preserve">Third-party account (news, crowdsourced features)</w:t>
            </w:r>
          </w:p>
        </w:tc>
        <w:tc>
          <w:tcPr/>
          <w:p>
            <w:pPr>
              <w:pStyle w:val="Compact"/>
            </w:pPr>
            <w:r>
              <w:t xml:space="preserve">Is someone vouching for it?</w:t>
            </w:r>
          </w:p>
        </w:tc>
      </w:tr>
      <w:tr>
        <w:tc>
          <w:tcPr/>
          <w:p>
            <w:pPr>
              <w:pStyle w:val="Compact"/>
            </w:pPr>
            <w:r>
              <w:t xml:space="preserve">Modelled</w:t>
            </w:r>
          </w:p>
        </w:tc>
        <w:tc>
          <w:tcPr/>
          <w:p>
            <w:pPr>
              <w:pStyle w:val="Compact"/>
            </w:pPr>
            <w:r>
              <w:t xml:space="preserve">Scientific model output (e.g. reanalysis, hydrological discharge, wave models)</w:t>
            </w:r>
          </w:p>
        </w:tc>
        <w:tc>
          <w:tcPr/>
          <w:p>
            <w:pPr>
              <w:pStyle w:val="Compact"/>
            </w:pPr>
            <w:r>
              <w:t xml:space="preserve">Was it computed by a model?</w:t>
            </w:r>
          </w:p>
        </w:tc>
      </w:tr>
      <w:tr>
        <w:tc>
          <w:tcPr/>
          <w:p>
            <w:pPr>
              <w:pStyle w:val="Compact"/>
            </w:pPr>
            <w:r>
              <w:t xml:space="preserve">Inferred</w:t>
            </w:r>
          </w:p>
        </w:tc>
        <w:tc>
          <w:tcPr/>
          <w:p>
            <w:pPr>
              <w:pStyle w:val="Compact"/>
            </w:pPr>
            <w:r>
              <w:t xml:space="preserve">Estimation procedure incl. ML, uncertainty stated</w:t>
            </w:r>
          </w:p>
        </w:tc>
        <w:tc>
          <w:tcPr/>
          <w:p>
            <w:pPr>
              <w:pStyle w:val="Compact"/>
            </w:pPr>
            <w:r>
              <w:t xml:space="preserve">Was it estimated?</w:t>
            </w:r>
          </w:p>
        </w:tc>
      </w:tr>
      <w:tr>
        <w:tc>
          <w:tcPr/>
          <w:p>
            <w:pPr>
              <w:pStyle w:val="Compact"/>
            </w:pPr>
            <w:r>
              <w:t xml:space="preserve">Unknown</w:t>
            </w:r>
          </w:p>
        </w:tc>
        <w:tc>
          <w:tcPr/>
          <w:p>
            <w:pPr>
              <w:pStyle w:val="Compact"/>
            </w:pPr>
            <w:r>
              <w:t xml:space="preserve">Declared absence, with reasons</w:t>
            </w:r>
          </w:p>
        </w:tc>
        <w:tc>
          <w:tcPr/>
          <w:p>
            <w:pPr>
              <w:pStyle w:val="Compact"/>
            </w:pPr>
            <w:r>
              <w:t xml:space="preserve">Is the honest answer that nobody knows?</w:t>
            </w:r>
          </w:p>
        </w:tc>
      </w:tr>
    </w:tbl>
    <w:p>
      <w:pPr>
        <w:pStyle w:val="BodyText"/>
      </w:pPr>
      <w:r>
        <w:rPr>
          <w:b/>
          <w:bCs/>
        </w:rPr>
        <w:t xml:space="preserve">Dimension B — temporal status.</w:t>
      </w:r>
      <w:r>
        <w:t xml:space="preserve"> </w:t>
      </w:r>
      <w:r>
        <w:rPr>
          <w:i/>
          <w:iCs/>
        </w:rPr>
        <w:t xml:space="preserve">Current</w:t>
      </w:r>
      <w:r>
        <w:t xml:space="preserve"> </w:t>
      </w:r>
      <w:r>
        <w:t xml:space="preserve">(valid at assessment time),</w:t>
      </w:r>
      <w:r>
        <w:t xml:space="preserve"> </w:t>
      </w:r>
      <w:r>
        <w:rPr>
          <w:i/>
          <w:iCs/>
        </w:rPr>
        <w:t xml:space="preserve">historical</w:t>
      </w:r>
      <w:r>
        <w:t xml:space="preserve"> </w:t>
      </w:r>
      <w:r>
        <w:t xml:space="preserve">(reconstructed past),</w:t>
      </w:r>
      <w:r>
        <w:t xml:space="preserve"> </w:t>
      </w:r>
      <w:r>
        <w:rPr>
          <w:i/>
          <w:iCs/>
        </w:rPr>
        <w:t xml:space="preserve">forecast</w:t>
      </w:r>
      <w:r>
        <w:t xml:space="preserve"> </w:t>
      </w:r>
      <w:r>
        <w:t xml:space="preserve">(short-horizon run),</w:t>
      </w:r>
      <w:r>
        <w:t xml:space="preserve"> </w:t>
      </w:r>
      <w:r>
        <w:rPr>
          <w:i/>
          <w:iCs/>
        </w:rPr>
        <w:t xml:space="preserve">projection</w:t>
      </w:r>
      <w:r>
        <w:t xml:space="preserve"> </w:t>
      </w:r>
      <w:r>
        <w:t xml:space="preserve">(climate-projection horizon),</w:t>
      </w:r>
      <w:r>
        <w:t xml:space="preserve"> </w:t>
      </w:r>
      <w:r>
        <w:rPr>
          <w:i/>
          <w:iCs/>
        </w:rPr>
        <w:t xml:space="preserve">scenario</w:t>
      </w:r>
      <w:r>
        <w:t xml:space="preserve"> </w:t>
      </w:r>
      <w:r>
        <w:t xml:space="preserve">(computed what-if, always labelled, never blended with observations). Temporal status is the</w:t>
      </w:r>
      <w:r>
        <w:t xml:space="preserve"> </w:t>
      </w:r>
      <w:r>
        <w:rPr>
          <w:i/>
          <w:iCs/>
        </w:rPr>
        <w:t xml:space="preserve">statement’s</w:t>
      </w:r>
      <w:r>
        <w:t xml:space="preserve"> </w:t>
      </w:r>
      <w:r>
        <w:t xml:space="preserve">time reference, independent of production: a</w:t>
      </w:r>
      <w:r>
        <w:t xml:space="preserve"> </w:t>
      </w:r>
      <w:r>
        <w:rPr>
          <w:i/>
          <w:iCs/>
        </w:rPr>
        <w:t xml:space="preserve">modelled</w:t>
      </w:r>
      <w:r>
        <w:t xml:space="preserve"> </w:t>
      </w:r>
      <w:r>
        <w:t xml:space="preserve">reanalysis field for yesterday is</w:t>
      </w:r>
      <w:r>
        <w:t xml:space="preserve"> </w:t>
      </w:r>
      <w:r>
        <w:rPr>
          <w:i/>
          <w:iCs/>
        </w:rPr>
        <w:t xml:space="preserve">current</w:t>
      </w:r>
      <w:r>
        <w:t xml:space="preserve">; last year’s</w:t>
      </w:r>
      <w:r>
        <w:t xml:space="preserve"> </w:t>
      </w:r>
      <w:r>
        <w:rPr>
          <w:i/>
          <w:iCs/>
        </w:rPr>
        <w:t xml:space="preserve">observed</w:t>
      </w:r>
      <w:r>
        <w:t xml:space="preserve"> </w:t>
      </w:r>
      <w:r>
        <w:t xml:space="preserve">scene is</w:t>
      </w:r>
      <w:r>
        <w:t xml:space="preserve"> </w:t>
      </w:r>
      <w:r>
        <w:rPr>
          <w:i/>
          <w:iCs/>
        </w:rPr>
        <w:t xml:space="preserve">historical</w:t>
      </w:r>
      <w:r>
        <w:t xml:space="preserve"> </w:t>
      </w:r>
      <w:r>
        <w:t xml:space="preserve">for present purposes.</w:t>
      </w:r>
    </w:p>
    <w:p>
      <w:pPr>
        <w:pStyle w:val="BodyText"/>
      </w:pPr>
      <w:r>
        <w:rPr>
          <w:b/>
          <w:bCs/>
        </w:rPr>
        <w:t xml:space="preserve">Dimension C — quality metadata.</w:t>
      </w:r>
      <w:r>
        <w:t xml:space="preserve"> </w:t>
      </w:r>
      <w:r>
        <w:t xml:space="preserve">Per item:</w:t>
      </w:r>
      <w:r>
        <w:t xml:space="preserve"> </w:t>
      </w:r>
      <w:r>
        <w:rPr>
          <w:i/>
          <w:iCs/>
        </w:rPr>
        <w:t xml:space="preserve">uncertainty</w:t>
      </w:r>
      <w:r>
        <w:t xml:space="preserve">,</w:t>
      </w:r>
      <w:r>
        <w:t xml:space="preserve"> </w:t>
      </w:r>
      <w:r>
        <w:rPr>
          <w:i/>
          <w:iCs/>
        </w:rPr>
        <w:t xml:space="preserve">spatial and temporal resolution</w:t>
      </w:r>
      <w:r>
        <w:t xml:space="preserve">,</w:t>
      </w:r>
      <w:r>
        <w:t xml:space="preserve"> </w:t>
      </w:r>
      <w:r>
        <w:rPr>
          <w:i/>
          <w:iCs/>
        </w:rPr>
        <w:t xml:space="preserve">coverage</w:t>
      </w:r>
      <w:r>
        <w:t xml:space="preserve">,</w:t>
      </w:r>
      <w:r>
        <w:t xml:space="preserve"> </w:t>
      </w:r>
      <w:r>
        <w:rPr>
          <w:i/>
          <w:iCs/>
        </w:rPr>
        <w:t xml:space="preserve">validation</w:t>
      </w:r>
      <w:r>
        <w:t xml:space="preserve">,</w:t>
      </w:r>
      <w:r>
        <w:t xml:space="preserve"> </w:t>
      </w:r>
      <w:r>
        <w:rPr>
          <w:i/>
          <w:iCs/>
        </w:rPr>
        <w:t xml:space="preserve">recency</w:t>
      </w:r>
      <w:r>
        <w:t xml:space="preserve"> </w:t>
      </w:r>
      <w:r>
        <w:t xml:space="preserve">(age of the underlying acquisition — a quality measure, distinct from the statement’s temporal class) and</w:t>
      </w:r>
      <w:r>
        <w:t xml:space="preserve"> </w:t>
      </w:r>
      <w:r>
        <w:rPr>
          <w:i/>
          <w:iCs/>
        </w:rPr>
        <w:t xml:space="preserve">completeness</w:t>
      </w:r>
      <w:r>
        <w:t xml:space="preserve">. Quality describes fitness within a class; it never changes the class. An</w:t>
      </w:r>
      <w:r>
        <w:t xml:space="preserve"> </w:t>
      </w:r>
      <w:r>
        <w:rPr>
          <w:i/>
          <w:iCs/>
        </w:rPr>
        <w:t xml:space="preserve">observed</w:t>
      </w:r>
      <w:r>
        <w:t xml:space="preserve"> </w:t>
      </w:r>
      <w:r>
        <w:t xml:space="preserve">value can be stale and irrelevant; a</w:t>
      </w:r>
      <w:r>
        <w:t xml:space="preserve"> </w:t>
      </w:r>
      <w:r>
        <w:rPr>
          <w:i/>
          <w:iCs/>
        </w:rPr>
        <w:t xml:space="preserve">modelled</w:t>
      </w:r>
      <w:r>
        <w:t xml:space="preserve"> </w:t>
      </w:r>
      <w:r>
        <w:t xml:space="preserve">value can be excellent.</w:t>
      </w:r>
    </w:p>
    <w:p>
      <w:pPr>
        <w:pStyle w:val="BodyText"/>
      </w:pPr>
      <w:r>
        <w:rPr>
          <w:b/>
          <w:bCs/>
        </w:rPr>
        <w:t xml:space="preserve">Composition rule.</w:t>
      </w:r>
      <w:r>
        <w:t xml:space="preserve"> </w:t>
      </w:r>
      <w:r>
        <w:t xml:space="preserve">Real assessment items are rarely single-step: a flood indicator may be modelled from a satellite scene; an ML fuel-moisture estimate is inferred from an observed acquisition. Each item therefore carries the class of</w:t>
      </w:r>
      <w:r>
        <w:t xml:space="preserve"> </w:t>
      </w:r>
      <w:r>
        <w:rPr>
          <w:i/>
          <w:iCs/>
        </w:rPr>
        <w:t xml:space="preserve">the last transformation that produced it</w:t>
      </w:r>
      <w:r>
        <w:t xml:space="preserve">, plus a</w:t>
      </w:r>
      <w:r>
        <w:t xml:space="preserve"> </w:t>
      </w:r>
      <w:r>
        <w:rPr>
          <w:rStyle w:val="VerbatimChar"/>
        </w:rPr>
        <w:t xml:space="preserve">derived_from</w:t>
      </w:r>
      <w:r>
        <w:t xml:space="preserve"> </w:t>
      </w:r>
      <w:r>
        <w:t xml:space="preserve">list of its inputs, each with its own record. Claims never blend classes across a chain: the chain is the declaration. Items whose chain cannot be fully declared carry the gap openly.</w:t>
      </w:r>
    </w:p>
    <w:p>
      <w:pPr>
        <w:pStyle w:val="BodyText"/>
      </w:pPr>
      <w:r>
        <w:t xml:space="preserve">Two operating disciplines keep declarations honest: the declaration travels with the result (unavailable components are stated, never silently filled), and analyses are recorded as reproducible runs, so a declaration can be audited back to source rather than merely asserted. The record schema is published in machine-readable form (JSON Schema, Appendix A) for human and machine use.</w:t>
      </w:r>
    </w:p>
    <w:bookmarkEnd w:id="13"/>
    <w:bookmarkStart w:id="14" w:name="X07348ea5c62deb905f727a6ff0b58b54c78aa62"/>
    <w:p>
      <w:pPr>
        <w:pStyle w:val="Heading2"/>
      </w:pPr>
      <w:r>
        <w:t xml:space="preserve">4. What declaration buys: three instrument families</w:t>
      </w:r>
    </w:p>
    <w:p>
      <w:pPr>
        <w:pStyle w:val="FirstParagraph"/>
      </w:pPr>
      <w:r>
        <w:t xml:space="preserve">Practice is uneven — not every green bond involves asset-level physical screening today, and many sustainability-linked loans are tied to emissions KPIs rather than physical exposure. The standard applies precisely where physical evidence</w:t>
      </w:r>
      <w:r>
        <w:t xml:space="preserve"> </w:t>
      </w:r>
      <w:r>
        <w:rPr>
          <w:i/>
          <w:iCs/>
        </w:rPr>
        <w:t xml:space="preserve">does</w:t>
      </w:r>
      <w:r>
        <w:t xml:space="preserve"> </w:t>
      </w:r>
      <w:r>
        <w:t xml:space="preserve">enter the chain.</w:t>
      </w:r>
    </w:p>
    <w:p>
      <w:pPr>
        <w:pStyle w:val="BodyText"/>
      </w:pPr>
      <w:r>
        <w:rPr>
          <w:b/>
          <w:bCs/>
        </w:rPr>
        <w:t xml:space="preserve">Green bonds.</w:t>
      </w:r>
      <w:r>
        <w:t xml:space="preserve"> </w:t>
      </w:r>
      <w:r>
        <w:t xml:space="preserve">Survey evidence shows green-bond investors care about the environmental integrity of underlying assets, not only the bond’s label (Sangiorgi and Schopohl 2021). Where asset screening includes physical hazards, each answer decomposes into declared evidence items — flood exposure</w:t>
      </w:r>
      <w:r>
        <w:t xml:space="preserve"> </w:t>
      </w:r>
      <w:r>
        <w:rPr>
          <w:i/>
          <w:iCs/>
        </w:rPr>
        <w:t xml:space="preserve">modelled</w:t>
      </w:r>
      <w:r>
        <w:t xml:space="preserve"> </w:t>
      </w:r>
      <w:r>
        <w:t xml:space="preserve">from a documented discharge dataset against a 1991–2020 baseline; fuel condition</w:t>
      </w:r>
      <w:r>
        <w:t xml:space="preserve"> </w:t>
      </w:r>
      <w:r>
        <w:rPr>
          <w:i/>
          <w:iCs/>
        </w:rPr>
        <w:t xml:space="preserve">observed</w:t>
      </w:r>
      <w:r>
        <w:t xml:space="preserve"> </w:t>
      </w:r>
      <w:r>
        <w:t xml:space="preserve">from dated satellite acquisitions;</w:t>
      </w:r>
      <w:r>
        <w:t xml:space="preserve"> </w:t>
      </w:r>
      <w:r>
        <w:rPr>
          <w:i/>
          <w:iCs/>
        </w:rPr>
        <w:t xml:space="preserve">unknown</w:t>
      </w:r>
      <w:r>
        <w:t xml:space="preserve"> </w:t>
      </w:r>
      <w:r>
        <w:t xml:space="preserve">where no adequate hazard dataset exists — and each declaration maps onto a distinct action (Table 2).</w:t>
      </w:r>
    </w:p>
    <w:p>
      <w:pPr>
        <w:pStyle w:val="BodyText"/>
      </w:pPr>
      <w:r>
        <w:rPr>
          <w:b/>
          <w:bCs/>
        </w:rPr>
        <w:t xml:space="preserve">Sustainability-linked loans.</w:t>
      </w:r>
      <w:r>
        <w:t xml:space="preserve"> </w:t>
      </w:r>
      <w:r>
        <w:t xml:space="preserve">SLL credibility depends on whether targets are material and measurement sound — a design question on which current practice is found uneven (Auzepy, Bannier, and Martin 2023). Where a ratchet or borrower assessment touches physical exposure, the difference between</w:t>
      </w:r>
      <w:r>
        <w:t xml:space="preserve"> </w:t>
      </w:r>
      <w:r>
        <w:rPr>
          <w:i/>
          <w:iCs/>
        </w:rPr>
        <w:t xml:space="preserve">current-observed</w:t>
      </w:r>
      <w:r>
        <w:t xml:space="preserve">,</w:t>
      </w:r>
      <w:r>
        <w:t xml:space="preserve"> </w:t>
      </w:r>
      <w:r>
        <w:rPr>
          <w:i/>
          <w:iCs/>
        </w:rPr>
        <w:t xml:space="preserve">historical</w:t>
      </w:r>
      <w:r>
        <w:t xml:space="preserve"> </w:t>
      </w:r>
      <w:r>
        <w:t xml:space="preserve">and</w:t>
      </w:r>
      <w:r>
        <w:t xml:space="preserve"> </w:t>
      </w:r>
      <w:r>
        <w:rPr>
          <w:i/>
          <w:iCs/>
        </w:rPr>
        <w:t xml:space="preserve">scenario</w:t>
      </w:r>
      <w:r>
        <w:t xml:space="preserve"> </w:t>
      </w:r>
      <w:r>
        <w:t xml:space="preserve">evidence belongs in the credit file, not implicit in a vendor’s PDF.</w:t>
      </w:r>
    </w:p>
    <w:p>
      <w:pPr>
        <w:pStyle w:val="BodyText"/>
      </w:pPr>
      <w:r>
        <w:rPr>
          <w:b/>
          <w:bCs/>
        </w:rPr>
        <w:t xml:space="preserve">Taxonomy alignment claims.</w:t>
      </w:r>
      <w:r>
        <w:t xml:space="preserve"> </w:t>
      </w:r>
      <w:r>
        <w:t xml:space="preserve">For preparers under Article 8 and ESRS E1, each alignment claim embeds a DNSH adaptation assessment. Declared evidence items let the assurance trail begin from declarations instead of archaeology; and for investors reading the resulting ratios, the declaration pattern across a portfolio’s underlying assessments is itself due-diligence information.</w:t>
      </w:r>
    </w:p>
    <w:p>
      <w:pPr>
        <w:pStyle w:val="BodyText"/>
      </w:pPr>
      <w:r>
        <w:rPr>
          <w:b/>
          <w:bCs/>
        </w:rPr>
        <w:t xml:space="preserve">Table 2 — From declaration to due-diligence 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Declaration pattern</w:t>
            </w:r>
          </w:p>
        </w:tc>
        <w:tc>
          <w:tcPr/>
          <w:p>
            <w:pPr>
              <w:pStyle w:val="Compact"/>
            </w:pPr>
            <w:r>
              <w:t xml:space="preserve">Reading</w:t>
            </w:r>
          </w:p>
        </w:tc>
        <w:tc>
          <w:tcPr/>
          <w:p>
            <w:pPr>
              <w:pStyle w:val="Compact"/>
            </w:pPr>
            <w:r>
              <w:t xml:space="preserve">Action</w:t>
            </w:r>
          </w:p>
        </w:tc>
      </w:tr>
      <w:tr>
        <w:tc>
          <w:tcPr/>
          <w:p>
            <w:pPr>
              <w:pStyle w:val="Compact"/>
            </w:pPr>
            <w:r>
              <w:t xml:space="preserve">observed · current · validated, recent</w:t>
            </w:r>
          </w:p>
        </w:tc>
        <w:tc>
          <w:tcPr/>
          <w:p>
            <w:pPr>
              <w:pStyle w:val="Compact"/>
            </w:pPr>
            <w:r>
              <w:t xml:space="preserve">verified present condition</w:t>
            </w:r>
          </w:p>
        </w:tc>
        <w:tc>
          <w:tcPr/>
          <w:p>
            <w:pPr>
              <w:pStyle w:val="Compact"/>
            </w:pPr>
            <w:r>
              <w:t xml:space="preserve">rely (within stated limits)</w:t>
            </w:r>
          </w:p>
        </w:tc>
      </w:tr>
      <w:tr>
        <w:tc>
          <w:tcPr/>
          <w:p>
            <w:pPr>
              <w:pStyle w:val="Compact"/>
            </w:pPr>
            <w:r>
              <w:t xml:space="preserve">modelled · current · documented method</w:t>
            </w:r>
          </w:p>
        </w:tc>
        <w:tc>
          <w:tcPr/>
          <w:p>
            <w:pPr>
              <w:pStyle w:val="Compact"/>
            </w:pPr>
            <w:r>
              <w:t xml:space="preserve">screening-grade estimate</w:t>
            </w:r>
          </w:p>
        </w:tc>
        <w:tc>
          <w:tcPr/>
          <w:p>
            <w:pPr>
              <w:pStyle w:val="Compact"/>
            </w:pPr>
            <w:r>
              <w:t xml:space="preserve">corroborate for material exposures</w:t>
            </w:r>
          </w:p>
        </w:tc>
      </w:tr>
      <w:tr>
        <w:tc>
          <w:tcPr/>
          <w:p>
            <w:pPr>
              <w:pStyle w:val="Compact"/>
            </w:pPr>
            <w:r>
              <w:t xml:space="preserve">inferred · any · uncertainty stated</w:t>
            </w:r>
          </w:p>
        </w:tc>
        <w:tc>
          <w:tcPr/>
          <w:p>
            <w:pPr>
              <w:pStyle w:val="Compact"/>
            </w:pPr>
            <w:r>
              <w:t xml:space="preserve">estimate, not measurement</w:t>
            </w:r>
          </w:p>
        </w:tc>
        <w:tc>
          <w:tcPr/>
          <w:p>
            <w:pPr>
              <w:pStyle w:val="Compact"/>
            </w:pPr>
            <w:r>
              <w:t xml:space="preserve">corroborate; carry uncertainty</w:t>
            </w:r>
          </w:p>
        </w:tc>
      </w:tr>
      <w:tr>
        <w:tc>
          <w:tcPr/>
          <w:p>
            <w:pPr>
              <w:pStyle w:val="Compact"/>
            </w:pPr>
            <w:r>
              <w:t xml:space="preserve">reported · historical · completeness caveats</w:t>
            </w:r>
          </w:p>
        </w:tc>
        <w:tc>
          <w:tcPr/>
          <w:p>
            <w:pPr>
              <w:pStyle w:val="Compact"/>
            </w:pPr>
            <w:r>
              <w:t xml:space="preserve">context</w:t>
            </w:r>
          </w:p>
        </w:tc>
        <w:tc>
          <w:tcPr/>
          <w:p>
            <w:pPr>
              <w:pStyle w:val="Compact"/>
            </w:pPr>
            <w:r>
              <w:t xml:space="preserve">corroborate before reliance</w:t>
            </w:r>
          </w:p>
        </w:tc>
      </w:tr>
      <w:tr>
        <w:tc>
          <w:tcPr/>
          <w:p>
            <w:pPr>
              <w:pStyle w:val="Compact"/>
            </w:pPr>
            <w:r>
              <w:t xml:space="preserve">documented · any</w:t>
            </w:r>
          </w:p>
        </w:tc>
        <w:tc>
          <w:tcPr/>
          <w:p>
            <w:pPr>
              <w:pStyle w:val="Compact"/>
            </w:pPr>
            <w:r>
              <w:t xml:space="preserve">requirement or baseline</w:t>
            </w:r>
          </w:p>
        </w:tc>
        <w:tc>
          <w:tcPr/>
          <w:p>
            <w:pPr>
              <w:pStyle w:val="Compact"/>
            </w:pPr>
            <w:r>
              <w:t xml:space="preserve">cite as reference</w:t>
            </w:r>
          </w:p>
        </w:tc>
      </w:tr>
      <w:tr>
        <w:tc>
          <w:tcPr/>
          <w:p>
            <w:pPr>
              <w:pStyle w:val="Compact"/>
            </w:pPr>
            <w:r>
              <w:t xml:space="preserve">scenario · projection</w:t>
            </w:r>
          </w:p>
        </w:tc>
        <w:tc>
          <w:tcPr/>
          <w:p>
            <w:pPr>
              <w:pStyle w:val="Compact"/>
            </w:pPr>
            <w:r>
              <w:t xml:space="preserve">what-if, not observation</w:t>
            </w:r>
          </w:p>
        </w:tc>
        <w:tc>
          <w:tcPr/>
          <w:p>
            <w:pPr>
              <w:pStyle w:val="Compact"/>
            </w:pPr>
            <w:r>
              <w:t xml:space="preserve">use for resilience questions only</w:t>
            </w:r>
          </w:p>
        </w:tc>
      </w:tr>
      <w:tr>
        <w:tc>
          <w:tcPr/>
          <w:p>
            <w:pPr>
              <w:pStyle w:val="Compact"/>
            </w:pPr>
            <w:r>
              <w:t xml:space="preserve">unknown</w:t>
            </w:r>
          </w:p>
        </w:tc>
        <w:tc>
          <w:tcPr/>
          <w:p>
            <w:pPr>
              <w:pStyle w:val="Compact"/>
            </w:pPr>
            <w:r>
              <w:t xml:space="preserve">declared gap</w:t>
            </w:r>
          </w:p>
        </w:tc>
        <w:tc>
          <w:tcPr/>
          <w:p>
            <w:pPr>
              <w:pStyle w:val="Compact"/>
            </w:pPr>
            <w:r>
              <w:t xml:space="preserve">scope further work; disclose honestly</w:t>
            </w:r>
          </w:p>
        </w:tc>
      </w:tr>
    </w:tbl>
    <w:p>
      <w:pPr>
        <w:pStyle w:val="BodyText"/>
      </w:pPr>
      <w:r>
        <w:rPr>
          <w:b/>
          <w:bCs/>
        </w:rPr>
        <w:t xml:space="preserve">Figure 1</w:t>
      </w:r>
      <w:r>
        <w:t xml:space="preserve"> </w:t>
      </w:r>
      <w:r>
        <w:t xml:space="preserve">depicts the declaration card travelling through the evidence chain from open source to decision.</w:t>
      </w:r>
    </w:p>
    <w:bookmarkEnd w:id="14"/>
    <w:bookmarkStart w:id="15" w:name="what-the-standard-cannot-solve"/>
    <w:p>
      <w:pPr>
        <w:pStyle w:val="Heading2"/>
      </w:pPr>
      <w:r>
        <w:t xml:space="preserve">5. What the standard cannot solve</w:t>
      </w:r>
    </w:p>
    <w:p>
      <w:pPr>
        <w:pStyle w:val="FirstParagraph"/>
      </w:pPr>
      <w:r>
        <w:t xml:space="preserve">Declaration is not assurance. It does not fix sparse observing networks, coarse model resolution in complex terrain, or the genuine difficulty of validating screening indicators against rare events. It does not prevent a determined greenwasher from mislabelling — although a declared claim, unlike an undeclared one, at least presents something falsifiable. It does not, by itself, reconcile divergent ESG information products — but it attacks the same opacity at the input level, where reconciliation is still possible. The classes are coarse by design; specialist methods carry finer internal distinctions than six classes can hold, and the composition rule, while it handles derivation chains, does not adjudicate genuinely disputed classifications. And the standard says nothing about transition risk, emissions accounting or the other five Taxonomy objectives. We state these limits plainly because the honesty discipline the standard encodes — declaring what is not known — applies to the proposal itself.</w:t>
      </w:r>
    </w:p>
    <w:bookmarkEnd w:id="15"/>
    <w:bookmarkStart w:id="16" w:name="recommendations"/>
    <w:p>
      <w:pPr>
        <w:pStyle w:val="Heading2"/>
      </w:pPr>
      <w:r>
        <w:t xml:space="preserve">6. Recommendations</w:t>
      </w:r>
    </w:p>
    <w:p>
      <w:pPr>
        <w:pStyle w:val="FirstParagraph"/>
      </w:pPr>
      <w:r>
        <w:rPr>
          <w:b/>
          <w:bCs/>
        </w:rPr>
        <w:t xml:space="preserve">For investors and lenders:</w:t>
      </w:r>
      <w:r>
        <w:t xml:space="preserve"> </w:t>
      </w:r>
      <w:r>
        <w:t xml:space="preserve">ask the provenance question of every physical-risk input, and prefer one honest</w:t>
      </w:r>
      <w:r>
        <w:t xml:space="preserve"> </w:t>
      </w:r>
      <w:r>
        <w:rPr>
          <w:i/>
          <w:iCs/>
        </w:rPr>
        <w:t xml:space="preserve">unknown</w:t>
      </w:r>
      <w:r>
        <w:t xml:space="preserve"> </w:t>
      </w:r>
      <w:r>
        <w:t xml:space="preserve">over a silent fill; the declaration pattern behind a portfolio’s claims is a due-diligence signal in its own right (Table 2).</w:t>
      </w:r>
    </w:p>
    <w:p>
      <w:pPr>
        <w:pStyle w:val="BodyText"/>
      </w:pPr>
      <w:r>
        <w:rPr>
          <w:b/>
          <w:bCs/>
        </w:rPr>
        <w:t xml:space="preserve">For preparers:</w:t>
      </w:r>
      <w:r>
        <w:t xml:space="preserve"> </w:t>
      </w:r>
      <w:r>
        <w:t xml:space="preserve">declare each piece of physical evidence at the point of assessment, keep the audit trail reproducible, and treat declared gaps as compliant answers rather than defects.</w:t>
      </w:r>
    </w:p>
    <w:p>
      <w:pPr>
        <w:pStyle w:val="BodyText"/>
      </w:pPr>
      <w:r>
        <w:rPr>
          <w:b/>
          <w:bCs/>
        </w:rPr>
        <w:t xml:space="preserve">For standard-setters and supervisors:</w:t>
      </w:r>
      <w:r>
        <w:t xml:space="preserve"> </w:t>
      </w:r>
      <w:r>
        <w:t xml:space="preserve">the texts already say</w:t>
      </w:r>
      <w:r>
        <w:t xml:space="preserve"> </w:t>
      </w:r>
      <w:r>
        <w:rPr>
          <w:i/>
          <w:iCs/>
        </w:rPr>
        <w:t xml:space="preserve">what</w:t>
      </w:r>
      <w:r>
        <w:t xml:space="preserve"> </w:t>
      </w:r>
      <w:r>
        <w:t xml:space="preserve">to assess and increasingly</w:t>
      </w:r>
      <w:r>
        <w:t xml:space="preserve"> </w:t>
      </w:r>
      <w:r>
        <w:rPr>
          <w:i/>
          <w:iCs/>
        </w:rPr>
        <w:t xml:space="preserve">how</w:t>
      </w:r>
      <w:r>
        <w:t xml:space="preserve"> </w:t>
      </w:r>
      <w:r>
        <w:t xml:space="preserve">to describe the assessment; a modest addition — requiring declaration of the evidential status of physical-risk inputs — would make alignment claims comparable across institutions without prescribing any vendor or model, and would slot naturally into the ESRS revision cycle now underway.</w:t>
      </w:r>
    </w:p>
    <w:p>
      <w:pPr>
        <w:pStyle w:val="BodyText"/>
      </w:pPr>
      <w:r>
        <w:rPr>
          <w:b/>
          <w:bCs/>
        </w:rPr>
        <w:t xml:space="preserve">For research:</w:t>
      </w:r>
      <w:r>
        <w:t xml:space="preserve"> </w:t>
      </w:r>
      <w:r>
        <w:t xml:space="preserve">whether declaration measurably improves the auditability and comparability of physical climate-risk assessments is an empirical question, and it deserves an empirical answer. A pre-specified evaluation protocol — five hypotheses covering evidence-basis identification, inter-reviewer agreement, gap detection, confidence calibration and cross-claim comparability — has been fixed separately and will be registered publicly before data collection; results will be reported as an independent study. This article deliberately makes no empirical claim beyond the conceptual and operational case.</w:t>
      </w:r>
    </w:p>
    <w:bookmarkEnd w:id="16"/>
    <w:bookmarkStart w:id="17" w:name="conclusion"/>
    <w:p>
      <w:pPr>
        <w:pStyle w:val="Heading2"/>
      </w:pPr>
      <w:r>
        <w:t xml:space="preserve">7. Conclusion</w:t>
      </w:r>
    </w:p>
    <w:p>
      <w:pPr>
        <w:pStyle w:val="FirstParagraph"/>
      </w:pPr>
      <w:r>
        <w:t xml:space="preserve">The EU’s disclosure architecture has made physical climate-risk evidence a regulated input to sustainable finance, and increasingly specifies how assessments must be described — but it does not yet require the evidential status of the inputs themselves to be declared. A compact declaration standard — three dimensions, a composition rule, a published record schema — is cheap to declare, auditable in principle, and immediately usable as due-diligence vocabulary for green bonds, sustainability-linked loans and Taxonomy alignment claims. It does not make evidence true. It makes evidence checkable — which is the precondition for everything else.</w:t>
      </w:r>
    </w:p>
    <w:bookmarkEnd w:id="17"/>
    <w:bookmarkStart w:id="18" w:name="declarations"/>
    <w:p>
      <w:pPr>
        <w:pStyle w:val="Heading2"/>
      </w:pPr>
      <w:r>
        <w:t xml:space="preserve">Declarations</w:t>
      </w:r>
    </w:p>
    <w:p>
      <w:pPr>
        <w:pStyle w:val="FirstParagraph"/>
      </w:pPr>
      <w:r>
        <w:rPr>
          <w:b/>
          <w:bCs/>
        </w:rPr>
        <w:t xml:space="preserve">Disclosure of interest.</w:t>
      </w:r>
      <w:r>
        <w:t xml:space="preserve"> </w:t>
      </w:r>
      <w:r>
        <w:t xml:space="preserve">The author is the founder of Talaix, a commercial open-data risk-intelligence platform, and the evidence classification described in this article is used in that platform’s products. The standard is presented as a candidate vocabulary and schema, not as an endorsement of any vendor; the platform’s source evaluations and methods are publicly documented so that the declarations described here can be examined independently. Production use is reported as context, not as independent validation.</w:t>
      </w:r>
    </w:p>
    <w:p>
      <w:pPr>
        <w:pStyle w:val="BodyText"/>
      </w:pPr>
      <w:r>
        <w:rPr>
          <w:b/>
          <w:bCs/>
        </w:rPr>
        <w:t xml:space="preserve">Funding.</w:t>
      </w:r>
      <w:r>
        <w:t xml:space="preserve"> </w:t>
      </w:r>
      <w:r>
        <w:t xml:space="preserve">The author received no external funding for this work.</w:t>
      </w:r>
    </w:p>
    <w:p>
      <w:pPr>
        <w:pStyle w:val="BodyText"/>
      </w:pPr>
      <w:r>
        <w:rPr>
          <w:b/>
          <w:bCs/>
        </w:rPr>
        <w:t xml:space="preserve">Declaration of generative AI use.</w:t>
      </w:r>
      <w:r>
        <w:t xml:space="preserve"> </w:t>
      </w:r>
      <w:r>
        <w:t xml:space="preserve">During the preparation of this work the author used generative AI tools (Kimi, Moonshot AI; DeepSeek) for drafting assistance, literature organisation and language editing. The author reviewed, verified and edited all content and takes full responsibility for the integrity and accuracy of the publication.</w:t>
      </w:r>
    </w:p>
    <w:p>
      <w:pPr>
        <w:pStyle w:val="BodyText"/>
      </w:pPr>
      <w:r>
        <w:rPr>
          <w:b/>
          <w:bCs/>
        </w:rPr>
        <w:t xml:space="preserve">Data availability.</w:t>
      </w:r>
      <w:r>
        <w:t xml:space="preserve"> </w:t>
      </w:r>
      <w:r>
        <w:t xml:space="preserve">No new data were generated for this article. Regulatory texts cited are publicly available via EUR-Lex as referenced; the operational classification and its public documentation are available at https://talaix.com/technology.html; the machine-readable record schema accompanies this article as Appendix A.</w:t>
      </w:r>
    </w:p>
    <w:bookmarkEnd w:id="18"/>
    <w:bookmarkStart w:id="19" w:name="figure-caption"/>
    <w:p>
      <w:pPr>
        <w:pStyle w:val="Heading2"/>
      </w:pPr>
      <w:r>
        <w:t xml:space="preserve">Figure caption</w:t>
      </w:r>
    </w:p>
    <w:p>
      <w:pPr>
        <w:pStyle w:val="FirstParagraph"/>
      </w:pPr>
      <w:r>
        <w:rPr>
          <w:b/>
          <w:bCs/>
        </w:rPr>
        <w:t xml:space="preserve">Figure 1.</w:t>
      </w:r>
      <w:r>
        <w:t xml:space="preserve"> </w:t>
      </w:r>
      <w:r>
        <w:t xml:space="preserve">The evidence-item declaration in the due-diligence chain. The declaration travels with the claim from open source to decision; a declared gap (</w:t>
      </w:r>
      <w:r>
        <w:rPr>
          <w:i/>
          <w:iCs/>
        </w:rPr>
        <w:t xml:space="preserve">unknown</w:t>
      </w:r>
      <w:r>
        <w:t xml:space="preserve">) is scoped, never silently filled; analyses are recorded as reproducible runs so each declaration is auditable back to source. The three dimensions answer three different questions — what kind of evidence, when it holds, how good it is — and are never blended.</w:t>
      </w:r>
    </w:p>
    <w:bookmarkEnd w:id="19"/>
    <w:bookmarkStart w:id="20" w:name="Xabfd1d5d589c6038f042b127d75837cca1c1ded"/>
    <w:p>
      <w:pPr>
        <w:pStyle w:val="Heading2"/>
      </w:pPr>
      <w:r>
        <w:t xml:space="preserve">Appendix A. The evidence-item record schema</w:t>
      </w:r>
    </w:p>
    <w:p>
      <w:pPr>
        <w:pStyle w:val="FirstParagraph"/>
      </w:pPr>
      <w:r>
        <w:t xml:space="preserve">The declaration is a compact record per evidence item. Table A1 summarises the fields; the normative machine-readable form (JSON Schema, draft 2020-12 — closed enumerations for both class dimensions, mandatory</w:t>
      </w:r>
      <w:r>
        <w:t xml:space="preserve"> </w:t>
      </w:r>
      <w:r>
        <w:rPr>
          <w:rStyle w:val="VerbatimChar"/>
        </w:rPr>
        <w:t xml:space="preserve">limitations</w:t>
      </w:r>
      <w:r>
        <w:t xml:space="preserve">, recursive</w:t>
      </w:r>
      <w:r>
        <w:t xml:space="preserve"> </w:t>
      </w:r>
      <w:r>
        <w:rPr>
          <w:rStyle w:val="VerbatimChar"/>
        </w:rPr>
        <w:t xml:space="preserve">derived_from</w:t>
      </w:r>
      <w:r>
        <w:t xml:space="preserve">, no additional properties) is supplied as supplementary material.</w:t>
      </w:r>
    </w:p>
    <w:p>
      <w:pPr>
        <w:pStyle w:val="BodyText"/>
      </w:pPr>
      <w:r>
        <w:rPr>
          <w:b/>
          <w:bCs/>
        </w:rPr>
        <w:t xml:space="preserve">Table A1 — Evidence-item record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Status</w:t>
            </w:r>
          </w:p>
        </w:tc>
        <w:tc>
          <w:tcPr/>
          <w:p>
            <w:pPr>
              <w:pStyle w:val="Compact"/>
            </w:pPr>
            <w:r>
              <w:t xml:space="preserve">Content</w:t>
            </w:r>
          </w:p>
        </w:tc>
      </w:tr>
      <w:tr>
        <w:tc>
          <w:tcPr/>
          <w:p>
            <w:pPr>
              <w:pStyle w:val="Compact"/>
            </w:pPr>
            <w:r>
              <w:rPr>
                <w:rStyle w:val="VerbatimChar"/>
              </w:rPr>
              <w:t xml:space="preserve">evidence_class</w:t>
            </w:r>
          </w:p>
        </w:tc>
        <w:tc>
          <w:tcPr/>
          <w:p>
            <w:pPr>
              <w:pStyle w:val="Compact"/>
            </w:pPr>
            <w:r>
              <w:t xml:space="preserve">required</w:t>
            </w:r>
          </w:p>
        </w:tc>
        <w:tc>
          <w:tcPr/>
          <w:p>
            <w:pPr>
              <w:pStyle w:val="Compact"/>
            </w:pPr>
            <w:r>
              <w:t xml:space="preserve">Dimension A — one of six closed classes (Table 1); class of the last transformation</w:t>
            </w:r>
          </w:p>
        </w:tc>
      </w:tr>
      <w:tr>
        <w:tc>
          <w:tcPr/>
          <w:p>
            <w:pPr>
              <w:pStyle w:val="Compact"/>
            </w:pPr>
            <w:r>
              <w:rPr>
                <w:rStyle w:val="VerbatimChar"/>
              </w:rPr>
              <w:t xml:space="preserve">temporal_class</w:t>
            </w:r>
          </w:p>
        </w:tc>
        <w:tc>
          <w:tcPr/>
          <w:p>
            <w:pPr>
              <w:pStyle w:val="Compact"/>
            </w:pPr>
            <w:r>
              <w:t xml:space="preserve">required</w:t>
            </w:r>
          </w:p>
        </w:tc>
        <w:tc>
          <w:tcPr/>
          <w:p>
            <w:pPr>
              <w:pStyle w:val="Compact"/>
            </w:pPr>
            <w:r>
              <w:t xml:space="preserve">Dimension B — current · historical · forecast · projection · scenario</w:t>
            </w:r>
          </w:p>
        </w:tc>
      </w:tr>
      <w:tr>
        <w:tc>
          <w:tcPr/>
          <w:p>
            <w:pPr>
              <w:pStyle w:val="Compact"/>
            </w:pPr>
            <w:r>
              <w:rPr>
                <w:rStyle w:val="VerbatimChar"/>
              </w:rPr>
              <w:t xml:space="preserve">source</w:t>
            </w:r>
          </w:p>
        </w:tc>
        <w:tc>
          <w:tcPr/>
          <w:p>
            <w:pPr>
              <w:pStyle w:val="Compact"/>
            </w:pPr>
            <w:r>
              <w:t xml:space="preserve">required</w:t>
            </w:r>
          </w:p>
        </w:tc>
        <w:tc>
          <w:tcPr/>
          <w:p>
            <w:pPr>
              <w:pStyle w:val="Compact"/>
            </w:pPr>
            <w:r>
              <w:t xml:space="preserve">named dataset, instrument or record, with version where applicable</w:t>
            </w:r>
          </w:p>
        </w:tc>
      </w:tr>
      <w:tr>
        <w:tc>
          <w:tcPr/>
          <w:p>
            <w:pPr>
              <w:pStyle w:val="Compact"/>
            </w:pPr>
            <w:r>
              <w:rPr>
                <w:rStyle w:val="VerbatimChar"/>
              </w:rPr>
              <w:t xml:space="preserve">limitations</w:t>
            </w:r>
          </w:p>
        </w:tc>
        <w:tc>
          <w:tcPr/>
          <w:p>
            <w:pPr>
              <w:pStyle w:val="Compact"/>
            </w:pPr>
            <w:r>
              <w:t xml:space="preserve">required</w:t>
            </w:r>
          </w:p>
        </w:tc>
        <w:tc>
          <w:tcPr/>
          <w:p>
            <w:pPr>
              <w:pStyle w:val="Compact"/>
            </w:pPr>
            <w:r>
              <w:t xml:space="preserve">free text; the absence of limitations is itself declared here</w:t>
            </w:r>
          </w:p>
        </w:tc>
      </w:tr>
      <w:tr>
        <w:tc>
          <w:tcPr/>
          <w:p>
            <w:pPr>
              <w:pStyle w:val="Compact"/>
            </w:pPr>
            <w:r>
              <w:rPr>
                <w:rStyle w:val="VerbatimChar"/>
              </w:rPr>
              <w:t xml:space="preserve">acquisition_or_model_date</w:t>
            </w:r>
          </w:p>
        </w:tc>
        <w:tc>
          <w:tcPr/>
          <w:p>
            <w:pPr>
              <w:pStyle w:val="Compact"/>
            </w:pPr>
            <w:r>
              <w:t xml:space="preserve">recommended</w:t>
            </w:r>
          </w:p>
        </w:tc>
        <w:tc>
          <w:tcPr/>
          <w:p>
            <w:pPr>
              <w:pStyle w:val="Compact"/>
            </w:pPr>
            <w:r>
              <w:t xml:space="preserve">ISO 8601 date or period of the acquisition, run or record</w:t>
            </w:r>
          </w:p>
        </w:tc>
      </w:tr>
      <w:tr>
        <w:tc>
          <w:tcPr/>
          <w:p>
            <w:pPr>
              <w:pStyle w:val="Compact"/>
            </w:pPr>
            <w:r>
              <w:rPr>
                <w:rStyle w:val="VerbatimChar"/>
              </w:rPr>
              <w:t xml:space="preserve">uncertainty</w:t>
            </w:r>
          </w:p>
        </w:tc>
        <w:tc>
          <w:tcPr/>
          <w:p>
            <w:pPr>
              <w:pStyle w:val="Compact"/>
            </w:pPr>
            <w:r>
              <w:t xml:space="preserve">recommended</w:t>
            </w:r>
          </w:p>
        </w:tc>
        <w:tc>
          <w:tcPr/>
          <w:p>
            <w:pPr>
              <w:pStyle w:val="Compact"/>
            </w:pPr>
            <w:r>
              <w:t xml:space="preserve">stated measure or qualifier; travels with the item</w:t>
            </w:r>
          </w:p>
        </w:tc>
      </w:tr>
      <w:tr>
        <w:tc>
          <w:tcPr/>
          <w:p>
            <w:pPr>
              <w:pStyle w:val="Compact"/>
            </w:pPr>
            <w:r>
              <w:rPr>
                <w:rStyle w:val="VerbatimChar"/>
              </w:rPr>
              <w:t xml:space="preserve">spatial_resolution</w:t>
            </w:r>
            <w:r>
              <w:t xml:space="preserve"> </w:t>
            </w:r>
            <w:r>
              <w:t xml:space="preserve">/</w:t>
            </w:r>
            <w:r>
              <w:t xml:space="preserve"> </w:t>
            </w:r>
            <w:r>
              <w:rPr>
                <w:rStyle w:val="VerbatimChar"/>
              </w:rPr>
              <w:t xml:space="preserve">temporal_resolution</w:t>
            </w:r>
          </w:p>
        </w:tc>
        <w:tc>
          <w:tcPr/>
          <w:p>
            <w:pPr>
              <w:pStyle w:val="Compact"/>
            </w:pPr>
            <w:r>
              <w:t xml:space="preserve">recommended</w:t>
            </w:r>
          </w:p>
        </w:tc>
        <w:tc>
          <w:tcPr/>
          <w:p>
            <w:pPr>
              <w:pStyle w:val="Compact"/>
            </w:pPr>
            <w:r>
              <w:t xml:space="preserve">Dimension C metadata</w:t>
            </w:r>
          </w:p>
        </w:tc>
      </w:tr>
      <w:tr>
        <w:tc>
          <w:tcPr/>
          <w:p>
            <w:pPr>
              <w:pStyle w:val="Compact"/>
            </w:pPr>
            <w:r>
              <w:rPr>
                <w:rStyle w:val="VerbatimChar"/>
              </w:rPr>
              <w:t xml:space="preserve">validation</w:t>
            </w:r>
          </w:p>
        </w:tc>
        <w:tc>
          <w:tcPr/>
          <w:p>
            <w:pPr>
              <w:pStyle w:val="Compact"/>
            </w:pPr>
            <w:r>
              <w:t xml:space="preserve">recommended</w:t>
            </w:r>
          </w:p>
        </w:tc>
        <w:tc>
          <w:tcPr/>
          <w:p>
            <w:pPr>
              <w:pStyle w:val="Compact"/>
            </w:pPr>
            <w:r>
              <w:t xml:space="preserve">what the item has been checked against, if anything</w:t>
            </w:r>
          </w:p>
        </w:tc>
      </w:tr>
      <w:tr>
        <w:tc>
          <w:tcPr/>
          <w:p>
            <w:pPr>
              <w:pStyle w:val="Compact"/>
            </w:pPr>
            <w:r>
              <w:rPr>
                <w:rStyle w:val="VerbatimChar"/>
              </w:rPr>
              <w:t xml:space="preserve">coverage</w:t>
            </w:r>
          </w:p>
        </w:tc>
        <w:tc>
          <w:tcPr/>
          <w:p>
            <w:pPr>
              <w:pStyle w:val="Compact"/>
            </w:pPr>
            <w:r>
              <w:t xml:space="preserve">recommended</w:t>
            </w:r>
          </w:p>
        </w:tc>
        <w:tc>
          <w:tcPr/>
          <w:p>
            <w:pPr>
              <w:pStyle w:val="Compact"/>
            </w:pPr>
            <w:r>
              <w:t xml:space="preserve">spatial/temporal extent and known gaps</w:t>
            </w:r>
          </w:p>
        </w:tc>
      </w:tr>
      <w:tr>
        <w:tc>
          <w:tcPr/>
          <w:p>
            <w:pPr>
              <w:pStyle w:val="Compact"/>
            </w:pPr>
            <w:r>
              <w:rPr>
                <w:rStyle w:val="VerbatimChar"/>
              </w:rPr>
              <w:t xml:space="preserve">recency</w:t>
            </w:r>
          </w:p>
        </w:tc>
        <w:tc>
          <w:tcPr/>
          <w:p>
            <w:pPr>
              <w:pStyle w:val="Compact"/>
            </w:pPr>
            <w:r>
              <w:t xml:space="preserve">recommended</w:t>
            </w:r>
          </w:p>
        </w:tc>
        <w:tc>
          <w:tcPr/>
          <w:p>
            <w:pPr>
              <w:pStyle w:val="Compact"/>
            </w:pPr>
            <w:r>
              <w:t xml:space="preserve">age of the underlying acquisition — a quality measure, distinct from</w:t>
            </w:r>
            <w:r>
              <w:t xml:space="preserve"> </w:t>
            </w:r>
            <w:r>
              <w:rPr>
                <w:rStyle w:val="VerbatimChar"/>
              </w:rPr>
              <w:t xml:space="preserve">temporal_class</w:t>
            </w:r>
          </w:p>
        </w:tc>
      </w:tr>
      <w:tr>
        <w:tc>
          <w:tcPr/>
          <w:p>
            <w:pPr>
              <w:pStyle w:val="Compact"/>
            </w:pPr>
            <w:r>
              <w:rPr>
                <w:rStyle w:val="VerbatimChar"/>
              </w:rPr>
              <w:t xml:space="preserve">completeness</w:t>
            </w:r>
          </w:p>
        </w:tc>
        <w:tc>
          <w:tcPr/>
          <w:p>
            <w:pPr>
              <w:pStyle w:val="Compact"/>
            </w:pPr>
            <w:r>
              <w:t xml:space="preserve">recommended</w:t>
            </w:r>
          </w:p>
        </w:tc>
        <w:tc>
          <w:tcPr/>
          <w:p>
            <w:pPr>
              <w:pStyle w:val="Compact"/>
            </w:pPr>
            <w:r>
              <w:t xml:space="preserve">share of the expected domain covered</w:t>
            </w:r>
          </w:p>
        </w:tc>
      </w:tr>
      <w:tr>
        <w:tc>
          <w:tcPr/>
          <w:p>
            <w:pPr>
              <w:pStyle w:val="Compact"/>
            </w:pPr>
            <w:r>
              <w:rPr>
                <w:rStyle w:val="VerbatimChar"/>
              </w:rPr>
              <w:t xml:space="preserve">derived_from</w:t>
            </w:r>
          </w:p>
        </w:tc>
        <w:tc>
          <w:tcPr/>
          <w:p>
            <w:pPr>
              <w:pStyle w:val="Compact"/>
            </w:pPr>
            <w:r>
              <w:t xml:space="preserve">recursive</w:t>
            </w:r>
          </w:p>
        </w:tc>
        <w:tc>
          <w:tcPr/>
          <w:p>
            <w:pPr>
              <w:pStyle w:val="Compact"/>
            </w:pPr>
            <w:r>
              <w:t xml:space="preserve">input evidence items, each a full record (the composition rule)</w:t>
            </w:r>
          </w:p>
        </w:tc>
      </w:tr>
      <w:tr>
        <w:tc>
          <w:tcPr/>
          <w:p>
            <w:pPr>
              <w:pStyle w:val="Compact"/>
            </w:pPr>
            <w:r>
              <w:rPr>
                <w:rStyle w:val="VerbatimChar"/>
              </w:rPr>
              <w:t xml:space="preserve">provenance_uri</w:t>
            </w:r>
          </w:p>
        </w:tc>
        <w:tc>
          <w:tcPr/>
          <w:p>
            <w:pPr>
              <w:pStyle w:val="Compact"/>
            </w:pPr>
            <w:r>
              <w:t xml:space="preserve">optional</w:t>
            </w:r>
          </w:p>
        </w:tc>
        <w:tc>
          <w:tcPr/>
          <w:p>
            <w:pPr>
              <w:pStyle w:val="Compact"/>
            </w:pPr>
            <w:r>
              <w:t xml:space="preserve">link to the reproducible run record (hash / report ID)</w:t>
            </w:r>
          </w:p>
        </w:tc>
      </w:tr>
    </w:tbl>
    <w:bookmarkEnd w:id="20"/>
    <w:bookmarkStart w:id="23" w:name="references"/>
    <w:p>
      <w:pPr>
        <w:pStyle w:val="Heading2"/>
      </w:pPr>
      <w:r>
        <w:t xml:space="preserve">References</w:t>
      </w:r>
    </w:p>
    <w:bookmarkStart w:id="21" w:name="legislation-and-official-documents"/>
    <w:p>
      <w:pPr>
        <w:pStyle w:val="Heading3"/>
      </w:pPr>
      <w:r>
        <w:t xml:space="preserve">Legislation and official documents</w:t>
      </w:r>
    </w:p>
    <w:p>
      <w:pPr>
        <w:pStyle w:val="FirstParagraph"/>
      </w:pPr>
      <w:r>
        <w:t xml:space="preserve">Regulation (EU) 2020/852 of the European Parliament and of the Council of 18 June 2020 — EU Taxonomy. EUR-Lex, CELEX 32020R0852. https://eur-lex.europa.eu/legal-content/EN/TXT/?uri=CELEX:32020R0852</w:t>
      </w:r>
    </w:p>
    <w:p>
      <w:pPr>
        <w:pStyle w:val="BodyText"/>
      </w:pPr>
      <w:r>
        <w:t xml:space="preserve">Commission Delegated Regulation (EU) 2021/2139 of 4 June 2021 — Climate Delegated Act, incl. Appendix A (physical climate risks). EUR-Lex, CELEX 32021R2139. https://eur-lex.europa.eu/legal-content/EN/TXT/?uri=CELEX:32021R2139</w:t>
      </w:r>
    </w:p>
    <w:p>
      <w:pPr>
        <w:pStyle w:val="BodyText"/>
      </w:pPr>
      <w:r>
        <w:t xml:space="preserve">Commission Delegated Regulation (EU) 2021/2178 of 6 July 2021 — Article 8 disclosures. EUR-Lex, CELEX 32021R2178. https://eur-lex.europa.eu/legal-content/EN/TXT/?uri=CELEX:32021R2178</w:t>
      </w:r>
    </w:p>
    <w:p>
      <w:pPr>
        <w:pStyle w:val="BodyText"/>
      </w:pPr>
      <w:r>
        <w:t xml:space="preserve">Directive (EU) 2022/2464 of the European Parliament and of the Council of 14 December 2022 — Corporate Sustainability Reporting Directive. EUR-Lex, CELEX 32022L2464. https://eur-lex.europa.eu/legal-content/EN/TXT/?uri=CELEX:32022L2464</w:t>
      </w:r>
    </w:p>
    <w:p>
      <w:pPr>
        <w:pStyle w:val="BodyText"/>
      </w:pPr>
      <w:r>
        <w:t xml:space="preserve">Commission Delegated Regulation (EU) 2023/2772 of 31 July 2023 — European Sustainability Reporting Standards (ESRS), incl. ESRS E1 (¶19(b), ¶20(b), ¶66(c); AR 11, AR 13, AR 14) and ESRS 1 (¶77). EUR-Lex, CELEX 32023R2772. https://eur-lex.europa.eu/legal-content/EN/TXT/?uri=CELEX:32023R2772</w:t>
      </w:r>
    </w:p>
    <w:p>
      <w:pPr>
        <w:pStyle w:val="BodyText"/>
      </w:pPr>
      <w:r>
        <w:t xml:space="preserve">Directive (EU) 2025/794 of the European Parliament and of the Council of 14 April 2025 amending Directives (EU) 2022/2464 and (EU) 2024/1760 as regards the dates of application of certain corporate sustainability reporting and due diligence requirements (</w:t>
      </w:r>
      <w:r>
        <w:t xml:space="preserve">“stop-the-clock”</w:t>
      </w:r>
      <w:r>
        <w:t xml:space="preserve">). EUR-Lex, CELEX 32025L0794. https://eur-lex.europa.eu/legal-content/EN/TXT/?uri=CELEX:32025L0794</w:t>
      </w:r>
    </w:p>
    <w:p>
      <w:pPr>
        <w:pStyle w:val="BodyText"/>
      </w:pPr>
      <w:r>
        <w:t xml:space="preserve">Commission Delegated Regulation (EU) 2025/1416 of 11 July 2025 amending Delegated Regulation (EU) 2023/2772 as regards the postponement of the date of application of the disclosure requirements for certain undertakings (ESRS phase-in; incl. E1-9). EUR-Lex, CELEX 32025R1416. https://eur-lex.europa.eu/legal-content/EN/TXT/?uri=CELEX:32025R1416</w:t>
      </w:r>
    </w:p>
    <w:p>
      <w:pPr>
        <w:pStyle w:val="BodyText"/>
      </w:pPr>
      <w:r>
        <w:t xml:space="preserve">Directive (EU) 2026/470 of the European Parliament and of the Council of 24 February 2026 amending Directives 2006/43/EC, 2013/34/EU, (EU) 2022/2464 and (EU) 2024/1760 as regards certain corporate sustainability reporting requirements and certain corporate sustainability due diligence requirements. EUR-Lex, CELEX 32026L0470. https://eur-lex.europa.eu/eli/dir/2026/470/oj/eng</w:t>
      </w:r>
    </w:p>
    <w:p>
      <w:pPr>
        <w:pStyle w:val="BodyText"/>
      </w:pPr>
      <w:r>
        <w:t xml:space="preserve">European Commission. 2026. Commission delegated act amending Delegated Regulation (EU) 2023/2772 (revised ESRS) and delegated act on a voluntary sustainability reporting standard for smaller undertakings — adopted 3 July 2026, C(2026) 5010; at the time of writing under parliamentary scrutiny, Official Journal numbers pending. https://finance.ec.europa.eu/news/commission-adopts-revised-sustainability-reporting-standards-reduce-administrative-burdens-eu-2026-07-03_en</w:t>
      </w:r>
    </w:p>
    <w:p>
      <w:pPr>
        <w:pStyle w:val="BodyText"/>
      </w:pPr>
      <w:r>
        <w:t xml:space="preserve">Talaix. Technology: data sources, evidence classes and published methods (production practice referenced in Section 3). https://talaix.com/technology.html (accessed 6 September 2026).</w:t>
      </w:r>
    </w:p>
    <w:bookmarkEnd w:id="21"/>
    <w:bookmarkStart w:id="22" w:name="academic-references"/>
    <w:p>
      <w:pPr>
        <w:pStyle w:val="Heading3"/>
      </w:pPr>
      <w:r>
        <w:t xml:space="preserve">Academic references</w:t>
      </w:r>
    </w:p>
    <w:p>
      <w:pPr>
        <w:pStyle w:val="FirstParagraph"/>
      </w:pPr>
      <w:r>
        <w:t xml:space="preserve">Auzepy, Alix, Christina E. Bannier, and Fabio Martin. 2023.</w:t>
      </w:r>
      <w:r>
        <w:t xml:space="preserve"> </w:t>
      </w:r>
      <w:r>
        <w:t xml:space="preserve">“Are Sustainability-Linked Loans Designed to Effectively Incentivize Corporate Sustainability? A Framework for Review.”</w:t>
      </w:r>
      <w:r>
        <w:t xml:space="preserve"> </w:t>
      </w:r>
      <w:r>
        <w:rPr>
          <w:i/>
          <w:iCs/>
        </w:rPr>
        <w:t xml:space="preserve">Financial Management</w:t>
      </w:r>
      <w:r>
        <w:t xml:space="preserve"> </w:t>
      </w:r>
      <w:r>
        <w:t xml:space="preserve">52 (4): 643–675. https://doi.org/10.1111/fima.12437</w:t>
      </w:r>
    </w:p>
    <w:p>
      <w:pPr>
        <w:pStyle w:val="BodyText"/>
      </w:pPr>
      <w:r>
        <w:t xml:space="preserve">Battiston, Stefano, Yannis Dafermos, and Irene Monasterolo. 2021.</w:t>
      </w:r>
      <w:r>
        <w:t xml:space="preserve"> </w:t>
      </w:r>
      <w:r>
        <w:t xml:space="preserve">“Climate Risks and Financial Stability.”</w:t>
      </w:r>
      <w:r>
        <w:t xml:space="preserve"> </w:t>
      </w:r>
      <w:r>
        <w:rPr>
          <w:i/>
          <w:iCs/>
        </w:rPr>
        <w:t xml:space="preserve">Journal of Financial Stability</w:t>
      </w:r>
      <w:r>
        <w:t xml:space="preserve"> </w:t>
      </w:r>
      <w:r>
        <w:t xml:space="preserve">54: 100867. https://doi.org/10.1016/j.jfs.2021.100867</w:t>
      </w:r>
    </w:p>
    <w:p>
      <w:pPr>
        <w:pStyle w:val="BodyText"/>
      </w:pPr>
      <w:r>
        <w:t xml:space="preserve">Berg, Florian, Julian F. Kölbel, and Roberto Rigobon. 2022.</w:t>
      </w:r>
      <w:r>
        <w:t xml:space="preserve"> </w:t>
      </w:r>
      <w:r>
        <w:t xml:space="preserve">“Aggregate Confusion: The Divergence of ESG Ratings.”</w:t>
      </w:r>
      <w:r>
        <w:t xml:space="preserve"> </w:t>
      </w:r>
      <w:r>
        <w:rPr>
          <w:i/>
          <w:iCs/>
        </w:rPr>
        <w:t xml:space="preserve">Review of Finance</w:t>
      </w:r>
      <w:r>
        <w:t xml:space="preserve"> </w:t>
      </w:r>
      <w:r>
        <w:t xml:space="preserve">26 (6): 1315–1344. https://doi.org/10.1093/rof/rfac033</w:t>
      </w:r>
    </w:p>
    <w:p>
      <w:pPr>
        <w:pStyle w:val="BodyText"/>
      </w:pPr>
      <w:r>
        <w:t xml:space="preserve">Campiglio, Emanuele, Yannis Dafermos, Pierre Monnin, Josh Ryan-Collins, Guido Schotten, and Misa Tanaka. 2018.</w:t>
      </w:r>
      <w:r>
        <w:t xml:space="preserve"> </w:t>
      </w:r>
      <w:r>
        <w:t xml:space="preserve">“Climate Change Challenges for Central Banks and Financial Regulators.”</w:t>
      </w:r>
      <w:r>
        <w:t xml:space="preserve"> </w:t>
      </w:r>
      <w:r>
        <w:rPr>
          <w:i/>
          <w:iCs/>
        </w:rPr>
        <w:t xml:space="preserve">Nature Climate Change</w:t>
      </w:r>
      <w:r>
        <w:t xml:space="preserve"> </w:t>
      </w:r>
      <w:r>
        <w:t xml:space="preserve">8 (6): 462–468. https://doi.org/10.1038/s41558-018-0175-0</w:t>
      </w:r>
    </w:p>
    <w:p>
      <w:pPr>
        <w:pStyle w:val="BodyText"/>
      </w:pPr>
      <w:r>
        <w:t xml:space="preserve">Cohen, Shira, Igor Kadach, and Gaizka Ormazábal. 2023.</w:t>
      </w:r>
      <w:r>
        <w:t xml:space="preserve"> </w:t>
      </w:r>
      <w:r>
        <w:t xml:space="preserve">“Institutional Investors, Climate Disclosure, and Carbon Emissions.”</w:t>
      </w:r>
      <w:r>
        <w:t xml:space="preserve"> </w:t>
      </w:r>
      <w:r>
        <w:rPr>
          <w:i/>
          <w:iCs/>
        </w:rPr>
        <w:t xml:space="preserve">Journal of Accounting and Economics</w:t>
      </w:r>
      <w:r>
        <w:t xml:space="preserve"> </w:t>
      </w:r>
      <w:r>
        <w:t xml:space="preserve">76 (2–3): 101640. https://doi.org/10.1016/j.jacceco.2023.101640</w:t>
      </w:r>
    </w:p>
    <w:p>
      <w:pPr>
        <w:pStyle w:val="BodyText"/>
      </w:pPr>
      <w:r>
        <w:t xml:space="preserve">Kölbel, Julian F., Florian Heeb, Falko Paetzold, and Timo Busch. 2020.</w:t>
      </w:r>
      <w:r>
        <w:t xml:space="preserve"> </w:t>
      </w:r>
      <w:r>
        <w:t xml:space="preserve">“Can Sustainable Investing Save the World? Reviewing the Mechanisms of Investor Impact.”</w:t>
      </w:r>
      <w:r>
        <w:t xml:space="preserve"> </w:t>
      </w:r>
      <w:r>
        <w:rPr>
          <w:i/>
          <w:iCs/>
        </w:rPr>
        <w:t xml:space="preserve">Organization &amp; Environment</w:t>
      </w:r>
      <w:r>
        <w:t xml:space="preserve"> </w:t>
      </w:r>
      <w:r>
        <w:t xml:space="preserve">33 (4): 554–574. https://doi.org/10.1177/1086026620919202</w:t>
      </w:r>
    </w:p>
    <w:p>
      <w:pPr>
        <w:pStyle w:val="BodyText"/>
      </w:pPr>
      <w:r>
        <w:t xml:space="preserve">Krueger, Philipp, Zacharias Sautner, and Laura T. Starks. 2020.</w:t>
      </w:r>
      <w:r>
        <w:t xml:space="preserve"> </w:t>
      </w:r>
      <w:r>
        <w:t xml:space="preserve">“The Importance of Climate Risks for Institutional Investors.”</w:t>
      </w:r>
      <w:r>
        <w:t xml:space="preserve"> </w:t>
      </w:r>
      <w:r>
        <w:rPr>
          <w:i/>
          <w:iCs/>
        </w:rPr>
        <w:t xml:space="preserve">The Review of Financial Studies</w:t>
      </w:r>
      <w:r>
        <w:t xml:space="preserve"> </w:t>
      </w:r>
      <w:r>
        <w:t xml:space="preserve">33 (3): 1067–1111. https://doi.org/10.1093/rfs/hhz137</w:t>
      </w:r>
    </w:p>
    <w:p>
      <w:pPr>
        <w:pStyle w:val="BodyText"/>
      </w:pPr>
      <w:r>
        <w:t xml:space="preserve">Li, Qing, Hongyu Shan, Yuehua Tang, and Vincent Yao. 2024.</w:t>
      </w:r>
      <w:r>
        <w:t xml:space="preserve"> </w:t>
      </w:r>
      <w:r>
        <w:t xml:space="preserve">“Corporate Climate Risk: Measurements and Responses.”</w:t>
      </w:r>
      <w:r>
        <w:t xml:space="preserve"> </w:t>
      </w:r>
      <w:r>
        <w:rPr>
          <w:i/>
          <w:iCs/>
        </w:rPr>
        <w:t xml:space="preserve">The Review of Financial Studies</w:t>
      </w:r>
      <w:r>
        <w:t xml:space="preserve"> </w:t>
      </w:r>
      <w:r>
        <w:t xml:space="preserve">37 (6): 1778–1830. https://doi.org/10.1093/rfs/hhad094</w:t>
      </w:r>
    </w:p>
    <w:p>
      <w:pPr>
        <w:pStyle w:val="BodyText"/>
      </w:pPr>
      <w:r>
        <w:t xml:space="preserve">Rapach, Seonaid, Annalisa Riccardi, Bin Liu, and James Bowden. 2024.</w:t>
      </w:r>
      <w:r>
        <w:t xml:space="preserve"> </w:t>
      </w:r>
      <w:r>
        <w:t xml:space="preserve">“A Taxonomy of Earth Observation Data for Sustainable Finance.”</w:t>
      </w:r>
      <w:r>
        <w:t xml:space="preserve"> </w:t>
      </w:r>
      <w:r>
        <w:rPr>
          <w:i/>
          <w:iCs/>
        </w:rPr>
        <w:t xml:space="preserve">Journal of Climate Finance</w:t>
      </w:r>
      <w:r>
        <w:t xml:space="preserve"> </w:t>
      </w:r>
      <w:r>
        <w:t xml:space="preserve">6: 100029. https://doi.org/10.1016/j.jclimf.2023.100029</w:t>
      </w:r>
    </w:p>
    <w:p>
      <w:pPr>
        <w:pStyle w:val="BodyText"/>
      </w:pPr>
      <w:r>
        <w:t xml:space="preserve">Sangiorgi, Ivan, and Lisa Schopohl. 2021.</w:t>
      </w:r>
      <w:r>
        <w:t xml:space="preserve"> </w:t>
      </w:r>
      <w:r>
        <w:t xml:space="preserve">“Why Do Institutional Investors Buy Green Bonds: Evidence from a Survey of European Asset Managers.”</w:t>
      </w:r>
      <w:r>
        <w:t xml:space="preserve"> </w:t>
      </w:r>
      <w:r>
        <w:rPr>
          <w:i/>
          <w:iCs/>
        </w:rPr>
        <w:t xml:space="preserve">International Review of Financial Analysis</w:t>
      </w:r>
      <w:r>
        <w:t xml:space="preserve"> </w:t>
      </w:r>
      <w:r>
        <w:t xml:space="preserve">75: 101738. https://doi.org/10.1016/j.irfa.2021.101738</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2026-09-09T16:02:23Z</dcterms:created>
  <dcterms:modified xsi:type="dcterms:W3CDTF">2026-09-09T16:02:23Z</dcterms:modified>
</cp:coreProperties>
</file>

<file path=docProps/custom.xml><?xml version="1.0" encoding="utf-8"?>
<Properties xmlns="http://schemas.openxmlformats.org/officeDocument/2006/custom-properties" xmlns:vt="http://schemas.openxmlformats.org/officeDocument/2006/docPropsVTypes"/>
</file>