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53BC7" w14:textId="612A7AF4" w:rsidR="00EC659D" w:rsidRDefault="00EC659D" w:rsidP="00EC659D">
      <w:pPr>
        <w:spacing w:line="276" w:lineRule="auto"/>
        <w:jc w:val="center"/>
        <w:rPr>
          <w:rFonts w:ascii="Times New Roman" w:hAnsi="Times New Roman" w:cs="Times New Roman"/>
          <w:b/>
          <w:bCs/>
          <w:sz w:val="36"/>
          <w:szCs w:val="36"/>
          <w:u w:val="single"/>
        </w:rPr>
      </w:pPr>
      <w:r w:rsidRPr="00EC659D">
        <w:rPr>
          <w:rFonts w:ascii="Times New Roman" w:hAnsi="Times New Roman" w:cs="Times New Roman"/>
          <w:b/>
          <w:bCs/>
          <w:sz w:val="36"/>
          <w:szCs w:val="36"/>
          <w:u w:val="single"/>
        </w:rPr>
        <w:t xml:space="preserve">FLOPs Estimation Summary for </w:t>
      </w:r>
      <w:r w:rsidR="00530112" w:rsidRPr="00530112">
        <w:rPr>
          <w:rFonts w:ascii="Times New Roman" w:hAnsi="Times New Roman" w:cs="Times New Roman"/>
          <w:b/>
          <w:bCs/>
          <w:sz w:val="36"/>
          <w:szCs w:val="36"/>
          <w:u w:val="single"/>
        </w:rPr>
        <w:t>Quantized GPT-2</w:t>
      </w:r>
      <w:r w:rsidRPr="00EC659D">
        <w:rPr>
          <w:rFonts w:ascii="Times New Roman" w:hAnsi="Times New Roman" w:cs="Times New Roman"/>
          <w:b/>
          <w:bCs/>
          <w:sz w:val="36"/>
          <w:szCs w:val="36"/>
          <w:u w:val="single"/>
        </w:rPr>
        <w:t xml:space="preserve"> Inference</w:t>
      </w:r>
    </w:p>
    <w:p w14:paraId="03E37DCE" w14:textId="77777777" w:rsidR="00EC659D" w:rsidRPr="00EC659D" w:rsidRDefault="00EC659D" w:rsidP="00EC659D">
      <w:pPr>
        <w:spacing w:line="276" w:lineRule="auto"/>
        <w:jc w:val="center"/>
        <w:rPr>
          <w:rFonts w:ascii="Times New Roman" w:hAnsi="Times New Roman" w:cs="Times New Roman"/>
          <w:b/>
          <w:bCs/>
          <w:u w:val="single"/>
        </w:rPr>
      </w:pPr>
    </w:p>
    <w:p w14:paraId="66E31E5A" w14:textId="77777777" w:rsidR="00EC659D" w:rsidRPr="00EC659D" w:rsidRDefault="00EC659D" w:rsidP="00EC659D">
      <w:pPr>
        <w:spacing w:line="276" w:lineRule="auto"/>
        <w:rPr>
          <w:rFonts w:ascii="Times New Roman" w:hAnsi="Times New Roman" w:cs="Times New Roman"/>
          <w:b/>
          <w:bCs/>
          <w:sz w:val="28"/>
          <w:szCs w:val="28"/>
        </w:rPr>
      </w:pPr>
      <w:r w:rsidRPr="00EC659D">
        <w:rPr>
          <w:rFonts w:ascii="Times New Roman" w:hAnsi="Times New Roman" w:cs="Times New Roman"/>
          <w:b/>
          <w:bCs/>
          <w:sz w:val="28"/>
          <w:szCs w:val="28"/>
        </w:rPr>
        <w:t>Definition</w:t>
      </w:r>
    </w:p>
    <w:p w14:paraId="32105377" w14:textId="3EF5E754" w:rsidR="00EC659D" w:rsidRPr="00EC659D" w:rsidRDefault="0069359E" w:rsidP="00EC659D">
      <w:pPr>
        <w:spacing w:line="276" w:lineRule="auto"/>
        <w:rPr>
          <w:rFonts w:ascii="Times New Roman" w:hAnsi="Times New Roman" w:cs="Times New Roman"/>
        </w:rPr>
      </w:pPr>
      <w:r w:rsidRPr="0069359E">
        <w:rPr>
          <w:rFonts w:ascii="Times New Roman" w:hAnsi="Times New Roman" w:cs="Times New Roman"/>
        </w:rPr>
        <w:t>FLOPs (Floating Point Operations) represent the number of arithmetic operations performed during model execution. They are commonly used to estimate the computational complexity of deep learning models. Larger language models generally require more FLOPs, leading to longer execution times, higher energy consumption, and greater carbon emissions.</w:t>
      </w:r>
    </w:p>
    <w:p w14:paraId="375EBDDE" w14:textId="77777777" w:rsidR="00EC659D" w:rsidRPr="00EC659D" w:rsidRDefault="00EC659D" w:rsidP="00EC659D">
      <w:pPr>
        <w:spacing w:line="276" w:lineRule="auto"/>
        <w:rPr>
          <w:rFonts w:ascii="Times New Roman" w:hAnsi="Times New Roman" w:cs="Times New Roman"/>
          <w:b/>
          <w:bCs/>
          <w:sz w:val="28"/>
          <w:szCs w:val="28"/>
        </w:rPr>
      </w:pPr>
      <w:r w:rsidRPr="00EC659D">
        <w:rPr>
          <w:rFonts w:ascii="Times New Roman" w:hAnsi="Times New Roman" w:cs="Times New Roman"/>
          <w:b/>
          <w:bCs/>
          <w:sz w:val="28"/>
          <w:szCs w:val="28"/>
        </w:rPr>
        <w:t>Formula</w:t>
      </w:r>
    </w:p>
    <w:p w14:paraId="486D26E8" w14:textId="77777777" w:rsidR="00E46CD3" w:rsidRPr="0006325A" w:rsidRDefault="00E46CD3" w:rsidP="00E46CD3">
      <w:pPr>
        <w:spacing w:line="276" w:lineRule="auto"/>
        <w:rPr>
          <w:rFonts w:ascii="Times New Roman" w:hAnsi="Times New Roman" w:cs="Times New Roman"/>
        </w:rPr>
      </w:pPr>
      <w:r w:rsidRPr="0006325A">
        <w:rPr>
          <w:rFonts w:ascii="Times New Roman" w:hAnsi="Times New Roman" w:cs="Times New Roman"/>
        </w:rPr>
        <w:t>Total FLOPs = FLOPs per Token × Number of Generated Tokens</w:t>
      </w:r>
    </w:p>
    <w:p w14:paraId="1E7A5FC2" w14:textId="77777777" w:rsidR="00E46CD3" w:rsidRPr="00E46CD3" w:rsidRDefault="00E46CD3" w:rsidP="00E46CD3">
      <w:pPr>
        <w:spacing w:line="276" w:lineRule="auto"/>
        <w:rPr>
          <w:rFonts w:ascii="Times New Roman" w:hAnsi="Times New Roman" w:cs="Times New Roman"/>
        </w:rPr>
      </w:pPr>
      <w:r w:rsidRPr="00E46CD3">
        <w:rPr>
          <w:rFonts w:ascii="Times New Roman" w:hAnsi="Times New Roman" w:cs="Times New Roman"/>
        </w:rPr>
        <w:t xml:space="preserve">For these experiments, each inference generated approximately </w:t>
      </w:r>
      <w:r w:rsidRPr="00E46CD3">
        <w:rPr>
          <w:rFonts w:ascii="Times New Roman" w:hAnsi="Times New Roman" w:cs="Times New Roman"/>
          <w:b/>
          <w:bCs/>
        </w:rPr>
        <w:t>50 output tokens</w:t>
      </w:r>
      <w:r w:rsidRPr="00E46CD3">
        <w:rPr>
          <w:rFonts w:ascii="Times New Roman" w:hAnsi="Times New Roman" w:cs="Times New Roman"/>
        </w:rPr>
        <w:t xml:space="preserve"> per prompt.</w:t>
      </w:r>
    </w:p>
    <w:p w14:paraId="21D24876" w14:textId="77777777" w:rsidR="00EC659D" w:rsidRPr="00EC659D" w:rsidRDefault="00EC659D" w:rsidP="00EC659D">
      <w:pPr>
        <w:spacing w:line="276" w:lineRule="auto"/>
        <w:rPr>
          <w:rFonts w:ascii="Times New Roman" w:hAnsi="Times New Roman" w:cs="Times New Roman"/>
          <w:b/>
          <w:bCs/>
          <w:sz w:val="28"/>
          <w:szCs w:val="28"/>
        </w:rPr>
      </w:pPr>
      <w:r w:rsidRPr="00EC659D">
        <w:rPr>
          <w:rFonts w:ascii="Times New Roman" w:hAnsi="Times New Roman" w:cs="Times New Roman"/>
          <w:b/>
          <w:bCs/>
          <w:sz w:val="28"/>
          <w:szCs w:val="28"/>
        </w:rPr>
        <w:t>Estimated FLOPs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5"/>
        <w:gridCol w:w="2070"/>
        <w:gridCol w:w="2430"/>
        <w:gridCol w:w="2245"/>
      </w:tblGrid>
      <w:tr w:rsidR="00EC659D" w:rsidRPr="00EC659D" w14:paraId="226064CA" w14:textId="77777777" w:rsidTr="00AA1F13">
        <w:trPr>
          <w:tblHeader/>
          <w:tblCellSpacing w:w="15" w:type="dxa"/>
          <w:jc w:val="center"/>
        </w:trPr>
        <w:tc>
          <w:tcPr>
            <w:tcW w:w="2560" w:type="dxa"/>
            <w:vAlign w:val="center"/>
            <w:hideMark/>
          </w:tcPr>
          <w:p w14:paraId="1B329536" w14:textId="77777777" w:rsidR="00EC659D" w:rsidRPr="00EC659D" w:rsidRDefault="00EC659D" w:rsidP="00032D16">
            <w:pPr>
              <w:spacing w:line="276" w:lineRule="auto"/>
              <w:jc w:val="center"/>
              <w:rPr>
                <w:rFonts w:ascii="Times New Roman" w:hAnsi="Times New Roman" w:cs="Times New Roman"/>
                <w:b/>
                <w:bCs/>
              </w:rPr>
            </w:pPr>
            <w:r w:rsidRPr="00EC659D">
              <w:rPr>
                <w:rFonts w:ascii="Times New Roman" w:hAnsi="Times New Roman" w:cs="Times New Roman"/>
                <w:b/>
                <w:bCs/>
              </w:rPr>
              <w:t>Model</w:t>
            </w:r>
          </w:p>
        </w:tc>
        <w:tc>
          <w:tcPr>
            <w:tcW w:w="2040" w:type="dxa"/>
            <w:vAlign w:val="center"/>
            <w:hideMark/>
          </w:tcPr>
          <w:p w14:paraId="7E92F0E3" w14:textId="77777777" w:rsidR="00EC659D" w:rsidRPr="00EC659D" w:rsidRDefault="00EC659D" w:rsidP="00032D16">
            <w:pPr>
              <w:spacing w:line="276" w:lineRule="auto"/>
              <w:jc w:val="center"/>
              <w:rPr>
                <w:rFonts w:ascii="Times New Roman" w:hAnsi="Times New Roman" w:cs="Times New Roman"/>
                <w:b/>
                <w:bCs/>
              </w:rPr>
            </w:pPr>
            <w:r w:rsidRPr="00EC659D">
              <w:rPr>
                <w:rFonts w:ascii="Times New Roman" w:hAnsi="Times New Roman" w:cs="Times New Roman"/>
                <w:b/>
                <w:bCs/>
              </w:rPr>
              <w:t>Parameters</w:t>
            </w:r>
          </w:p>
        </w:tc>
        <w:tc>
          <w:tcPr>
            <w:tcW w:w="2400" w:type="dxa"/>
            <w:vAlign w:val="center"/>
            <w:hideMark/>
          </w:tcPr>
          <w:p w14:paraId="66301E1D" w14:textId="77777777" w:rsidR="00EC659D" w:rsidRPr="00EC659D" w:rsidRDefault="00EC659D" w:rsidP="00032D16">
            <w:pPr>
              <w:spacing w:line="276" w:lineRule="auto"/>
              <w:jc w:val="center"/>
              <w:rPr>
                <w:rFonts w:ascii="Times New Roman" w:hAnsi="Times New Roman" w:cs="Times New Roman"/>
                <w:b/>
                <w:bCs/>
              </w:rPr>
            </w:pPr>
            <w:r w:rsidRPr="00EC659D">
              <w:rPr>
                <w:rFonts w:ascii="Times New Roman" w:hAnsi="Times New Roman" w:cs="Times New Roman"/>
                <w:b/>
                <w:bCs/>
              </w:rPr>
              <w:t>Approximate FLOPs per Token</w:t>
            </w:r>
          </w:p>
        </w:tc>
        <w:tc>
          <w:tcPr>
            <w:tcW w:w="2200" w:type="dxa"/>
            <w:vAlign w:val="center"/>
            <w:hideMark/>
          </w:tcPr>
          <w:p w14:paraId="5F001CDE" w14:textId="77777777" w:rsidR="00EC659D" w:rsidRPr="00EC659D" w:rsidRDefault="00EC659D" w:rsidP="00032D16">
            <w:pPr>
              <w:spacing w:line="276" w:lineRule="auto"/>
              <w:jc w:val="center"/>
              <w:rPr>
                <w:rFonts w:ascii="Times New Roman" w:hAnsi="Times New Roman" w:cs="Times New Roman"/>
                <w:b/>
                <w:bCs/>
              </w:rPr>
            </w:pPr>
            <w:r w:rsidRPr="00EC659D">
              <w:rPr>
                <w:rFonts w:ascii="Times New Roman" w:hAnsi="Times New Roman" w:cs="Times New Roman"/>
                <w:b/>
                <w:bCs/>
              </w:rPr>
              <w:t>Total FLOPs (50 Tokens)</w:t>
            </w:r>
          </w:p>
        </w:tc>
      </w:tr>
      <w:tr w:rsidR="00EC659D" w:rsidRPr="00EC659D" w14:paraId="096072E5" w14:textId="77777777" w:rsidTr="00AA1F13">
        <w:trPr>
          <w:tblCellSpacing w:w="15" w:type="dxa"/>
          <w:jc w:val="center"/>
        </w:trPr>
        <w:tc>
          <w:tcPr>
            <w:tcW w:w="2560" w:type="dxa"/>
            <w:vAlign w:val="center"/>
            <w:hideMark/>
          </w:tcPr>
          <w:p w14:paraId="670761B0" w14:textId="6FED269A" w:rsidR="00EC659D" w:rsidRPr="00EC659D" w:rsidRDefault="00032D16" w:rsidP="00032D16">
            <w:pPr>
              <w:spacing w:line="276" w:lineRule="auto"/>
              <w:jc w:val="center"/>
              <w:rPr>
                <w:rFonts w:ascii="Times New Roman" w:hAnsi="Times New Roman" w:cs="Times New Roman"/>
              </w:rPr>
            </w:pPr>
            <w:r w:rsidRPr="00032D16">
              <w:rPr>
                <w:rFonts w:ascii="Times New Roman" w:hAnsi="Times New Roman" w:cs="Times New Roman"/>
              </w:rPr>
              <w:t>GPT-2 (FP32)</w:t>
            </w:r>
          </w:p>
        </w:tc>
        <w:tc>
          <w:tcPr>
            <w:tcW w:w="2040" w:type="dxa"/>
            <w:vAlign w:val="center"/>
            <w:hideMark/>
          </w:tcPr>
          <w:p w14:paraId="213B81A5" w14:textId="68501CF6" w:rsidR="00EC659D" w:rsidRPr="00EC659D" w:rsidRDefault="00EC659D" w:rsidP="00032D16">
            <w:pPr>
              <w:spacing w:line="276" w:lineRule="auto"/>
              <w:jc w:val="center"/>
              <w:rPr>
                <w:rFonts w:ascii="Times New Roman" w:hAnsi="Times New Roman" w:cs="Times New Roman"/>
              </w:rPr>
            </w:pPr>
            <w:r w:rsidRPr="00EC659D">
              <w:rPr>
                <w:rFonts w:ascii="Times New Roman" w:hAnsi="Times New Roman" w:cs="Times New Roman"/>
              </w:rPr>
              <w:t>124</w:t>
            </w:r>
            <w:r>
              <w:rPr>
                <w:rFonts w:ascii="Times New Roman" w:hAnsi="Times New Roman" w:cs="Times New Roman"/>
              </w:rPr>
              <w:t xml:space="preserve"> m</w:t>
            </w:r>
            <w:r w:rsidRPr="00EC659D">
              <w:rPr>
                <w:rFonts w:ascii="Times New Roman" w:hAnsi="Times New Roman" w:cs="Times New Roman"/>
              </w:rPr>
              <w:t>illion</w:t>
            </w:r>
          </w:p>
        </w:tc>
        <w:tc>
          <w:tcPr>
            <w:tcW w:w="2400" w:type="dxa"/>
            <w:vAlign w:val="center"/>
            <w:hideMark/>
          </w:tcPr>
          <w:p w14:paraId="02E94F37" w14:textId="3AACB4F1" w:rsidR="00EC659D" w:rsidRPr="00EC659D" w:rsidRDefault="00EC659D" w:rsidP="00032D16">
            <w:pPr>
              <w:spacing w:line="276" w:lineRule="auto"/>
              <w:jc w:val="center"/>
              <w:rPr>
                <w:rFonts w:ascii="Times New Roman" w:hAnsi="Times New Roman" w:cs="Times New Roman"/>
              </w:rPr>
            </w:pPr>
            <w:r w:rsidRPr="00EC659D">
              <w:rPr>
                <w:rFonts w:ascii="Times New Roman" w:hAnsi="Times New Roman" w:cs="Times New Roman"/>
              </w:rPr>
              <w:t xml:space="preserve">248 </w:t>
            </w:r>
            <w:r>
              <w:rPr>
                <w:rFonts w:ascii="Times New Roman" w:hAnsi="Times New Roman" w:cs="Times New Roman"/>
              </w:rPr>
              <w:t>m</w:t>
            </w:r>
            <w:r w:rsidRPr="00EC659D">
              <w:rPr>
                <w:rFonts w:ascii="Times New Roman" w:hAnsi="Times New Roman" w:cs="Times New Roman"/>
              </w:rPr>
              <w:t>illion</w:t>
            </w:r>
          </w:p>
        </w:tc>
        <w:tc>
          <w:tcPr>
            <w:tcW w:w="2200" w:type="dxa"/>
            <w:vAlign w:val="center"/>
            <w:hideMark/>
          </w:tcPr>
          <w:p w14:paraId="4B90B444" w14:textId="77777777" w:rsidR="00EC659D" w:rsidRPr="00EC659D" w:rsidRDefault="00EC659D" w:rsidP="00032D16">
            <w:pPr>
              <w:spacing w:line="276" w:lineRule="auto"/>
              <w:jc w:val="center"/>
              <w:rPr>
                <w:rFonts w:ascii="Times New Roman" w:hAnsi="Times New Roman" w:cs="Times New Roman"/>
              </w:rPr>
            </w:pPr>
            <w:r w:rsidRPr="00EC659D">
              <w:rPr>
                <w:rFonts w:ascii="Times New Roman" w:hAnsi="Times New Roman" w:cs="Times New Roman"/>
              </w:rPr>
              <w:t>12.4 GFLOPs</w:t>
            </w:r>
          </w:p>
        </w:tc>
      </w:tr>
      <w:tr w:rsidR="00EC659D" w:rsidRPr="00EC659D" w14:paraId="2457CE8C" w14:textId="77777777" w:rsidTr="00AA1F13">
        <w:trPr>
          <w:tblCellSpacing w:w="15" w:type="dxa"/>
          <w:jc w:val="center"/>
        </w:trPr>
        <w:tc>
          <w:tcPr>
            <w:tcW w:w="2560" w:type="dxa"/>
            <w:vAlign w:val="center"/>
            <w:hideMark/>
          </w:tcPr>
          <w:p w14:paraId="54246BAB" w14:textId="6862A515" w:rsidR="00EC659D" w:rsidRPr="00EC659D" w:rsidRDefault="00032D16" w:rsidP="00032D16">
            <w:pPr>
              <w:spacing w:line="276" w:lineRule="auto"/>
              <w:jc w:val="center"/>
              <w:rPr>
                <w:rFonts w:ascii="Times New Roman" w:hAnsi="Times New Roman" w:cs="Times New Roman"/>
              </w:rPr>
            </w:pPr>
            <w:r>
              <w:rPr>
                <w:rFonts w:ascii="Times New Roman" w:hAnsi="Times New Roman" w:cs="Times New Roman"/>
              </w:rPr>
              <w:t>Q</w:t>
            </w:r>
            <w:r w:rsidRPr="00032D16">
              <w:rPr>
                <w:rFonts w:ascii="Times New Roman" w:hAnsi="Times New Roman" w:cs="Times New Roman"/>
              </w:rPr>
              <w:t>uantized GPT-2 (INT8)</w:t>
            </w:r>
          </w:p>
        </w:tc>
        <w:tc>
          <w:tcPr>
            <w:tcW w:w="2040" w:type="dxa"/>
            <w:vAlign w:val="center"/>
            <w:hideMark/>
          </w:tcPr>
          <w:p w14:paraId="14436CF8" w14:textId="6476B29C" w:rsidR="00EC659D" w:rsidRPr="00EC659D" w:rsidRDefault="00032D16" w:rsidP="00032D16">
            <w:pPr>
              <w:spacing w:line="276" w:lineRule="auto"/>
              <w:jc w:val="center"/>
              <w:rPr>
                <w:rFonts w:ascii="Times New Roman" w:hAnsi="Times New Roman" w:cs="Times New Roman"/>
              </w:rPr>
            </w:pPr>
            <w:r w:rsidRPr="00EC659D">
              <w:rPr>
                <w:rFonts w:ascii="Times New Roman" w:hAnsi="Times New Roman" w:cs="Times New Roman"/>
              </w:rPr>
              <w:t>124</w:t>
            </w:r>
            <w:r>
              <w:rPr>
                <w:rFonts w:ascii="Times New Roman" w:hAnsi="Times New Roman" w:cs="Times New Roman"/>
              </w:rPr>
              <w:t xml:space="preserve"> m</w:t>
            </w:r>
            <w:r w:rsidRPr="00EC659D">
              <w:rPr>
                <w:rFonts w:ascii="Times New Roman" w:hAnsi="Times New Roman" w:cs="Times New Roman"/>
              </w:rPr>
              <w:t>illion</w:t>
            </w:r>
          </w:p>
        </w:tc>
        <w:tc>
          <w:tcPr>
            <w:tcW w:w="2400" w:type="dxa"/>
            <w:vAlign w:val="center"/>
            <w:hideMark/>
          </w:tcPr>
          <w:p w14:paraId="79B82481" w14:textId="33C2583A" w:rsidR="00EC659D" w:rsidRPr="00EC659D" w:rsidRDefault="00032D16" w:rsidP="00032D16">
            <w:pPr>
              <w:spacing w:line="276" w:lineRule="auto"/>
              <w:jc w:val="center"/>
              <w:rPr>
                <w:rFonts w:ascii="Times New Roman" w:hAnsi="Times New Roman" w:cs="Times New Roman"/>
              </w:rPr>
            </w:pPr>
            <w:r w:rsidRPr="00032D16">
              <w:rPr>
                <w:rFonts w:ascii="Times New Roman" w:hAnsi="Times New Roman" w:cs="Times New Roman"/>
              </w:rPr>
              <w:t>~124 million (effective)</w:t>
            </w:r>
          </w:p>
        </w:tc>
        <w:tc>
          <w:tcPr>
            <w:tcW w:w="2200" w:type="dxa"/>
            <w:vAlign w:val="center"/>
            <w:hideMark/>
          </w:tcPr>
          <w:p w14:paraId="285D74D5" w14:textId="2012DF45" w:rsidR="00EC659D" w:rsidRPr="00EC659D" w:rsidRDefault="00032D16" w:rsidP="00032D16">
            <w:pPr>
              <w:spacing w:line="276" w:lineRule="auto"/>
              <w:jc w:val="center"/>
              <w:rPr>
                <w:rFonts w:ascii="Times New Roman" w:hAnsi="Times New Roman" w:cs="Times New Roman"/>
              </w:rPr>
            </w:pPr>
            <w:r w:rsidRPr="00032D16">
              <w:rPr>
                <w:rFonts w:ascii="Times New Roman" w:hAnsi="Times New Roman" w:cs="Times New Roman"/>
              </w:rPr>
              <w:t>~6.2 GFLOPs</w:t>
            </w:r>
          </w:p>
        </w:tc>
      </w:tr>
    </w:tbl>
    <w:p w14:paraId="33BCF846" w14:textId="77777777" w:rsidR="00EC659D" w:rsidRDefault="00EC659D" w:rsidP="00EC659D">
      <w:pPr>
        <w:spacing w:line="276" w:lineRule="auto"/>
        <w:rPr>
          <w:rFonts w:ascii="Times New Roman" w:hAnsi="Times New Roman" w:cs="Times New Roman"/>
          <w:b/>
          <w:bCs/>
        </w:rPr>
      </w:pPr>
    </w:p>
    <w:p w14:paraId="4725F7AC" w14:textId="72C61267" w:rsidR="00EC659D" w:rsidRPr="00EC659D" w:rsidRDefault="00EC659D" w:rsidP="00EC659D">
      <w:pPr>
        <w:spacing w:line="276" w:lineRule="auto"/>
        <w:rPr>
          <w:rFonts w:ascii="Times New Roman" w:hAnsi="Times New Roman" w:cs="Times New Roman"/>
          <w:b/>
          <w:bCs/>
        </w:rPr>
      </w:pPr>
      <w:r w:rsidRPr="00EC659D">
        <w:rPr>
          <w:rFonts w:ascii="Times New Roman" w:hAnsi="Times New Roman" w:cs="Times New Roman"/>
          <w:b/>
          <w:bCs/>
          <w:sz w:val="28"/>
          <w:szCs w:val="28"/>
        </w:rPr>
        <w:t>Observations</w:t>
      </w:r>
    </w:p>
    <w:p w14:paraId="6071CFF4" w14:textId="31CFEA5B" w:rsidR="00D45ECA" w:rsidRPr="00D45ECA" w:rsidRDefault="00D45ECA" w:rsidP="00D45ECA">
      <w:pPr>
        <w:numPr>
          <w:ilvl w:val="0"/>
          <w:numId w:val="1"/>
        </w:numPr>
        <w:spacing w:line="276" w:lineRule="auto"/>
        <w:rPr>
          <w:rFonts w:ascii="Times New Roman" w:hAnsi="Times New Roman" w:cs="Times New Roman"/>
        </w:rPr>
      </w:pPr>
      <w:r w:rsidRPr="00D45ECA">
        <w:rPr>
          <w:rFonts w:ascii="Times New Roman" w:hAnsi="Times New Roman" w:cs="Times New Roman"/>
        </w:rPr>
        <w:t xml:space="preserve">Dynamic INT8 quantization reduced the effective computational workload during inference by replacing floating-point operations with integer operations in supported linear layers. </w:t>
      </w:r>
    </w:p>
    <w:p w14:paraId="0943B6CF" w14:textId="105E81AC" w:rsidR="00D45ECA" w:rsidRPr="00D45ECA" w:rsidRDefault="00D45ECA" w:rsidP="00D45ECA">
      <w:pPr>
        <w:numPr>
          <w:ilvl w:val="0"/>
          <w:numId w:val="1"/>
        </w:numPr>
        <w:spacing w:line="276" w:lineRule="auto"/>
        <w:rPr>
          <w:rFonts w:ascii="Times New Roman" w:hAnsi="Times New Roman" w:cs="Times New Roman"/>
        </w:rPr>
      </w:pPr>
      <w:r w:rsidRPr="00D45ECA">
        <w:rPr>
          <w:rFonts w:ascii="Times New Roman" w:hAnsi="Times New Roman" w:cs="Times New Roman"/>
        </w:rPr>
        <w:t xml:space="preserve">The number of model parameters remained unchanged, but the computational cost per operation decreased substantially. </w:t>
      </w:r>
    </w:p>
    <w:p w14:paraId="05C8DDA6" w14:textId="14A16A72" w:rsidR="00D45ECA" w:rsidRPr="00D45ECA" w:rsidRDefault="00D45ECA" w:rsidP="00D45ECA">
      <w:pPr>
        <w:numPr>
          <w:ilvl w:val="0"/>
          <w:numId w:val="1"/>
        </w:numPr>
        <w:spacing w:line="276" w:lineRule="auto"/>
        <w:rPr>
          <w:rFonts w:ascii="Times New Roman" w:hAnsi="Times New Roman" w:cs="Times New Roman"/>
        </w:rPr>
      </w:pPr>
      <w:r w:rsidRPr="00D45ECA">
        <w:rPr>
          <w:rFonts w:ascii="Times New Roman" w:hAnsi="Times New Roman" w:cs="Times New Roman"/>
        </w:rPr>
        <w:t xml:space="preserve">The quantized model achieved faster inference while producing outputs comparable to the original GPT-2 model. </w:t>
      </w:r>
    </w:p>
    <w:p w14:paraId="05EBD07F" w14:textId="0F7D4B6B" w:rsidR="00D45ECA" w:rsidRPr="00D45ECA" w:rsidRDefault="00D45ECA" w:rsidP="00D45ECA">
      <w:pPr>
        <w:numPr>
          <w:ilvl w:val="0"/>
          <w:numId w:val="1"/>
        </w:numPr>
        <w:spacing w:line="276" w:lineRule="auto"/>
        <w:rPr>
          <w:rFonts w:ascii="Times New Roman" w:hAnsi="Times New Roman" w:cs="Times New Roman"/>
        </w:rPr>
      </w:pPr>
      <w:r w:rsidRPr="00D45ECA">
        <w:rPr>
          <w:rFonts w:ascii="Times New Roman" w:hAnsi="Times New Roman" w:cs="Times New Roman"/>
        </w:rPr>
        <w:t xml:space="preserve">Reduced computational complexity resulted in lower estimated energy consumption and carbon emissions measured using CodeCarbon. </w:t>
      </w:r>
    </w:p>
    <w:p w14:paraId="03F16EE6" w14:textId="54C2FD98" w:rsidR="00EC659D" w:rsidRPr="00EC659D" w:rsidRDefault="00D45ECA" w:rsidP="00D45ECA">
      <w:pPr>
        <w:numPr>
          <w:ilvl w:val="0"/>
          <w:numId w:val="1"/>
        </w:numPr>
        <w:spacing w:line="276" w:lineRule="auto"/>
        <w:rPr>
          <w:rFonts w:ascii="Times New Roman" w:hAnsi="Times New Roman" w:cs="Times New Roman"/>
        </w:rPr>
      </w:pPr>
      <w:r w:rsidRPr="00D45ECA">
        <w:rPr>
          <w:rFonts w:ascii="Times New Roman" w:hAnsi="Times New Roman" w:cs="Times New Roman"/>
        </w:rPr>
        <w:t>Quantization improved inference efficiency without requiring changes to the model architecture or inference pipeline.</w:t>
      </w:r>
    </w:p>
    <w:p w14:paraId="60381E8E" w14:textId="77777777" w:rsidR="00EC659D" w:rsidRPr="00EC659D" w:rsidRDefault="00EC659D" w:rsidP="00EC659D">
      <w:pPr>
        <w:spacing w:line="276" w:lineRule="auto"/>
        <w:rPr>
          <w:rFonts w:ascii="Times New Roman" w:hAnsi="Times New Roman" w:cs="Times New Roman"/>
          <w:b/>
          <w:bCs/>
          <w:sz w:val="28"/>
          <w:szCs w:val="28"/>
        </w:rPr>
      </w:pPr>
      <w:r w:rsidRPr="00EC659D">
        <w:rPr>
          <w:rFonts w:ascii="Times New Roman" w:hAnsi="Times New Roman" w:cs="Times New Roman"/>
          <w:b/>
          <w:bCs/>
          <w:sz w:val="28"/>
          <w:szCs w:val="28"/>
        </w:rPr>
        <w:t>Conclusion</w:t>
      </w:r>
    </w:p>
    <w:p w14:paraId="0C3ACE9E" w14:textId="3257DEF5" w:rsidR="00390845" w:rsidRPr="00EC659D" w:rsidRDefault="003D7BCB" w:rsidP="003D7BCB">
      <w:pPr>
        <w:spacing w:line="276" w:lineRule="auto"/>
        <w:rPr>
          <w:rFonts w:ascii="Times New Roman" w:hAnsi="Times New Roman" w:cs="Times New Roman"/>
        </w:rPr>
      </w:pPr>
      <w:r w:rsidRPr="003D7BCB">
        <w:rPr>
          <w:rFonts w:ascii="Times New Roman" w:hAnsi="Times New Roman" w:cs="Times New Roman"/>
        </w:rPr>
        <w:lastRenderedPageBreak/>
        <w:t>The quantized GPT-2 inference experiments demonstrate that dynamic INT8 quantization is an effective optimization technique for reducing computational complexity and environmental impact. Although the model retains the same number of parameters, lower-precision arithmetic significantly reduces the effective computational workload, leading to shorter execution times, lower energy consumption, and reduced carbon emissions while maintaining similar inference quality. These results highlight quantization as a practical approach for deploying more energy-efficient and environmentally sustainable Large Language Models.</w:t>
      </w:r>
    </w:p>
    <w:sectPr w:rsidR="00390845" w:rsidRPr="00EC65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256"/>
    <w:multiLevelType w:val="multilevel"/>
    <w:tmpl w:val="DC16C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088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9D"/>
    <w:rsid w:val="00032D16"/>
    <w:rsid w:val="0006325A"/>
    <w:rsid w:val="00106E8C"/>
    <w:rsid w:val="0011079E"/>
    <w:rsid w:val="00390845"/>
    <w:rsid w:val="003D7BCB"/>
    <w:rsid w:val="00530112"/>
    <w:rsid w:val="0069359E"/>
    <w:rsid w:val="008001CC"/>
    <w:rsid w:val="009E067F"/>
    <w:rsid w:val="00AA1F13"/>
    <w:rsid w:val="00C41DDB"/>
    <w:rsid w:val="00D45ECA"/>
    <w:rsid w:val="00E46CD3"/>
    <w:rsid w:val="00EC659D"/>
    <w:rsid w:val="00F350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CEF36"/>
  <w15:chartTrackingRefBased/>
  <w15:docId w15:val="{B4199B5F-CD5A-4B0F-A2C9-338807FCF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65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65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65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65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65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65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65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65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65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65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65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65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65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65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65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65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65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659D"/>
    <w:rPr>
      <w:rFonts w:eastAsiaTheme="majorEastAsia" w:cstheme="majorBidi"/>
      <w:color w:val="272727" w:themeColor="text1" w:themeTint="D8"/>
    </w:rPr>
  </w:style>
  <w:style w:type="paragraph" w:styleId="Title">
    <w:name w:val="Title"/>
    <w:basedOn w:val="Normal"/>
    <w:next w:val="Normal"/>
    <w:link w:val="TitleChar"/>
    <w:uiPriority w:val="10"/>
    <w:qFormat/>
    <w:rsid w:val="00EC65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65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65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65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659D"/>
    <w:pPr>
      <w:spacing w:before="160"/>
      <w:jc w:val="center"/>
    </w:pPr>
    <w:rPr>
      <w:i/>
      <w:iCs/>
      <w:color w:val="404040" w:themeColor="text1" w:themeTint="BF"/>
    </w:rPr>
  </w:style>
  <w:style w:type="character" w:customStyle="1" w:styleId="QuoteChar">
    <w:name w:val="Quote Char"/>
    <w:basedOn w:val="DefaultParagraphFont"/>
    <w:link w:val="Quote"/>
    <w:uiPriority w:val="29"/>
    <w:rsid w:val="00EC659D"/>
    <w:rPr>
      <w:i/>
      <w:iCs/>
      <w:color w:val="404040" w:themeColor="text1" w:themeTint="BF"/>
    </w:rPr>
  </w:style>
  <w:style w:type="paragraph" w:styleId="ListParagraph">
    <w:name w:val="List Paragraph"/>
    <w:basedOn w:val="Normal"/>
    <w:uiPriority w:val="34"/>
    <w:qFormat/>
    <w:rsid w:val="00EC659D"/>
    <w:pPr>
      <w:ind w:left="720"/>
      <w:contextualSpacing/>
    </w:pPr>
  </w:style>
  <w:style w:type="character" w:styleId="IntenseEmphasis">
    <w:name w:val="Intense Emphasis"/>
    <w:basedOn w:val="DefaultParagraphFont"/>
    <w:uiPriority w:val="21"/>
    <w:qFormat/>
    <w:rsid w:val="00EC659D"/>
    <w:rPr>
      <w:i/>
      <w:iCs/>
      <w:color w:val="0F4761" w:themeColor="accent1" w:themeShade="BF"/>
    </w:rPr>
  </w:style>
  <w:style w:type="paragraph" w:styleId="IntenseQuote">
    <w:name w:val="Intense Quote"/>
    <w:basedOn w:val="Normal"/>
    <w:next w:val="Normal"/>
    <w:link w:val="IntenseQuoteChar"/>
    <w:uiPriority w:val="30"/>
    <w:qFormat/>
    <w:rsid w:val="00EC65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659D"/>
    <w:rPr>
      <w:i/>
      <w:iCs/>
      <w:color w:val="0F4761" w:themeColor="accent1" w:themeShade="BF"/>
    </w:rPr>
  </w:style>
  <w:style w:type="character" w:styleId="IntenseReference">
    <w:name w:val="Intense Reference"/>
    <w:basedOn w:val="DefaultParagraphFont"/>
    <w:uiPriority w:val="32"/>
    <w:qFormat/>
    <w:rsid w:val="00EC65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311</Words>
  <Characters>1773</Characters>
  <Application>Microsoft Office Word</Application>
  <DocSecurity>0</DocSecurity>
  <Lines>14</Lines>
  <Paragraphs>4</Paragraphs>
  <ScaleCrop>false</ScaleCrop>
  <Company/>
  <LinksUpToDate>false</LinksUpToDate>
  <CharactersWithSpaces>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Moteba Rehman</dc:creator>
  <cp:keywords/>
  <dc:description/>
  <cp:lastModifiedBy>Moteba Rehman</cp:lastModifiedBy>
  <cp:revision>14</cp:revision>
  <dcterms:created xsi:type="dcterms:W3CDTF">2026-06-23T17:08:00Z</dcterms:created>
  <dcterms:modified xsi:type="dcterms:W3CDTF">2026-07-02T04:37:00Z</dcterms:modified>
</cp:coreProperties>
</file>