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3BC7" w14:textId="77777777" w:rsidR="00EC659D" w:rsidRDefault="00EC659D" w:rsidP="00EC659D">
      <w:pPr>
        <w:spacing w:line="276" w:lineRule="auto"/>
        <w:jc w:val="center"/>
        <w:rPr>
          <w:rFonts w:ascii="Times New Roman" w:hAnsi="Times New Roman" w:cs="Times New Roman"/>
          <w:b/>
          <w:bCs/>
          <w:sz w:val="36"/>
          <w:szCs w:val="36"/>
          <w:u w:val="single"/>
        </w:rPr>
      </w:pPr>
      <w:r w:rsidRPr="00EC659D">
        <w:rPr>
          <w:rFonts w:ascii="Times New Roman" w:hAnsi="Times New Roman" w:cs="Times New Roman"/>
          <w:b/>
          <w:bCs/>
          <w:sz w:val="36"/>
          <w:szCs w:val="36"/>
          <w:u w:val="single"/>
        </w:rPr>
        <w:t>FLOPs Estimation Summary for GPT-2 Inference</w:t>
      </w:r>
    </w:p>
    <w:p w14:paraId="03E37DCE" w14:textId="77777777" w:rsidR="00EC659D" w:rsidRPr="00EC659D" w:rsidRDefault="00EC659D" w:rsidP="00EC659D">
      <w:pPr>
        <w:spacing w:line="276" w:lineRule="auto"/>
        <w:jc w:val="center"/>
        <w:rPr>
          <w:rFonts w:ascii="Times New Roman" w:hAnsi="Times New Roman" w:cs="Times New Roman"/>
          <w:b/>
          <w:bCs/>
          <w:u w:val="single"/>
        </w:rPr>
      </w:pPr>
    </w:p>
    <w:p w14:paraId="66E31E5A"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Definition</w:t>
      </w:r>
    </w:p>
    <w:p w14:paraId="32105377" w14:textId="3EF5E754" w:rsidR="00EC659D" w:rsidRPr="00EC659D" w:rsidRDefault="0069359E" w:rsidP="00EC659D">
      <w:pPr>
        <w:spacing w:line="276" w:lineRule="auto"/>
        <w:rPr>
          <w:rFonts w:ascii="Times New Roman" w:hAnsi="Times New Roman" w:cs="Times New Roman"/>
        </w:rPr>
      </w:pPr>
      <w:r w:rsidRPr="0069359E">
        <w:rPr>
          <w:rFonts w:ascii="Times New Roman" w:hAnsi="Times New Roman" w:cs="Times New Roman"/>
        </w:rPr>
        <w:t>FLOPs (Floating Point Operations) represent the number of arithmetic operations performed during model execution. They are commonly used to estimate the computational complexity of deep learning models. Larger language models generally require more FLOPs, leading to longer execution times, higher energy consumption, and greater carbon emissions.</w:t>
      </w:r>
    </w:p>
    <w:p w14:paraId="375EBDDE"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Formula</w:t>
      </w:r>
    </w:p>
    <w:p w14:paraId="486D26E8" w14:textId="77777777" w:rsidR="00E46CD3" w:rsidRPr="0006325A" w:rsidRDefault="00E46CD3" w:rsidP="00E46CD3">
      <w:pPr>
        <w:spacing w:line="276" w:lineRule="auto"/>
        <w:rPr>
          <w:rFonts w:ascii="Times New Roman" w:hAnsi="Times New Roman" w:cs="Times New Roman"/>
        </w:rPr>
      </w:pPr>
      <w:r w:rsidRPr="0006325A">
        <w:rPr>
          <w:rFonts w:ascii="Times New Roman" w:hAnsi="Times New Roman" w:cs="Times New Roman"/>
        </w:rPr>
        <w:t>Total FLOPs = FLOPs per Token × Number of Generated Tokens</w:t>
      </w:r>
    </w:p>
    <w:p w14:paraId="1E7A5FC2" w14:textId="77777777" w:rsidR="00E46CD3" w:rsidRPr="00E46CD3" w:rsidRDefault="00E46CD3" w:rsidP="00E46CD3">
      <w:pPr>
        <w:spacing w:line="276" w:lineRule="auto"/>
        <w:rPr>
          <w:rFonts w:ascii="Times New Roman" w:hAnsi="Times New Roman" w:cs="Times New Roman"/>
        </w:rPr>
      </w:pPr>
      <w:r w:rsidRPr="00E46CD3">
        <w:rPr>
          <w:rFonts w:ascii="Times New Roman" w:hAnsi="Times New Roman" w:cs="Times New Roman"/>
        </w:rPr>
        <w:t xml:space="preserve">For these experiments, each inference generated approximately </w:t>
      </w:r>
      <w:r w:rsidRPr="00E46CD3">
        <w:rPr>
          <w:rFonts w:ascii="Times New Roman" w:hAnsi="Times New Roman" w:cs="Times New Roman"/>
          <w:b/>
          <w:bCs/>
        </w:rPr>
        <w:t>50 output tokens</w:t>
      </w:r>
      <w:r w:rsidRPr="00E46CD3">
        <w:rPr>
          <w:rFonts w:ascii="Times New Roman" w:hAnsi="Times New Roman" w:cs="Times New Roman"/>
        </w:rPr>
        <w:t xml:space="preserve"> per prompt.</w:t>
      </w:r>
    </w:p>
    <w:p w14:paraId="21D24876"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Estimated FLOPs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1266"/>
        <w:gridCol w:w="3091"/>
        <w:gridCol w:w="2448"/>
      </w:tblGrid>
      <w:tr w:rsidR="00EC659D" w:rsidRPr="00EC659D" w14:paraId="226064CA" w14:textId="77777777" w:rsidTr="00EC659D">
        <w:trPr>
          <w:tblHeader/>
          <w:tblCellSpacing w:w="15" w:type="dxa"/>
          <w:jc w:val="center"/>
        </w:trPr>
        <w:tc>
          <w:tcPr>
            <w:tcW w:w="0" w:type="auto"/>
            <w:vAlign w:val="center"/>
            <w:hideMark/>
          </w:tcPr>
          <w:p w14:paraId="1B329536"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Model</w:t>
            </w:r>
          </w:p>
        </w:tc>
        <w:tc>
          <w:tcPr>
            <w:tcW w:w="0" w:type="auto"/>
            <w:vAlign w:val="center"/>
            <w:hideMark/>
          </w:tcPr>
          <w:p w14:paraId="7E92F0E3"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Parameters</w:t>
            </w:r>
          </w:p>
        </w:tc>
        <w:tc>
          <w:tcPr>
            <w:tcW w:w="0" w:type="auto"/>
            <w:vAlign w:val="center"/>
            <w:hideMark/>
          </w:tcPr>
          <w:p w14:paraId="66301E1D"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Approximate FLOPs per Token</w:t>
            </w:r>
          </w:p>
        </w:tc>
        <w:tc>
          <w:tcPr>
            <w:tcW w:w="0" w:type="auto"/>
            <w:vAlign w:val="center"/>
            <w:hideMark/>
          </w:tcPr>
          <w:p w14:paraId="5F001CDE"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Total FLOPs (50 Tokens)</w:t>
            </w:r>
          </w:p>
        </w:tc>
      </w:tr>
      <w:tr w:rsidR="00EC659D" w:rsidRPr="00EC659D" w14:paraId="096072E5" w14:textId="77777777" w:rsidTr="00EC659D">
        <w:trPr>
          <w:tblCellSpacing w:w="15" w:type="dxa"/>
          <w:jc w:val="center"/>
        </w:trPr>
        <w:tc>
          <w:tcPr>
            <w:tcW w:w="0" w:type="auto"/>
            <w:vAlign w:val="center"/>
            <w:hideMark/>
          </w:tcPr>
          <w:p w14:paraId="670761B0" w14:textId="1978E24D" w:rsidR="00EC659D" w:rsidRPr="00EC659D" w:rsidRDefault="007F22CA" w:rsidP="00EC659D">
            <w:pPr>
              <w:spacing w:line="276" w:lineRule="auto"/>
              <w:rPr>
                <w:rFonts w:ascii="Times New Roman" w:hAnsi="Times New Roman" w:cs="Times New Roman"/>
              </w:rPr>
            </w:pPr>
            <w:r w:rsidRPr="007F22CA">
              <w:rPr>
                <w:rFonts w:ascii="Times New Roman" w:hAnsi="Times New Roman" w:cs="Times New Roman"/>
              </w:rPr>
              <w:t>TinyLlama-1.1B-Chat-v1.0</w:t>
            </w:r>
          </w:p>
        </w:tc>
        <w:tc>
          <w:tcPr>
            <w:tcW w:w="0" w:type="auto"/>
            <w:vAlign w:val="center"/>
            <w:hideMark/>
          </w:tcPr>
          <w:p w14:paraId="213B81A5" w14:textId="634118DD"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1</w:t>
            </w:r>
            <w:r w:rsidR="007F22CA" w:rsidRPr="007F22CA">
              <w:rPr>
                <w:rFonts w:ascii="Times New Roman" w:hAnsi="Times New Roman" w:cs="Times New Roman"/>
              </w:rPr>
              <w:t xml:space="preserve">.1 </w:t>
            </w:r>
            <w:r w:rsidR="007F22CA">
              <w:rPr>
                <w:rFonts w:ascii="Times New Roman" w:hAnsi="Times New Roman" w:cs="Times New Roman"/>
              </w:rPr>
              <w:t>b</w:t>
            </w:r>
            <w:r w:rsidR="007F22CA" w:rsidRPr="007F22CA">
              <w:rPr>
                <w:rFonts w:ascii="Times New Roman" w:hAnsi="Times New Roman" w:cs="Times New Roman"/>
              </w:rPr>
              <w:t>illion</w:t>
            </w:r>
          </w:p>
        </w:tc>
        <w:tc>
          <w:tcPr>
            <w:tcW w:w="0" w:type="auto"/>
            <w:vAlign w:val="center"/>
            <w:hideMark/>
          </w:tcPr>
          <w:p w14:paraId="02E94F37" w14:textId="266B3FF9" w:rsidR="00EC659D" w:rsidRPr="00EC659D" w:rsidRDefault="007F22CA" w:rsidP="00EC659D">
            <w:pPr>
              <w:spacing w:line="276" w:lineRule="auto"/>
              <w:rPr>
                <w:rFonts w:ascii="Times New Roman" w:hAnsi="Times New Roman" w:cs="Times New Roman"/>
              </w:rPr>
            </w:pPr>
            <w:r w:rsidRPr="007F22CA">
              <w:rPr>
                <w:rFonts w:ascii="Times New Roman" w:hAnsi="Times New Roman" w:cs="Times New Roman"/>
              </w:rPr>
              <w:t xml:space="preserve">2.2 </w:t>
            </w:r>
            <w:r>
              <w:rPr>
                <w:rFonts w:ascii="Times New Roman" w:hAnsi="Times New Roman" w:cs="Times New Roman"/>
              </w:rPr>
              <w:t>b</w:t>
            </w:r>
            <w:r w:rsidRPr="007F22CA">
              <w:rPr>
                <w:rFonts w:ascii="Times New Roman" w:hAnsi="Times New Roman" w:cs="Times New Roman"/>
              </w:rPr>
              <w:t>illion</w:t>
            </w:r>
          </w:p>
        </w:tc>
        <w:tc>
          <w:tcPr>
            <w:tcW w:w="0" w:type="auto"/>
            <w:vAlign w:val="center"/>
            <w:hideMark/>
          </w:tcPr>
          <w:p w14:paraId="4B90B444" w14:textId="4B079145"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1</w:t>
            </w:r>
            <w:r w:rsidR="007F22CA">
              <w:rPr>
                <w:rFonts w:ascii="Times New Roman" w:hAnsi="Times New Roman" w:cs="Times New Roman"/>
              </w:rPr>
              <w:t>10</w:t>
            </w:r>
            <w:r w:rsidRPr="00EC659D">
              <w:rPr>
                <w:rFonts w:ascii="Times New Roman" w:hAnsi="Times New Roman" w:cs="Times New Roman"/>
              </w:rPr>
              <w:t xml:space="preserve"> GFLOPs</w:t>
            </w:r>
          </w:p>
        </w:tc>
      </w:tr>
    </w:tbl>
    <w:p w14:paraId="33BCF846" w14:textId="77777777" w:rsidR="00EC659D" w:rsidRDefault="00EC659D" w:rsidP="00EC659D">
      <w:pPr>
        <w:spacing w:line="276" w:lineRule="auto"/>
        <w:rPr>
          <w:rFonts w:ascii="Times New Roman" w:hAnsi="Times New Roman" w:cs="Times New Roman"/>
          <w:b/>
          <w:bCs/>
        </w:rPr>
      </w:pPr>
    </w:p>
    <w:p w14:paraId="4725F7AC" w14:textId="72C6126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sz w:val="28"/>
          <w:szCs w:val="28"/>
        </w:rPr>
        <w:t>Observations</w:t>
      </w:r>
    </w:p>
    <w:p w14:paraId="169B6824" w14:textId="57BBCB90" w:rsidR="00EC659D" w:rsidRPr="00EC659D" w:rsidRDefault="001A3C4C" w:rsidP="00EC659D">
      <w:pPr>
        <w:numPr>
          <w:ilvl w:val="0"/>
          <w:numId w:val="1"/>
        </w:numPr>
        <w:spacing w:line="276" w:lineRule="auto"/>
        <w:rPr>
          <w:rFonts w:ascii="Times New Roman" w:hAnsi="Times New Roman" w:cs="Times New Roman"/>
        </w:rPr>
      </w:pPr>
      <w:proofErr w:type="spellStart"/>
      <w:r>
        <w:rPr>
          <w:rFonts w:ascii="Times New Roman" w:hAnsi="Times New Roman" w:cs="Times New Roman"/>
        </w:rPr>
        <w:t>T</w:t>
      </w:r>
      <w:r w:rsidRPr="001A3C4C">
        <w:rPr>
          <w:rFonts w:ascii="Times New Roman" w:hAnsi="Times New Roman" w:cs="Times New Roman"/>
        </w:rPr>
        <w:t>inyLlama</w:t>
      </w:r>
      <w:proofErr w:type="spellEnd"/>
      <w:r w:rsidRPr="001A3C4C">
        <w:rPr>
          <w:rFonts w:ascii="Times New Roman" w:hAnsi="Times New Roman" w:cs="Times New Roman"/>
        </w:rPr>
        <w:t xml:space="preserve"> contains approximately 1.1 billion parameters, making it significantly larger than the GPT-2 models evaluated previously.</w:t>
      </w:r>
    </w:p>
    <w:p w14:paraId="62F6DAB5" w14:textId="37750DCA" w:rsidR="00EC659D" w:rsidRPr="00EC659D" w:rsidRDefault="00F6350F" w:rsidP="00EC659D">
      <w:pPr>
        <w:numPr>
          <w:ilvl w:val="0"/>
          <w:numId w:val="1"/>
        </w:numPr>
        <w:spacing w:line="276" w:lineRule="auto"/>
        <w:rPr>
          <w:rFonts w:ascii="Times New Roman" w:hAnsi="Times New Roman" w:cs="Times New Roman"/>
        </w:rPr>
      </w:pPr>
      <w:r w:rsidRPr="00F6350F">
        <w:rPr>
          <w:rFonts w:ascii="Times New Roman" w:hAnsi="Times New Roman" w:cs="Times New Roman"/>
        </w:rPr>
        <w:t>The increased parameter count results in substantially higher computational complexity and FLOPs during inference.</w:t>
      </w:r>
    </w:p>
    <w:p w14:paraId="33314359" w14:textId="5A984142" w:rsidR="00EC659D" w:rsidRPr="00EC659D" w:rsidRDefault="00083132" w:rsidP="00EC659D">
      <w:pPr>
        <w:numPr>
          <w:ilvl w:val="0"/>
          <w:numId w:val="1"/>
        </w:numPr>
        <w:spacing w:line="276" w:lineRule="auto"/>
        <w:rPr>
          <w:rFonts w:ascii="Times New Roman" w:hAnsi="Times New Roman" w:cs="Times New Roman"/>
        </w:rPr>
      </w:pPr>
      <w:r w:rsidRPr="00083132">
        <w:rPr>
          <w:rFonts w:ascii="Times New Roman" w:hAnsi="Times New Roman" w:cs="Times New Roman"/>
        </w:rPr>
        <w:t>Although the Kaggle Tesla T4 GPU accelerates inference execution, larger transformer models still require greater computational resources.</w:t>
      </w:r>
    </w:p>
    <w:p w14:paraId="03F16EE6" w14:textId="6CC16ADC" w:rsidR="00EC659D" w:rsidRPr="00EC659D" w:rsidRDefault="00777913" w:rsidP="00EC659D">
      <w:pPr>
        <w:numPr>
          <w:ilvl w:val="0"/>
          <w:numId w:val="1"/>
        </w:numPr>
        <w:spacing w:line="276" w:lineRule="auto"/>
        <w:rPr>
          <w:rFonts w:ascii="Times New Roman" w:hAnsi="Times New Roman" w:cs="Times New Roman"/>
        </w:rPr>
      </w:pPr>
      <w:r w:rsidRPr="00777913">
        <w:rPr>
          <w:rFonts w:ascii="Times New Roman" w:hAnsi="Times New Roman" w:cs="Times New Roman"/>
        </w:rPr>
        <w:t>Higher computational demand contributes to increased energy consumption and carbon emissions during model inference.</w:t>
      </w:r>
    </w:p>
    <w:p w14:paraId="60381E8E"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Conclusion</w:t>
      </w:r>
    </w:p>
    <w:p w14:paraId="0C3ACE9E" w14:textId="6E253B5B" w:rsidR="00390845" w:rsidRPr="00EC659D" w:rsidRDefault="000B086F" w:rsidP="000B086F">
      <w:pPr>
        <w:spacing w:line="276" w:lineRule="auto"/>
        <w:rPr>
          <w:rFonts w:ascii="Times New Roman" w:hAnsi="Times New Roman" w:cs="Times New Roman"/>
        </w:rPr>
      </w:pPr>
      <w:r w:rsidRPr="000B086F">
        <w:rPr>
          <w:rFonts w:ascii="Times New Roman" w:hAnsi="Times New Roman" w:cs="Times New Roman"/>
        </w:rPr>
        <w:t xml:space="preserve">The </w:t>
      </w:r>
      <w:proofErr w:type="spellStart"/>
      <w:r w:rsidRPr="000B086F">
        <w:rPr>
          <w:rFonts w:ascii="Times New Roman" w:hAnsi="Times New Roman" w:cs="Times New Roman"/>
        </w:rPr>
        <w:t>TinyLlama</w:t>
      </w:r>
      <w:proofErr w:type="spellEnd"/>
      <w:r w:rsidRPr="000B086F">
        <w:rPr>
          <w:rFonts w:ascii="Times New Roman" w:hAnsi="Times New Roman" w:cs="Times New Roman"/>
        </w:rPr>
        <w:t xml:space="preserve"> inference experiments demonstrate that larger language models require substantially more floating-point operations than smaller transformer models such as GPT-2. As computational complexity increases, energy consumption and carbon emissions also increase, highlighting the importance of optimizing model efficiency for sustainable AI deployment. The </w:t>
      </w:r>
      <w:r w:rsidRPr="000B086F">
        <w:rPr>
          <w:rFonts w:ascii="Times New Roman" w:hAnsi="Times New Roman" w:cs="Times New Roman"/>
        </w:rPr>
        <w:lastRenderedPageBreak/>
        <w:t xml:space="preserve">Kaggle cloud environment equipped with an NVIDIA Tesla T4 GPU provided a suitable platform for executing the experiments while enabling accurate measurement of runtime, energy usage, and carbon emissions using </w:t>
      </w:r>
      <w:proofErr w:type="spellStart"/>
      <w:r w:rsidRPr="000B086F">
        <w:rPr>
          <w:rFonts w:ascii="Times New Roman" w:hAnsi="Times New Roman" w:cs="Times New Roman"/>
        </w:rPr>
        <w:t>CodeCarbon</w:t>
      </w:r>
      <w:proofErr w:type="spellEnd"/>
      <w:r w:rsidRPr="000B086F">
        <w:rPr>
          <w:rFonts w:ascii="Times New Roman" w:hAnsi="Times New Roman" w:cs="Times New Roman"/>
        </w:rPr>
        <w:t>.</w:t>
      </w:r>
    </w:p>
    <w:sectPr w:rsidR="00390845" w:rsidRPr="00EC6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56"/>
    <w:multiLevelType w:val="multilevel"/>
    <w:tmpl w:val="DC1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9D"/>
    <w:rsid w:val="0006325A"/>
    <w:rsid w:val="00083132"/>
    <w:rsid w:val="000B086F"/>
    <w:rsid w:val="00106E8C"/>
    <w:rsid w:val="0011079E"/>
    <w:rsid w:val="001A3C4C"/>
    <w:rsid w:val="002F7F21"/>
    <w:rsid w:val="00390845"/>
    <w:rsid w:val="0069359E"/>
    <w:rsid w:val="00777913"/>
    <w:rsid w:val="007F22CA"/>
    <w:rsid w:val="009E067F"/>
    <w:rsid w:val="00C41DDB"/>
    <w:rsid w:val="00E46CD3"/>
    <w:rsid w:val="00EC659D"/>
    <w:rsid w:val="00F63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F36"/>
  <w15:chartTrackingRefBased/>
  <w15:docId w15:val="{B4199B5F-CD5A-4B0F-A2C9-338807FC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9D"/>
    <w:rPr>
      <w:rFonts w:eastAsiaTheme="majorEastAsia" w:cstheme="majorBidi"/>
      <w:color w:val="272727" w:themeColor="text1" w:themeTint="D8"/>
    </w:rPr>
  </w:style>
  <w:style w:type="paragraph" w:styleId="Title">
    <w:name w:val="Title"/>
    <w:basedOn w:val="Normal"/>
    <w:next w:val="Normal"/>
    <w:link w:val="TitleChar"/>
    <w:uiPriority w:val="10"/>
    <w:qFormat/>
    <w:rsid w:val="00EC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9D"/>
    <w:pPr>
      <w:spacing w:before="160"/>
      <w:jc w:val="center"/>
    </w:pPr>
    <w:rPr>
      <w:i/>
      <w:iCs/>
      <w:color w:val="404040" w:themeColor="text1" w:themeTint="BF"/>
    </w:rPr>
  </w:style>
  <w:style w:type="character" w:customStyle="1" w:styleId="QuoteChar">
    <w:name w:val="Quote Char"/>
    <w:basedOn w:val="DefaultParagraphFont"/>
    <w:link w:val="Quote"/>
    <w:uiPriority w:val="29"/>
    <w:rsid w:val="00EC659D"/>
    <w:rPr>
      <w:i/>
      <w:iCs/>
      <w:color w:val="404040" w:themeColor="text1" w:themeTint="BF"/>
    </w:rPr>
  </w:style>
  <w:style w:type="paragraph" w:styleId="ListParagraph">
    <w:name w:val="List Paragraph"/>
    <w:basedOn w:val="Normal"/>
    <w:uiPriority w:val="34"/>
    <w:qFormat/>
    <w:rsid w:val="00EC659D"/>
    <w:pPr>
      <w:ind w:left="720"/>
      <w:contextualSpacing/>
    </w:pPr>
  </w:style>
  <w:style w:type="character" w:styleId="IntenseEmphasis">
    <w:name w:val="Intense Emphasis"/>
    <w:basedOn w:val="DefaultParagraphFont"/>
    <w:uiPriority w:val="21"/>
    <w:qFormat/>
    <w:rsid w:val="00EC659D"/>
    <w:rPr>
      <w:i/>
      <w:iCs/>
      <w:color w:val="0F4761" w:themeColor="accent1" w:themeShade="BF"/>
    </w:rPr>
  </w:style>
  <w:style w:type="paragraph" w:styleId="IntenseQuote">
    <w:name w:val="Intense Quote"/>
    <w:basedOn w:val="Normal"/>
    <w:next w:val="Normal"/>
    <w:link w:val="IntenseQuoteChar"/>
    <w:uiPriority w:val="30"/>
    <w:qFormat/>
    <w:rsid w:val="00EC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59D"/>
    <w:rPr>
      <w:i/>
      <w:iCs/>
      <w:color w:val="0F4761" w:themeColor="accent1" w:themeShade="BF"/>
    </w:rPr>
  </w:style>
  <w:style w:type="character" w:styleId="IntenseReference">
    <w:name w:val="Intense Reference"/>
    <w:basedOn w:val="DefaultParagraphFont"/>
    <w:uiPriority w:val="32"/>
    <w:qFormat/>
    <w:rsid w:val="00EC6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11</cp:revision>
  <dcterms:created xsi:type="dcterms:W3CDTF">2026-06-23T17:08:00Z</dcterms:created>
  <dcterms:modified xsi:type="dcterms:W3CDTF">2026-06-29T18:48:00Z</dcterms:modified>
</cp:coreProperties>
</file>