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160"/>
      </w:pPr>
    </w:p>
    <w:p>
      <w:pPr>
        <w:spacing w:after="160"/>
      </w:pPr>
    </w:p>
    <w:p>
      <w:pPr>
        <w:spacing w:after="160"/>
      </w:pPr>
    </w:p>
    <w:p>
      <w:pPr>
        <w:spacing w:after="160"/>
      </w:pPr>
    </w:p>
    <w:p>
      <w:pPr>
        <w:spacing w:after="320"/>
        <w:jc w:val="center"/>
      </w:pPr>
      <w:r>
        <w:rPr>
          <w:rFonts w:ascii="Calibri" w:hAnsi="Calibri"/>
          <w:b/>
          <w:i w:val="0"/>
          <w:color w:val="16A6B6"/>
          <w:sz w:val="20"/>
        </w:rPr>
        <w:t>AI-DRIVEN ENERGY RESILIENCE</w:t>
      </w:r>
    </w:p>
    <w:p>
      <w:pPr>
        <w:spacing w:after="120"/>
        <w:jc w:val="center"/>
      </w:pPr>
      <w:r>
        <w:rPr>
          <w:rFonts w:ascii="Calibri" w:hAnsi="Calibri"/>
          <w:b/>
          <w:i w:val="0"/>
          <w:color w:val="0B2545"/>
          <w:sz w:val="68"/>
        </w:rPr>
        <w:t>AEGIS</w:t>
      </w:r>
    </w:p>
    <w:p>
      <w:pPr>
        <w:spacing w:after="240"/>
        <w:jc w:val="center"/>
      </w:pPr>
      <w:r>
        <w:rPr>
          <w:rFonts w:ascii="Calibri" w:hAnsi="Calibri"/>
          <w:b/>
          <w:i w:val="0"/>
          <w:color w:val="167D9A"/>
          <w:sz w:val="34"/>
        </w:rPr>
        <w:t>AI-Driven Energy Supply Chain Resilience System</w:t>
      </w:r>
    </w:p>
    <w:p>
      <w:pPr>
        <w:spacing w:after="680"/>
        <w:jc w:val="center"/>
      </w:pPr>
      <w:r>
        <w:rPr>
          <w:rFonts w:ascii="Calibri" w:hAnsi="Calibri"/>
          <w:b w:val="0"/>
          <w:i/>
          <w:color w:val="586B7A"/>
          <w:sz w:val="23"/>
        </w:rPr>
        <w:t>Detect risk. Simulate disruption. Recommend action—before the crisis hits.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EAF3F6"/>
          </w:tcPr>
          <w:p>
            <w:pPr>
              <w:spacing w:after="40"/>
            </w:pPr>
            <w:r>
              <w:rPr>
                <w:rFonts w:ascii="Calibri" w:hAnsi="Calibri"/>
                <w:b/>
                <w:i w:val="0"/>
                <w:color w:val="16A6B6"/>
                <w:sz w:val="18"/>
              </w:rPr>
              <w:t xml:space="preserve">PROTOTYPE STATUS  </w:t>
            </w:r>
            <w:r>
              <w:rPr>
                <w:rFonts w:ascii="Calibri" w:hAnsi="Calibri"/>
                <w:b w:val="0"/>
                <w:i w:val="0"/>
                <w:color w:val="0B2545"/>
                <w:sz w:val="21"/>
              </w:rPr>
              <w:t>Complete local-first hackathon prototype with FastAPI, React, explainable risk scoring, scenario simulation, route optimization, reserve planning, and offline fallback.</w:t>
            </w:r>
          </w:p>
        </w:tc>
      </w:tr>
    </w:tbl>
    <w:p>
      <w:pPr>
        <w:spacing w:after="20"/>
      </w:pPr>
    </w:p>
    <w:p>
      <w:pPr>
        <w:spacing w:before="1200"/>
        <w:jc w:val="center"/>
      </w:pPr>
      <w:r>
        <w:rPr>
          <w:rFonts w:ascii="Calibri" w:hAnsi="Calibri"/>
          <w:b w:val="0"/>
          <w:i w:val="0"/>
          <w:color w:val="586B7A"/>
          <w:sz w:val="20"/>
        </w:rPr>
        <w:t>Technical Documentation  •  Version 1.0  •  July 2026</w:t>
      </w:r>
    </w:p>
    <w:p>
      <w:r>
        <w:br w:type="page"/>
      </w:r>
    </w:p>
    <w:p>
      <w:pPr>
        <w:pStyle w:val="Heading1"/>
        <w:keepNext/>
      </w:pPr>
      <w:r>
        <w:t>Document Overview</w:t>
      </w:r>
    </w:p>
    <w:p>
      <w:pPr>
        <w:spacing w:after="120" w:line="264" w:lineRule="auto"/>
      </w:pPr>
      <w:r>
        <w:rPr>
          <w:rFonts w:ascii="Calibri" w:hAnsi="Calibri"/>
          <w:b w:val="0"/>
          <w:i w:val="0"/>
          <w:color w:val="17212B"/>
          <w:sz w:val="22"/>
        </w:rPr>
        <w:t>This document explains the complete Aegis prototype: the business problem, architecture, decision models, data strategy, API surface, dashboard behavior, local setup, demonstration workflow, verification status, limitations, and production roadmap.</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EAF3F6"/>
          </w:tcPr>
          <w:p>
            <w:pPr>
              <w:spacing w:after="40"/>
            </w:pPr>
            <w:r>
              <w:rPr>
                <w:rFonts w:ascii="Calibri" w:hAnsi="Calibri"/>
                <w:b/>
                <w:i w:val="0"/>
                <w:color w:val="16A6B6"/>
                <w:sz w:val="18"/>
              </w:rPr>
              <w:t xml:space="preserve">CORE VALUE  </w:t>
            </w:r>
            <w:r>
              <w:rPr>
                <w:rFonts w:ascii="Calibri" w:hAnsi="Calibri"/>
                <w:b w:val="0"/>
                <w:i w:val="0"/>
                <w:color w:val="0B2545"/>
                <w:sz w:val="21"/>
              </w:rPr>
              <w:t>Aegis transforms fragmented geopolitical and logistics signals into measurable disruption estimates and concrete procurement and reserve actions.</w:t>
            </w:r>
          </w:p>
        </w:tc>
      </w:tr>
    </w:tbl>
    <w:p>
      <w:pPr>
        <w:spacing w:after="20"/>
      </w:pPr>
    </w:p>
    <w:p>
      <w:pPr>
        <w:pStyle w:val="Heading1"/>
        <w:keepNext/>
      </w:pPr>
      <w:r>
        <w:t>Executive Summary</w:t>
      </w:r>
    </w:p>
    <w:p>
      <w:pPr>
        <w:spacing w:after="120" w:line="264" w:lineRule="auto"/>
      </w:pPr>
      <w:r>
        <w:rPr>
          <w:rFonts w:ascii="Calibri" w:hAnsi="Calibri"/>
          <w:b w:val="0"/>
          <w:i w:val="0"/>
          <w:color w:val="17212B"/>
          <w:sz w:val="22"/>
        </w:rPr>
        <w:t>Energy supply chains are exposed to fast-moving geopolitical events, sanctions, maritime chokepoint closures, port disruption, and price volatility. Traditional monitoring tools frequently stop at alerting. Aegis goes further by connecting threat detection to scenario analysis and operational recommendations.</w:t>
      </w:r>
    </w:p>
    <w:p>
      <w:pPr>
        <w:spacing w:after="120" w:line="264" w:lineRule="auto"/>
      </w:pPr>
      <w:r>
        <w:rPr>
          <w:rFonts w:ascii="Calibri" w:hAnsi="Calibri"/>
          <w:b w:val="0"/>
          <w:i w:val="0"/>
          <w:color w:val="17212B"/>
          <w:sz w:val="22"/>
        </w:rPr>
        <w:t>The prototype runs locally without paid services or API keys. Its live data adapters are optional, and every network-dependent path falls back to deterministic, realistic data. This makes the solution dependable during demonstrations while keeping the architecture ready for future production feeds.</w:t>
      </w:r>
    </w:p>
    <w:tbl>
      <w:tblPr>
        <w:tblStyle w:val="TableGrid"/>
        <w:tblW w:type="dxa" w:w="9360"/>
        <w:tblLayout w:type="fixed"/>
        <w:tblLook w:firstColumn="1" w:firstRow="1" w:lastColumn="0" w:lastRow="0" w:noHBand="0" w:noVBand="1" w:val="04A0"/>
        <w:jc w:val="left"/>
        <w:tblInd w:w="120" w:type="dxa"/>
      </w:tblPr>
      <w:tblGrid>
        <w:gridCol w:w="1700"/>
        <w:gridCol w:w="3900"/>
        <w:gridCol w:w="3760"/>
      </w:tblGrid>
      <w:tr>
        <w:trPr>
          <w:tblHeader w:val="true"/>
        </w:trPr>
        <w:tc>
          <w:tcPr>
            <w:tcW w:type="dxa" w:w="1700"/>
            <w:vAlign w:val="center"/>
            <w:tcMar>
              <w:top w:w="100" w:type="dxa"/>
              <w:start w:w="120" w:type="dxa"/>
              <w:bottom w:w="100" w:type="dxa"/>
              <w:end w:w="120" w:type="dxa"/>
            </w:tcMar>
            <w:shd w:fill="0B2545"/>
          </w:tcPr>
          <w:p>
            <w:pPr>
              <w:spacing w:after="0"/>
            </w:pPr>
            <w:r>
              <w:rPr>
                <w:rFonts w:ascii="Calibri" w:hAnsi="Calibri"/>
                <w:b/>
                <w:i w:val="0"/>
                <w:color w:val="FFFFFF"/>
                <w:sz w:val="18"/>
              </w:rPr>
              <w:t>Capability</w:t>
            </w:r>
          </w:p>
        </w:tc>
        <w:tc>
          <w:tcPr>
            <w:tcW w:type="dxa" w:w="3900"/>
            <w:vAlign w:val="center"/>
            <w:tcMar>
              <w:top w:w="100" w:type="dxa"/>
              <w:start w:w="120" w:type="dxa"/>
              <w:bottom w:w="100" w:type="dxa"/>
              <w:end w:w="120" w:type="dxa"/>
            </w:tcMar>
            <w:shd w:fill="0B2545"/>
          </w:tcPr>
          <w:p>
            <w:pPr>
              <w:spacing w:after="0"/>
            </w:pPr>
            <w:r>
              <w:rPr>
                <w:rFonts w:ascii="Calibri" w:hAnsi="Calibri"/>
                <w:b/>
                <w:i w:val="0"/>
                <w:color w:val="FFFFFF"/>
                <w:sz w:val="18"/>
              </w:rPr>
              <w:t>What Aegis provides</w:t>
            </w:r>
          </w:p>
        </w:tc>
        <w:tc>
          <w:tcPr>
            <w:tcW w:type="dxa" w:w="3760"/>
            <w:vAlign w:val="center"/>
            <w:tcMar>
              <w:top w:w="100" w:type="dxa"/>
              <w:start w:w="120" w:type="dxa"/>
              <w:bottom w:w="100" w:type="dxa"/>
              <w:end w:w="120" w:type="dxa"/>
            </w:tcMar>
            <w:shd w:fill="0B2545"/>
          </w:tcPr>
          <w:p>
            <w:pPr>
              <w:spacing w:after="0"/>
            </w:pPr>
            <w:r>
              <w:rPr>
                <w:rFonts w:ascii="Calibri" w:hAnsi="Calibri"/>
                <w:b/>
                <w:i w:val="0"/>
                <w:color w:val="FFFFFF"/>
                <w:sz w:val="18"/>
              </w:rPr>
              <w:t>Prototype implementation</w:t>
            </w:r>
          </w:p>
        </w:tc>
      </w:tr>
      <w:tr>
        <w:tc>
          <w:tcPr>
            <w:tcW w:type="dxa" w:w="1700"/>
            <w:vAlign w:val="center"/>
            <w:tcMar>
              <w:top w:w="100" w:type="dxa"/>
              <w:start w:w="120" w:type="dxa"/>
              <w:bottom w:w="100" w:type="dxa"/>
              <w:end w:w="120" w:type="dxa"/>
            </w:tcMar>
          </w:tcPr>
          <w:p>
            <w:pPr>
              <w:spacing w:after="0" w:line="252" w:lineRule="auto"/>
            </w:pPr>
            <w:r>
              <w:rPr>
                <w:rFonts w:ascii="Calibri" w:hAnsi="Calibri"/>
                <w:b w:val="0"/>
                <w:i w:val="0"/>
                <w:color w:val="17212B"/>
                <w:sz w:val="18"/>
              </w:rPr>
              <w:t>Risk intelligence</w:t>
            </w:r>
          </w:p>
        </w:tc>
        <w:tc>
          <w:tcPr>
            <w:tcW w:type="dxa" w:w="3900"/>
            <w:vAlign w:val="center"/>
            <w:tcMar>
              <w:top w:w="100" w:type="dxa"/>
              <w:start w:w="120" w:type="dxa"/>
              <w:bottom w:w="100" w:type="dxa"/>
              <w:end w:w="120" w:type="dxa"/>
            </w:tcMar>
          </w:tcPr>
          <w:p>
            <w:pPr>
              <w:spacing w:after="0" w:line="252" w:lineRule="auto"/>
            </w:pPr>
            <w:r>
              <w:rPr>
                <w:rFonts w:ascii="Calibri" w:hAnsi="Calibri"/>
                <w:b w:val="0"/>
                <w:i w:val="0"/>
                <w:color w:val="17212B"/>
                <w:sz w:val="18"/>
              </w:rPr>
              <w:t>0–100 geopolitical risk score with evidence</w:t>
            </w:r>
          </w:p>
        </w:tc>
        <w:tc>
          <w:tcPr>
            <w:tcW w:type="dxa" w:w="3760"/>
            <w:vAlign w:val="center"/>
            <w:tcMar>
              <w:top w:w="100" w:type="dxa"/>
              <w:start w:w="120" w:type="dxa"/>
              <w:bottom w:w="100" w:type="dxa"/>
              <w:end w:w="120" w:type="dxa"/>
            </w:tcMar>
          </w:tcPr>
          <w:p>
            <w:pPr>
              <w:spacing w:after="0" w:line="252" w:lineRule="auto"/>
            </w:pPr>
            <w:r>
              <w:rPr>
                <w:rFonts w:ascii="Calibri" w:hAnsi="Calibri"/>
                <w:b w:val="0"/>
                <w:i w:val="0"/>
                <w:color w:val="17212B"/>
                <w:sz w:val="18"/>
              </w:rPr>
              <w:t>Weighted explainable NLP classifier</w:t>
            </w:r>
          </w:p>
        </w:tc>
      </w:tr>
      <w:tr>
        <w:tc>
          <w:tcPr>
            <w:tcW w:type="dxa" w:w="170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Disruption simulation</w:t>
            </w:r>
          </w:p>
        </w:tc>
        <w:tc>
          <w:tcPr>
            <w:tcW w:type="dxa" w:w="390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Supply loss and approximate price shock</w:t>
            </w:r>
          </w:p>
        </w:tc>
        <w:tc>
          <w:tcPr>
            <w:tcW w:type="dxa" w:w="376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Event profiles and short-run substitution model</w:t>
            </w:r>
          </w:p>
        </w:tc>
      </w:tr>
      <w:tr>
        <w:tc>
          <w:tcPr>
            <w:tcW w:type="dxa" w:w="1700"/>
            <w:vAlign w:val="center"/>
            <w:tcMar>
              <w:top w:w="100" w:type="dxa"/>
              <w:start w:w="120" w:type="dxa"/>
              <w:bottom w:w="100" w:type="dxa"/>
              <w:end w:w="120" w:type="dxa"/>
            </w:tcMar>
          </w:tcPr>
          <w:p>
            <w:pPr>
              <w:spacing w:after="0" w:line="252" w:lineRule="auto"/>
            </w:pPr>
            <w:r>
              <w:rPr>
                <w:rFonts w:ascii="Calibri" w:hAnsi="Calibri"/>
                <w:b w:val="0"/>
                <w:i w:val="0"/>
                <w:color w:val="17212B"/>
                <w:sz w:val="18"/>
              </w:rPr>
              <w:t>Adaptive procurement</w:t>
            </w:r>
          </w:p>
        </w:tc>
        <w:tc>
          <w:tcPr>
            <w:tcW w:type="dxa" w:w="3900"/>
            <w:vAlign w:val="center"/>
            <w:tcMar>
              <w:top w:w="100" w:type="dxa"/>
              <w:start w:w="120" w:type="dxa"/>
              <w:bottom w:w="100" w:type="dxa"/>
              <w:end w:w="120" w:type="dxa"/>
            </w:tcMar>
          </w:tcPr>
          <w:p>
            <w:pPr>
              <w:spacing w:after="0" w:line="252" w:lineRule="auto"/>
            </w:pPr>
            <w:r>
              <w:rPr>
                <w:rFonts w:ascii="Calibri" w:hAnsi="Calibri"/>
                <w:b w:val="0"/>
                <w:i w:val="0"/>
                <w:color w:val="17212B"/>
                <w:sz w:val="18"/>
              </w:rPr>
              <w:t>Alternative suppliers and routes</w:t>
            </w:r>
          </w:p>
        </w:tc>
        <w:tc>
          <w:tcPr>
            <w:tcW w:type="dxa" w:w="3760"/>
            <w:vAlign w:val="center"/>
            <w:tcMar>
              <w:top w:w="100" w:type="dxa"/>
              <w:start w:w="120" w:type="dxa"/>
              <w:bottom w:w="100" w:type="dxa"/>
              <w:end w:w="120" w:type="dxa"/>
            </w:tcMar>
          </w:tcPr>
          <w:p>
            <w:pPr>
              <w:spacing w:after="0" w:line="252" w:lineRule="auto"/>
            </w:pPr>
            <w:r>
              <w:rPr>
                <w:rFonts w:ascii="Calibri" w:hAnsi="Calibri"/>
                <w:b w:val="0"/>
                <w:i w:val="0"/>
                <w:color w:val="17212B"/>
                <w:sz w:val="18"/>
              </w:rPr>
              <w:t>Graph search plus multi-factor ranking</w:t>
            </w:r>
          </w:p>
        </w:tc>
      </w:tr>
      <w:tr>
        <w:tc>
          <w:tcPr>
            <w:tcW w:type="dxa" w:w="170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Strategic reserves</w:t>
            </w:r>
          </w:p>
        </w:tc>
        <w:tc>
          <w:tcPr>
            <w:tcW w:type="dxa" w:w="390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Policy-safe release recommendation</w:t>
            </w:r>
          </w:p>
        </w:tc>
        <w:tc>
          <w:tcPr>
            <w:tcW w:type="dxa" w:w="376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Shortage coverage optimizer</w:t>
            </w:r>
          </w:p>
        </w:tc>
      </w:tr>
      <w:tr>
        <w:tc>
          <w:tcPr>
            <w:tcW w:type="dxa" w:w="1700"/>
            <w:vAlign w:val="center"/>
            <w:tcMar>
              <w:top w:w="100" w:type="dxa"/>
              <w:start w:w="120" w:type="dxa"/>
              <w:bottom w:w="100" w:type="dxa"/>
              <w:end w:w="120" w:type="dxa"/>
            </w:tcMar>
          </w:tcPr>
          <w:p>
            <w:pPr>
              <w:spacing w:after="0" w:line="252" w:lineRule="auto"/>
            </w:pPr>
            <w:r>
              <w:rPr>
                <w:rFonts w:ascii="Calibri" w:hAnsi="Calibri"/>
                <w:b w:val="0"/>
                <w:i w:val="0"/>
                <w:color w:val="17212B"/>
                <w:sz w:val="18"/>
              </w:rPr>
              <w:t>Decision dashboard</w:t>
            </w:r>
          </w:p>
        </w:tc>
        <w:tc>
          <w:tcPr>
            <w:tcW w:type="dxa" w:w="3900"/>
            <w:vAlign w:val="center"/>
            <w:tcMar>
              <w:top w:w="100" w:type="dxa"/>
              <w:start w:w="120" w:type="dxa"/>
              <w:bottom w:w="100" w:type="dxa"/>
              <w:end w:w="120" w:type="dxa"/>
            </w:tcMar>
          </w:tcPr>
          <w:p>
            <w:pPr>
              <w:spacing w:after="0" w:line="252" w:lineRule="auto"/>
            </w:pPr>
            <w:r>
              <w:rPr>
                <w:rFonts w:ascii="Calibri" w:hAnsi="Calibri"/>
                <w:b w:val="0"/>
                <w:i w:val="0"/>
                <w:color w:val="17212B"/>
                <w:sz w:val="18"/>
              </w:rPr>
              <w:t>Executive view and scenario controls</w:t>
            </w:r>
          </w:p>
        </w:tc>
        <w:tc>
          <w:tcPr>
            <w:tcW w:type="dxa" w:w="3760"/>
            <w:vAlign w:val="center"/>
            <w:tcMar>
              <w:top w:w="100" w:type="dxa"/>
              <w:start w:w="120" w:type="dxa"/>
              <w:bottom w:w="100" w:type="dxa"/>
              <w:end w:w="120" w:type="dxa"/>
            </w:tcMar>
          </w:tcPr>
          <w:p>
            <w:pPr>
              <w:spacing w:after="0" w:line="252" w:lineRule="auto"/>
            </w:pPr>
            <w:r>
              <w:rPr>
                <w:rFonts w:ascii="Calibri" w:hAnsi="Calibri"/>
                <w:b w:val="0"/>
                <w:i w:val="0"/>
                <w:color w:val="17212B"/>
                <w:sz w:val="18"/>
              </w:rPr>
              <w:t>Responsive React command center</w:t>
            </w:r>
          </w:p>
        </w:tc>
      </w:tr>
    </w:tbl>
    <w:p>
      <w:pPr>
        <w:spacing w:after="40"/>
      </w:pPr>
    </w:p>
    <w:p>
      <w:pPr>
        <w:pStyle w:val="Heading1"/>
        <w:keepNext/>
      </w:pPr>
      <w:r>
        <w:t>1. Problem Statement</w:t>
      </w:r>
    </w:p>
    <w:p>
      <w:pPr>
        <w:spacing w:after="120" w:line="264" w:lineRule="auto"/>
      </w:pPr>
      <w:r>
        <w:rPr>
          <w:rFonts w:ascii="Calibri" w:hAnsi="Calibri"/>
          <w:b w:val="0"/>
          <w:i w:val="0"/>
          <w:color w:val="17212B"/>
          <w:sz w:val="22"/>
        </w:rPr>
        <w:t>Major energy flows depend on a small number of suppliers, ports, pipelines, canals, and maritime chokepoints. A regional conflict or shipping closure can therefore create cascading shortages and price shocks far beyond the original event.</w:t>
      </w:r>
    </w:p>
    <w:p>
      <w:pPr>
        <w:pStyle w:val="Heading2"/>
        <w:keepNext/>
      </w:pPr>
      <w:r>
        <w:t>Key operational challenges</w:t>
      </w:r>
    </w:p>
    <w:p>
      <w:pPr>
        <w:pStyle w:val="ListBullet"/>
        <w:spacing w:after="100" w:line="264" w:lineRule="auto"/>
        <w:ind w:left="720" w:hanging="360"/>
      </w:pPr>
      <w:r>
        <w:rPr>
          <w:rFonts w:ascii="Calibri" w:hAnsi="Calibri"/>
          <w:b w:val="0"/>
          <w:i w:val="0"/>
          <w:color w:val="17212B"/>
          <w:sz w:val="21"/>
        </w:rPr>
        <w:t>Relevant signals are scattered across news, maritime, commodity, and trade sources.</w:t>
      </w:r>
    </w:p>
    <w:p>
      <w:pPr>
        <w:pStyle w:val="ListBullet"/>
        <w:spacing w:after="100" w:line="264" w:lineRule="auto"/>
        <w:ind w:left="720" w:hanging="360"/>
      </w:pPr>
      <w:r>
        <w:rPr>
          <w:rFonts w:ascii="Calibri" w:hAnsi="Calibri"/>
          <w:b w:val="0"/>
          <w:i w:val="0"/>
          <w:color w:val="17212B"/>
          <w:sz w:val="21"/>
        </w:rPr>
        <w:t>Risk teams can identify a threat but may not quantify its operational impact quickly.</w:t>
      </w:r>
    </w:p>
    <w:p>
      <w:pPr>
        <w:pStyle w:val="ListBullet"/>
        <w:spacing w:after="100" w:line="264" w:lineRule="auto"/>
        <w:ind w:left="720" w:hanging="360"/>
      </w:pPr>
      <w:r>
        <w:rPr>
          <w:rFonts w:ascii="Calibri" w:hAnsi="Calibri"/>
          <w:b w:val="0"/>
          <w:i w:val="0"/>
          <w:color w:val="17212B"/>
          <w:sz w:val="21"/>
        </w:rPr>
        <w:t>Procurement teams need feasible replacement suppliers, routes, capacity, cost, and arrival-time estimates.</w:t>
      </w:r>
    </w:p>
    <w:p>
      <w:pPr>
        <w:pStyle w:val="ListBullet"/>
        <w:spacing w:after="100" w:line="264" w:lineRule="auto"/>
        <w:ind w:left="720" w:hanging="360"/>
      </w:pPr>
      <w:r>
        <w:rPr>
          <w:rFonts w:ascii="Calibri" w:hAnsi="Calibri"/>
          <w:b w:val="0"/>
          <w:i w:val="0"/>
          <w:color w:val="17212B"/>
          <w:sz w:val="21"/>
        </w:rPr>
        <w:t>Strategic reserves must bridge the immediate shortage without violating policy floors.</w:t>
      </w:r>
    </w:p>
    <w:p>
      <w:pPr>
        <w:pStyle w:val="ListBullet"/>
        <w:spacing w:after="100" w:line="264" w:lineRule="auto"/>
        <w:ind w:left="720" w:hanging="360"/>
      </w:pPr>
      <w:r>
        <w:rPr>
          <w:rFonts w:ascii="Calibri" w:hAnsi="Calibri"/>
          <w:b w:val="0"/>
          <w:i w:val="0"/>
          <w:color w:val="17212B"/>
          <w:sz w:val="21"/>
        </w:rPr>
        <w:t>Executives need a concise and explainable decision view rather than another raw-data dashboard.</w:t>
      </w:r>
    </w:p>
    <w:p>
      <w:pPr>
        <w:pStyle w:val="Heading2"/>
        <w:keepNext/>
      </w:pPr>
      <w:r>
        <w:t>Project objective</w:t>
      </w:r>
    </w:p>
    <w:p>
      <w:pPr>
        <w:spacing w:after="120" w:line="264" w:lineRule="auto"/>
      </w:pPr>
      <w:r>
        <w:rPr>
          <w:rFonts w:ascii="Calibri" w:hAnsi="Calibri"/>
          <w:b w:val="0"/>
          <w:i w:val="0"/>
          <w:color w:val="17212B"/>
          <w:sz w:val="22"/>
        </w:rPr>
        <w:t>Build a working local prototype that detects emerging energy supply-chain risk, simulates disruption scenarios, recommends alternative procurement plans, optimizes reserve releases, and presents results in a decision-ready dashboard.</w:t>
      </w:r>
    </w:p>
    <w:p>
      <w:pPr>
        <w:pStyle w:val="Heading1"/>
        <w:keepNext/>
      </w:pPr>
      <w:r>
        <w:t>2. System Architecture</w:t>
      </w:r>
    </w:p>
    <w:p>
      <w:pPr>
        <w:spacing w:after="120" w:line="264" w:lineRule="auto"/>
      </w:pPr>
      <w:r>
        <w:rPr>
          <w:rFonts w:ascii="Calibri" w:hAnsi="Calibri"/>
          <w:b w:val="0"/>
          <w:i w:val="0"/>
          <w:color w:val="17212B"/>
          <w:sz w:val="22"/>
        </w:rPr>
        <w:t>Aegis uses a layered architecture so that data sources, analytics, decision logic, APIs, and the user interface can evolve independently.</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F3F7F9"/>
          </w:tcPr>
          <w:p>
            <w:pPr>
              <w:pStyle w:val="ArchitectureCode"/>
            </w:pPr>
            <w:r>
              <w:rPr>
                <w:rFonts w:ascii="Courier New" w:hAnsi="Courier New"/>
                <w:b w:val="0"/>
                <w:i w:val="0"/>
                <w:color w:val="0B2545"/>
                <w:sz w:val="16"/>
              </w:rPr>
              <w:t>┌────────────────────── DATA INGESTION ──────────────────────┐</w:t>
            </w:r>
          </w:p>
          <w:p>
            <w:pPr>
              <w:pStyle w:val="ArchitectureCode"/>
            </w:pPr>
            <w:r>
              <w:rPr>
                <w:rFonts w:ascii="Courier New" w:hAnsi="Courier New"/>
                <w:b w:val="0"/>
                <w:i w:val="0"/>
                <w:color w:val="0B2545"/>
                <w:sz w:val="16"/>
              </w:rPr>
              <w:t>│ GDELT RSS │ NOAA/USCG AIS │ World Bank │ UN Comtrade     │</w:t>
            </w:r>
          </w:p>
          <w:p>
            <w:pPr>
              <w:pStyle w:val="ArchitectureCode"/>
            </w:pPr>
            <w:r>
              <w:rPr>
                <w:rFonts w:ascii="Courier New" w:hAnsi="Courier New"/>
                <w:b w:val="0"/>
                <w:i w:val="0"/>
                <w:color w:val="0B2545"/>
                <w:sz w:val="16"/>
              </w:rPr>
              <w:t>└───────────┬──────────────┬────────────┬──────────────────┘</w:t>
            </w:r>
          </w:p>
          <w:p>
            <w:pPr>
              <w:pStyle w:val="ArchitectureCode"/>
            </w:pPr>
            <w:r>
              <w:rPr>
                <w:rFonts w:ascii="Courier New" w:hAnsi="Courier New"/>
                <w:b w:val="0"/>
                <w:i w:val="0"/>
                <w:color w:val="0B2545"/>
                <w:sz w:val="16"/>
              </w:rPr>
              <w:t xml:space="preserve">            └──────────────┴──────┬─────┴──────────────┐</w:t>
            </w:r>
          </w:p>
          <w:p>
            <w:pPr>
              <w:pStyle w:val="ArchitectureCode"/>
            </w:pPr>
            <w:r>
              <w:rPr>
                <w:rFonts w:ascii="Courier New" w:hAnsi="Courier New"/>
                <w:b w:val="0"/>
                <w:i w:val="0"/>
                <w:color w:val="0B2545"/>
                <w:sz w:val="16"/>
              </w:rPr>
              <w:t xml:space="preserve">                                  ▼                    │</w:t>
            </w:r>
          </w:p>
          <w:p>
            <w:pPr>
              <w:pStyle w:val="ArchitectureCode"/>
            </w:pPr>
            <w:r>
              <w:rPr>
                <w:rFonts w:ascii="Courier New" w:hAnsi="Courier New"/>
                <w:b w:val="0"/>
                <w:i w:val="0"/>
                <w:color w:val="0B2545"/>
                <w:sz w:val="16"/>
              </w:rPr>
              <w:t xml:space="preserve">                 ┌──────────────────────────┐           │</w:t>
            </w:r>
          </w:p>
          <w:p>
            <w:pPr>
              <w:pStyle w:val="ArchitectureCode"/>
            </w:pPr>
            <w:r>
              <w:rPr>
                <w:rFonts w:ascii="Courier New" w:hAnsi="Courier New"/>
                <w:b w:val="0"/>
                <w:i w:val="0"/>
                <w:color w:val="0B2545"/>
                <w:sz w:val="16"/>
              </w:rPr>
              <w:t xml:space="preserve">                 │ DataHub normalization    │◄── Offline │</w:t>
            </w:r>
          </w:p>
          <w:p>
            <w:pPr>
              <w:pStyle w:val="ArchitectureCode"/>
            </w:pPr>
            <w:r>
              <w:rPr>
                <w:rFonts w:ascii="Courier New" w:hAnsi="Courier New"/>
                <w:b w:val="0"/>
                <w:i w:val="0"/>
                <w:color w:val="0B2545"/>
                <w:sz w:val="16"/>
              </w:rPr>
              <w:t xml:space="preserve">                 │ timeout + safe fallback  │   snapshot │</w:t>
            </w:r>
          </w:p>
          <w:p>
            <w:pPr>
              <w:pStyle w:val="ArchitectureCode"/>
            </w:pPr>
            <w:r>
              <w:rPr>
                <w:rFonts w:ascii="Courier New" w:hAnsi="Courier New"/>
                <w:b w:val="0"/>
                <w:i w:val="0"/>
                <w:color w:val="0B2545"/>
                <w:sz w:val="16"/>
              </w:rPr>
              <w:t xml:space="preserve">                 └────────────┬─────────────┘           │</w:t>
            </w:r>
          </w:p>
          <w:p>
            <w:pPr>
              <w:pStyle w:val="ArchitectureCode"/>
            </w:pPr>
            <w:r>
              <w:rPr>
                <w:rFonts w:ascii="Courier New" w:hAnsi="Courier New"/>
                <w:b w:val="0"/>
                <w:i w:val="0"/>
                <w:color w:val="0B2545"/>
                <w:sz w:val="16"/>
              </w:rPr>
              <w:t xml:space="preserve">                              ▼                         │</w:t>
            </w:r>
          </w:p>
          <w:p>
            <w:pPr>
              <w:pStyle w:val="ArchitectureCode"/>
            </w:pPr>
            <w:r>
              <w:rPr>
                <w:rFonts w:ascii="Courier New" w:hAnsi="Courier New"/>
                <w:b w:val="0"/>
                <w:i w:val="0"/>
                <w:color w:val="0B2545"/>
                <w:sz w:val="16"/>
              </w:rPr>
              <w:t xml:space="preserve">     ┌──────────────── AI / ANALYTICS ───────────────┐  │</w:t>
            </w:r>
          </w:p>
          <w:p>
            <w:pPr>
              <w:pStyle w:val="ArchitectureCode"/>
            </w:pPr>
            <w:r>
              <w:rPr>
                <w:rFonts w:ascii="Courier New" w:hAnsi="Courier New"/>
                <w:b w:val="0"/>
                <w:i w:val="0"/>
                <w:color w:val="0B2545"/>
                <w:sz w:val="16"/>
              </w:rPr>
              <w:t xml:space="preserve">     │ NLP risk scoring │ event profiles │ evidence │  │</w:t>
            </w:r>
          </w:p>
          <w:p>
            <w:pPr>
              <w:pStyle w:val="ArchitectureCode"/>
            </w:pPr>
            <w:r>
              <w:rPr>
                <w:rFonts w:ascii="Courier New" w:hAnsi="Courier New"/>
                <w:b w:val="0"/>
                <w:i w:val="0"/>
                <w:color w:val="0B2545"/>
                <w:sz w:val="16"/>
              </w:rPr>
              <w:t xml:space="preserve">     └──────────────────┬────────────────────────────┘  │</w:t>
            </w:r>
          </w:p>
          <w:p>
            <w:pPr>
              <w:pStyle w:val="ArchitectureCode"/>
            </w:pPr>
            <w:r>
              <w:rPr>
                <w:rFonts w:ascii="Courier New" w:hAnsi="Courier New"/>
                <w:b w:val="0"/>
                <w:i w:val="0"/>
                <w:color w:val="0B2545"/>
                <w:sz w:val="16"/>
              </w:rPr>
              <w:t xml:space="preserve">                        ▼                               │</w:t>
            </w:r>
          </w:p>
          <w:p>
            <w:pPr>
              <w:pStyle w:val="ArchitectureCode"/>
            </w:pPr>
            <w:r>
              <w:rPr>
                <w:rFonts w:ascii="Courier New" w:hAnsi="Courier New"/>
                <w:b w:val="0"/>
                <w:i w:val="0"/>
                <w:color w:val="0B2545"/>
                <w:sz w:val="16"/>
              </w:rPr>
              <w:t xml:space="preserve">     ┌──────────────── DECISION ENGINE ───────────────┐ │</w:t>
            </w:r>
          </w:p>
          <w:p>
            <w:pPr>
              <w:pStyle w:val="ArchitectureCode"/>
            </w:pPr>
            <w:r>
              <w:rPr>
                <w:rFonts w:ascii="Courier New" w:hAnsi="Courier New"/>
                <w:b w:val="0"/>
                <w:i w:val="0"/>
                <w:color w:val="0B2545"/>
                <w:sz w:val="16"/>
              </w:rPr>
              <w:t xml:space="preserve">     │ scenario │ route graph │ suppliers │ reserves │ │</w:t>
            </w:r>
          </w:p>
          <w:p>
            <w:pPr>
              <w:pStyle w:val="ArchitectureCode"/>
            </w:pPr>
            <w:r>
              <w:rPr>
                <w:rFonts w:ascii="Courier New" w:hAnsi="Courier New"/>
                <w:b w:val="0"/>
                <w:i w:val="0"/>
                <w:color w:val="0B2545"/>
                <w:sz w:val="16"/>
              </w:rPr>
              <w:t xml:space="preserve">     └──────────────────┬────────────────────────────┘ │</w:t>
            </w:r>
          </w:p>
          <w:p>
            <w:pPr>
              <w:pStyle w:val="ArchitectureCode"/>
            </w:pPr>
            <w:r>
              <w:rPr>
                <w:rFonts w:ascii="Courier New" w:hAnsi="Courier New"/>
                <w:b w:val="0"/>
                <w:i w:val="0"/>
                <w:color w:val="0B2545"/>
                <w:sz w:val="16"/>
              </w:rPr>
              <w:t xml:space="preserve">                        ▼                               │</w:t>
            </w:r>
          </w:p>
          <w:p>
            <w:pPr>
              <w:pStyle w:val="ArchitectureCode"/>
            </w:pPr>
            <w:r>
              <w:rPr>
                <w:rFonts w:ascii="Courier New" w:hAnsi="Courier New"/>
                <w:b w:val="0"/>
                <w:i w:val="0"/>
                <w:color w:val="0B2545"/>
                <w:sz w:val="16"/>
              </w:rPr>
              <w:t xml:space="preserve">              ┌─────────────────────┐                   │</w:t>
            </w:r>
          </w:p>
          <w:p>
            <w:pPr>
              <w:pStyle w:val="ArchitectureCode"/>
            </w:pPr>
            <w:r>
              <w:rPr>
                <w:rFonts w:ascii="Courier New" w:hAnsi="Courier New"/>
                <w:b w:val="0"/>
                <w:i w:val="0"/>
                <w:color w:val="0B2545"/>
                <w:sz w:val="16"/>
              </w:rPr>
              <w:t xml:space="preserve">              │ FastAPI /api/*      │                   │</w:t>
            </w:r>
          </w:p>
          <w:p>
            <w:pPr>
              <w:pStyle w:val="ArchitectureCode"/>
            </w:pPr>
            <w:r>
              <w:rPr>
                <w:rFonts w:ascii="Courier New" w:hAnsi="Courier New"/>
                <w:b w:val="0"/>
                <w:i w:val="0"/>
                <w:color w:val="0B2545"/>
                <w:sz w:val="16"/>
              </w:rPr>
              <w:t xml:space="preserve">              └──────────┬──────────┘                   │</w:t>
            </w:r>
          </w:p>
          <w:p>
            <w:pPr>
              <w:pStyle w:val="ArchitectureCode"/>
            </w:pPr>
            <w:r>
              <w:rPr>
                <w:rFonts w:ascii="Courier New" w:hAnsi="Courier New"/>
                <w:b w:val="0"/>
                <w:i w:val="0"/>
                <w:color w:val="0B2545"/>
                <w:sz w:val="16"/>
              </w:rPr>
              <w:t xml:space="preserve">                         ▼                              │</w:t>
            </w:r>
          </w:p>
          <w:p>
            <w:pPr>
              <w:pStyle w:val="ArchitectureCode"/>
            </w:pPr>
            <w:r>
              <w:rPr>
                <w:rFonts w:ascii="Courier New" w:hAnsi="Courier New"/>
                <w:b w:val="0"/>
                <w:i w:val="0"/>
                <w:color w:val="0B2545"/>
                <w:sz w:val="16"/>
              </w:rPr>
              <w:t xml:space="preserve">              ┌─────────────────────┐                   │</w:t>
            </w:r>
          </w:p>
          <w:p>
            <w:pPr>
              <w:pStyle w:val="ArchitectureCode"/>
            </w:pPr>
            <w:r>
              <w:rPr>
                <w:rFonts w:ascii="Courier New" w:hAnsi="Courier New"/>
                <w:b w:val="0"/>
                <w:i w:val="0"/>
                <w:color w:val="0B2545"/>
                <w:sz w:val="16"/>
              </w:rPr>
              <w:t xml:space="preserve">              │ React dashboard     │───────────────────┘</w:t>
            </w:r>
          </w:p>
          <w:p>
            <w:pPr>
              <w:pStyle w:val="ArchitectureCode"/>
            </w:pPr>
            <w:r>
              <w:rPr>
                <w:rFonts w:ascii="Courier New" w:hAnsi="Courier New"/>
                <w:b w:val="0"/>
                <w:i w:val="0"/>
                <w:color w:val="0B2545"/>
                <w:sz w:val="16"/>
              </w:rPr>
              <w:t xml:space="preserve">              └─────────────────────┘</w:t>
            </w:r>
          </w:p>
        </w:tc>
      </w:tr>
    </w:tbl>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vAlign w:val="center"/>
            <w:tcMar>
              <w:top w:w="100" w:type="dxa"/>
              <w:start w:w="120" w:type="dxa"/>
              <w:bottom w:w="100" w:type="dxa"/>
              <w:end w:w="120" w:type="dxa"/>
            </w:tcMar>
            <w:shd w:fill="0B2545"/>
          </w:tcPr>
          <w:p>
            <w:pPr>
              <w:spacing w:after="0"/>
            </w:pPr>
            <w:r>
              <w:rPr>
                <w:rFonts w:ascii="Calibri" w:hAnsi="Calibri"/>
                <w:b/>
                <w:i w:val="0"/>
                <w:color w:val="FFFFFF"/>
                <w:sz w:val="18"/>
              </w:rPr>
              <w:t>Layer</w:t>
            </w:r>
          </w:p>
        </w:tc>
        <w:tc>
          <w:tcPr>
            <w:tcW w:type="dxa" w:w="7160"/>
            <w:vAlign w:val="center"/>
            <w:tcMar>
              <w:top w:w="100" w:type="dxa"/>
              <w:start w:w="120" w:type="dxa"/>
              <w:bottom w:w="100" w:type="dxa"/>
              <w:end w:w="120" w:type="dxa"/>
            </w:tcMar>
            <w:shd w:fill="0B2545"/>
          </w:tcPr>
          <w:p>
            <w:pPr>
              <w:spacing w:after="0"/>
            </w:pPr>
            <w:r>
              <w:rPr>
                <w:rFonts w:ascii="Calibri" w:hAnsi="Calibri"/>
                <w:b/>
                <w:i w:val="0"/>
                <w:color w:val="FFFFFF"/>
                <w:sz w:val="18"/>
              </w:rPr>
              <w:t>Responsibility</w:t>
            </w:r>
          </w:p>
        </w:tc>
      </w:tr>
      <w:tr>
        <w:tc>
          <w:tcPr>
            <w:tcW w:type="dxa" w:w="2200"/>
            <w:vAlign w:val="center"/>
            <w:tcMar>
              <w:top w:w="100" w:type="dxa"/>
              <w:start w:w="120" w:type="dxa"/>
              <w:bottom w:w="100" w:type="dxa"/>
              <w:end w:w="120" w:type="dxa"/>
            </w:tcMar>
          </w:tcPr>
          <w:p>
            <w:pPr>
              <w:spacing w:after="0" w:line="252" w:lineRule="auto"/>
            </w:pPr>
            <w:r>
              <w:rPr>
                <w:rFonts w:ascii="Calibri" w:hAnsi="Calibri"/>
                <w:b w:val="0"/>
                <w:i w:val="0"/>
                <w:color w:val="17212B"/>
                <w:sz w:val="18"/>
              </w:rPr>
              <w:t>Data ingestion</w:t>
            </w:r>
          </w:p>
        </w:tc>
        <w:tc>
          <w:tcPr>
            <w:tcW w:type="dxa" w:w="7160"/>
            <w:vAlign w:val="center"/>
            <w:tcMar>
              <w:top w:w="100" w:type="dxa"/>
              <w:start w:w="120" w:type="dxa"/>
              <w:bottom w:w="100" w:type="dxa"/>
              <w:end w:w="120" w:type="dxa"/>
            </w:tcMar>
          </w:tcPr>
          <w:p>
            <w:pPr>
              <w:spacing w:after="0" w:line="252" w:lineRule="auto"/>
            </w:pPr>
            <w:r>
              <w:rPr>
                <w:rFonts w:ascii="Calibri" w:hAnsi="Calibri"/>
                <w:b w:val="0"/>
                <w:i w:val="0"/>
                <w:color w:val="17212B"/>
                <w:sz w:val="18"/>
              </w:rPr>
              <w:t>Obtain news, shipping, prices, trade baselines; normalize all records.</w:t>
            </w:r>
          </w:p>
        </w:tc>
      </w:tr>
      <w:tr>
        <w:tc>
          <w:tcPr>
            <w:tcW w:type="dxa" w:w="220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AI/ML</w:t>
            </w:r>
          </w:p>
        </w:tc>
        <w:tc>
          <w:tcPr>
            <w:tcW w:type="dxa" w:w="716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Score risk, expose drivers, and provide article-level evidence.</w:t>
            </w:r>
          </w:p>
        </w:tc>
      </w:tr>
      <w:tr>
        <w:tc>
          <w:tcPr>
            <w:tcW w:type="dxa" w:w="2200"/>
            <w:vAlign w:val="center"/>
            <w:tcMar>
              <w:top w:w="100" w:type="dxa"/>
              <w:start w:w="120" w:type="dxa"/>
              <w:bottom w:w="100" w:type="dxa"/>
              <w:end w:w="120" w:type="dxa"/>
            </w:tcMar>
          </w:tcPr>
          <w:p>
            <w:pPr>
              <w:spacing w:after="0" w:line="252" w:lineRule="auto"/>
            </w:pPr>
            <w:r>
              <w:rPr>
                <w:rFonts w:ascii="Calibri" w:hAnsi="Calibri"/>
                <w:b w:val="0"/>
                <w:i w:val="0"/>
                <w:color w:val="17212B"/>
                <w:sz w:val="18"/>
              </w:rPr>
              <w:t>Decision engine</w:t>
            </w:r>
          </w:p>
        </w:tc>
        <w:tc>
          <w:tcPr>
            <w:tcW w:type="dxa" w:w="7160"/>
            <w:vAlign w:val="center"/>
            <w:tcMar>
              <w:top w:w="100" w:type="dxa"/>
              <w:start w:w="120" w:type="dxa"/>
              <w:bottom w:w="100" w:type="dxa"/>
              <w:end w:w="120" w:type="dxa"/>
            </w:tcMar>
          </w:tcPr>
          <w:p>
            <w:pPr>
              <w:spacing w:after="0" w:line="252" w:lineRule="auto"/>
            </w:pPr>
            <w:r>
              <w:rPr>
                <w:rFonts w:ascii="Calibri" w:hAnsi="Calibri"/>
                <w:b w:val="0"/>
                <w:i w:val="0"/>
                <w:color w:val="17212B"/>
                <w:sz w:val="18"/>
              </w:rPr>
              <w:t>Estimate disruption, find safe routes, rank suppliers, and size reserve releases.</w:t>
            </w:r>
          </w:p>
        </w:tc>
      </w:tr>
      <w:tr>
        <w:tc>
          <w:tcPr>
            <w:tcW w:type="dxa" w:w="220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Backend</w:t>
            </w:r>
          </w:p>
        </w:tc>
        <w:tc>
          <w:tcPr>
            <w:tcW w:type="dxa" w:w="716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Validate inputs and expose each capability through modular FastAPI endpoints.</w:t>
            </w:r>
          </w:p>
        </w:tc>
      </w:tr>
      <w:tr>
        <w:tc>
          <w:tcPr>
            <w:tcW w:type="dxa" w:w="2200"/>
            <w:vAlign w:val="center"/>
            <w:tcMar>
              <w:top w:w="100" w:type="dxa"/>
              <w:start w:w="120" w:type="dxa"/>
              <w:bottom w:w="100" w:type="dxa"/>
              <w:end w:w="120" w:type="dxa"/>
            </w:tcMar>
          </w:tcPr>
          <w:p>
            <w:pPr>
              <w:spacing w:after="0" w:line="252" w:lineRule="auto"/>
            </w:pPr>
            <w:r>
              <w:rPr>
                <w:rFonts w:ascii="Calibri" w:hAnsi="Calibri"/>
                <w:b w:val="0"/>
                <w:i w:val="0"/>
                <w:color w:val="17212B"/>
                <w:sz w:val="18"/>
              </w:rPr>
              <w:t>Frontend</w:t>
            </w:r>
          </w:p>
        </w:tc>
        <w:tc>
          <w:tcPr>
            <w:tcW w:type="dxa" w:w="7160"/>
            <w:vAlign w:val="center"/>
            <w:tcMar>
              <w:top w:w="100" w:type="dxa"/>
              <w:start w:w="120" w:type="dxa"/>
              <w:bottom w:w="100" w:type="dxa"/>
              <w:end w:w="120" w:type="dxa"/>
            </w:tcMar>
          </w:tcPr>
          <w:p>
            <w:pPr>
              <w:spacing w:after="0" w:line="252" w:lineRule="auto"/>
            </w:pPr>
            <w:r>
              <w:rPr>
                <w:rFonts w:ascii="Calibri" w:hAnsi="Calibri"/>
                <w:b w:val="0"/>
                <w:i w:val="0"/>
                <w:color w:val="17212B"/>
                <w:sz w:val="18"/>
              </w:rPr>
              <w:t>Present current exposure, scenarios, recommended actions, and executive summaries.</w:t>
            </w:r>
          </w:p>
        </w:tc>
      </w:tr>
    </w:tbl>
    <w:p>
      <w:pPr>
        <w:spacing w:after="40"/>
      </w:pPr>
    </w:p>
    <w:p>
      <w:pPr>
        <w:pStyle w:val="Heading1"/>
        <w:keepNext/>
      </w:pPr>
      <w:r>
        <w:t>3. Data Sources and Offline Strategy</w:t>
      </w:r>
    </w:p>
    <w:p>
      <w:pPr>
        <w:spacing w:after="120" w:line="264" w:lineRule="auto"/>
      </w:pPr>
      <w:r>
        <w:rPr>
          <w:rFonts w:ascii="Calibri" w:hAnsi="Calibri"/>
          <w:b w:val="0"/>
          <w:i w:val="0"/>
          <w:color w:val="17212B"/>
          <w:sz w:val="22"/>
        </w:rPr>
        <w:t>The prototype prefers public, no-key sources. Because public feeds can be slow, unavailable, incomplete, or rate-limited, Aegis uses a fail-closed strategy: short timeouts followed by a bundled deterministic snapshot.</w:t>
      </w:r>
    </w:p>
    <w:tbl>
      <w:tblPr>
        <w:tblStyle w:val="TableGrid"/>
        <w:tblW w:type="dxa" w:w="9360"/>
        <w:tblLayout w:type="fixed"/>
        <w:tblLook w:firstColumn="1" w:firstRow="1" w:lastColumn="0" w:lastRow="0" w:noHBand="0" w:noVBand="1" w:val="04A0"/>
        <w:jc w:val="left"/>
        <w:tblInd w:w="120" w:type="dxa"/>
      </w:tblPr>
      <w:tblGrid>
        <w:gridCol w:w="1900"/>
        <w:gridCol w:w="3100"/>
        <w:gridCol w:w="4360"/>
      </w:tblGrid>
      <w:tr>
        <w:trPr>
          <w:tblHeader w:val="true"/>
        </w:trPr>
        <w:tc>
          <w:tcPr>
            <w:tcW w:type="dxa" w:w="1900"/>
            <w:vAlign w:val="center"/>
            <w:tcMar>
              <w:top w:w="100" w:type="dxa"/>
              <w:start w:w="120" w:type="dxa"/>
              <w:bottom w:w="100" w:type="dxa"/>
              <w:end w:w="120" w:type="dxa"/>
            </w:tcMar>
            <w:shd w:fill="0B2545"/>
          </w:tcPr>
          <w:p>
            <w:pPr>
              <w:spacing w:after="0"/>
            </w:pPr>
            <w:r>
              <w:rPr>
                <w:rFonts w:ascii="Calibri" w:hAnsi="Calibri"/>
                <w:b/>
                <w:i w:val="0"/>
                <w:color w:val="FFFFFF"/>
                <w:sz w:val="18"/>
              </w:rPr>
              <w:t>Signal</w:t>
            </w:r>
          </w:p>
        </w:tc>
        <w:tc>
          <w:tcPr>
            <w:tcW w:type="dxa" w:w="3100"/>
            <w:vAlign w:val="center"/>
            <w:tcMar>
              <w:top w:w="100" w:type="dxa"/>
              <w:start w:w="120" w:type="dxa"/>
              <w:bottom w:w="100" w:type="dxa"/>
              <w:end w:w="120" w:type="dxa"/>
            </w:tcMar>
            <w:shd w:fill="0B2545"/>
          </w:tcPr>
          <w:p>
            <w:pPr>
              <w:spacing w:after="0"/>
            </w:pPr>
            <w:r>
              <w:rPr>
                <w:rFonts w:ascii="Calibri" w:hAnsi="Calibri"/>
                <w:b/>
                <w:i w:val="0"/>
                <w:color w:val="FFFFFF"/>
                <w:sz w:val="18"/>
              </w:rPr>
              <w:t>Public source</w:t>
            </w:r>
          </w:p>
        </w:tc>
        <w:tc>
          <w:tcPr>
            <w:tcW w:type="dxa" w:w="4360"/>
            <w:vAlign w:val="center"/>
            <w:tcMar>
              <w:top w:w="100" w:type="dxa"/>
              <w:start w:w="120" w:type="dxa"/>
              <w:bottom w:w="100" w:type="dxa"/>
              <w:end w:w="120" w:type="dxa"/>
            </w:tcMar>
            <w:shd w:fill="0B2545"/>
          </w:tcPr>
          <w:p>
            <w:pPr>
              <w:spacing w:after="0"/>
            </w:pPr>
            <w:r>
              <w:rPr>
                <w:rFonts w:ascii="Calibri" w:hAnsi="Calibri"/>
                <w:b/>
                <w:i w:val="0"/>
                <w:color w:val="FFFFFF"/>
                <w:sz w:val="18"/>
              </w:rPr>
              <w:t>Current behavior</w:t>
            </w:r>
          </w:p>
        </w:tc>
      </w:tr>
      <w:tr>
        <w:tc>
          <w:tcPr>
            <w:tcW w:type="dxa" w:w="1900"/>
            <w:vAlign w:val="center"/>
            <w:tcMar>
              <w:top w:w="100" w:type="dxa"/>
              <w:start w:w="120" w:type="dxa"/>
              <w:bottom w:w="100" w:type="dxa"/>
              <w:end w:w="120" w:type="dxa"/>
            </w:tcMar>
          </w:tcPr>
          <w:p>
            <w:pPr>
              <w:spacing w:after="0" w:line="252" w:lineRule="auto"/>
            </w:pPr>
            <w:r>
              <w:rPr>
                <w:rFonts w:ascii="Calibri" w:hAnsi="Calibri"/>
                <w:b w:val="0"/>
                <w:i w:val="0"/>
                <w:color w:val="17212B"/>
                <w:sz w:val="18"/>
              </w:rPr>
              <w:t>Geopolitical news</w:t>
            </w:r>
          </w:p>
        </w:tc>
        <w:tc>
          <w:tcPr>
            <w:tcW w:type="dxa" w:w="3100"/>
            <w:vAlign w:val="center"/>
            <w:tcMar>
              <w:top w:w="100" w:type="dxa"/>
              <w:start w:w="120" w:type="dxa"/>
              <w:bottom w:w="100" w:type="dxa"/>
              <w:end w:w="120" w:type="dxa"/>
            </w:tcMar>
          </w:tcPr>
          <w:p>
            <w:pPr>
              <w:spacing w:after="0" w:line="252" w:lineRule="auto"/>
            </w:pPr>
            <w:r>
              <w:rPr>
                <w:rFonts w:ascii="Calibri" w:hAnsi="Calibri"/>
                <w:b w:val="0"/>
                <w:i w:val="0"/>
                <w:color w:val="17212B"/>
                <w:sz w:val="18"/>
              </w:rPr>
              <w:t>GDELT DOC 2.0 RSS</w:t>
            </w:r>
          </w:p>
        </w:tc>
        <w:tc>
          <w:tcPr>
            <w:tcW w:type="dxa" w:w="4360"/>
            <w:vAlign w:val="center"/>
            <w:tcMar>
              <w:top w:w="100" w:type="dxa"/>
              <w:start w:w="120" w:type="dxa"/>
              <w:bottom w:w="100" w:type="dxa"/>
              <w:end w:w="120" w:type="dxa"/>
            </w:tcMar>
          </w:tcPr>
          <w:p>
            <w:pPr>
              <w:spacing w:after="0" w:line="252" w:lineRule="auto"/>
            </w:pPr>
            <w:r>
              <w:rPr>
                <w:rFonts w:ascii="Calibri" w:hAnsi="Calibri"/>
                <w:b w:val="0"/>
                <w:i w:val="0"/>
                <w:color w:val="17212B"/>
                <w:sz w:val="18"/>
              </w:rPr>
              <w:t>Optional live adapter; fallback articles by default</w:t>
            </w:r>
          </w:p>
        </w:tc>
      </w:tr>
      <w:tr>
        <w:tc>
          <w:tcPr>
            <w:tcW w:type="dxa" w:w="190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Shipping / AIS</w:t>
            </w:r>
          </w:p>
        </w:tc>
        <w:tc>
          <w:tcPr>
            <w:tcW w:type="dxa" w:w="310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NOAA and USCG Marine Cadastre</w:t>
            </w:r>
          </w:p>
        </w:tc>
        <w:tc>
          <w:tcPr>
            <w:tcW w:type="dxa" w:w="436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Bundled vessel sample using an AIS-like schema</w:t>
            </w:r>
          </w:p>
        </w:tc>
      </w:tr>
      <w:tr>
        <w:tc>
          <w:tcPr>
            <w:tcW w:type="dxa" w:w="1900"/>
            <w:vAlign w:val="center"/>
            <w:tcMar>
              <w:top w:w="100" w:type="dxa"/>
              <w:start w:w="120" w:type="dxa"/>
              <w:bottom w:w="100" w:type="dxa"/>
              <w:end w:w="120" w:type="dxa"/>
            </w:tcMar>
          </w:tcPr>
          <w:p>
            <w:pPr>
              <w:spacing w:after="0" w:line="252" w:lineRule="auto"/>
            </w:pPr>
            <w:r>
              <w:rPr>
                <w:rFonts w:ascii="Calibri" w:hAnsi="Calibri"/>
                <w:b w:val="0"/>
                <w:i w:val="0"/>
                <w:color w:val="17212B"/>
                <w:sz w:val="18"/>
              </w:rPr>
              <w:t>Oil prices</w:t>
            </w:r>
          </w:p>
        </w:tc>
        <w:tc>
          <w:tcPr>
            <w:tcW w:type="dxa" w:w="3100"/>
            <w:vAlign w:val="center"/>
            <w:tcMar>
              <w:top w:w="100" w:type="dxa"/>
              <w:start w:w="120" w:type="dxa"/>
              <w:bottom w:w="100" w:type="dxa"/>
              <w:end w:w="120" w:type="dxa"/>
            </w:tcMar>
          </w:tcPr>
          <w:p>
            <w:pPr>
              <w:spacing w:after="0" w:line="252" w:lineRule="auto"/>
            </w:pPr>
            <w:r>
              <w:rPr>
                <w:rFonts w:ascii="Calibri" w:hAnsi="Calibri"/>
                <w:b w:val="0"/>
                <w:i w:val="0"/>
                <w:color w:val="17212B"/>
                <w:sz w:val="18"/>
              </w:rPr>
              <w:t>World Bank Commodity Markets Pink Sheet</w:t>
            </w:r>
          </w:p>
        </w:tc>
        <w:tc>
          <w:tcPr>
            <w:tcW w:type="dxa" w:w="4360"/>
            <w:vAlign w:val="center"/>
            <w:tcMar>
              <w:top w:w="100" w:type="dxa"/>
              <w:start w:w="120" w:type="dxa"/>
              <w:bottom w:w="100" w:type="dxa"/>
              <w:end w:w="120" w:type="dxa"/>
            </w:tcMar>
          </w:tcPr>
          <w:p>
            <w:pPr>
              <w:spacing w:after="0" w:line="252" w:lineRule="auto"/>
            </w:pPr>
            <w:r>
              <w:rPr>
                <w:rFonts w:ascii="Calibri" w:hAnsi="Calibri"/>
                <w:b w:val="0"/>
                <w:i w:val="0"/>
                <w:color w:val="17212B"/>
                <w:sz w:val="18"/>
              </w:rPr>
              <w:t>Bundled monthly Brent-like time series</w:t>
            </w:r>
          </w:p>
        </w:tc>
      </w:tr>
      <w:tr>
        <w:tc>
          <w:tcPr>
            <w:tcW w:type="dxa" w:w="190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Trade flows</w:t>
            </w:r>
          </w:p>
        </w:tc>
        <w:tc>
          <w:tcPr>
            <w:tcW w:type="dxa" w:w="310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UN Comtrade HS 2709 preview</w:t>
            </w:r>
          </w:p>
        </w:tc>
        <w:tc>
          <w:tcPr>
            <w:tcW w:type="dxa" w:w="436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Bundled supplier baseline compatible with keyless preview data</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EAF3F6"/>
          </w:tcPr>
          <w:p>
            <w:pPr>
              <w:spacing w:after="40"/>
            </w:pPr>
            <w:r>
              <w:rPr>
                <w:rFonts w:ascii="Calibri" w:hAnsi="Calibri"/>
                <w:b/>
                <w:i w:val="0"/>
                <w:color w:val="A63D40"/>
                <w:sz w:val="18"/>
              </w:rPr>
              <w:t xml:space="preserve">IMPORTANT  </w:t>
            </w:r>
            <w:r>
              <w:rPr>
                <w:rFonts w:ascii="Calibri" w:hAnsi="Calibri"/>
                <w:b w:val="0"/>
                <w:i w:val="0"/>
                <w:color w:val="0B2545"/>
                <w:sz w:val="21"/>
              </w:rPr>
              <w:t>The bundled dataset is intentionally synthetic and is not presented as real-time operational truth. It exists to keep the prototype repeatable and offline-ready.</w:t>
            </w:r>
          </w:p>
        </w:tc>
      </w:tr>
    </w:tbl>
    <w:p>
      <w:pPr>
        <w:spacing w:after="20"/>
      </w:pPr>
    </w:p>
    <w:p>
      <w:pPr>
        <w:pStyle w:val="Heading1"/>
        <w:keepNext/>
      </w:pPr>
      <w:r>
        <w:t>4. Core Intelligence and Decision Modules</w:t>
      </w:r>
    </w:p>
    <w:p>
      <w:pPr>
        <w:pStyle w:val="Heading2"/>
        <w:keepNext/>
      </w:pPr>
      <w:r>
        <w:t>4.1 Geopolitical Risk Intelligence Agent</w:t>
      </w:r>
    </w:p>
    <w:p>
      <w:pPr>
        <w:spacing w:after="120" w:line="264" w:lineRule="auto"/>
      </w:pPr>
      <w:r>
        <w:rPr>
          <w:rFonts w:ascii="Calibri" w:hAnsi="Calibri"/>
          <w:b w:val="0"/>
          <w:i w:val="0"/>
          <w:color w:val="17212B"/>
          <w:sz w:val="22"/>
        </w:rPr>
        <w:t>The risk agent accepts news articles containing a title, summary, source, and timestamp. It tokenizes article text and applies transparent weights to threat and calming signals. High-impact terms include war, closure, blockade, attack, sanctions, and escalation. Calming terms such as ceasefire, stable, and resumed reduce the raw score.</w:t>
      </w:r>
    </w:p>
    <w:p>
      <w:pPr>
        <w:spacing w:after="120" w:line="264" w:lineRule="auto"/>
      </w:pPr>
      <w:r>
        <w:rPr>
          <w:rFonts w:ascii="Calibri" w:hAnsi="Calibri"/>
          <w:b w:val="0"/>
          <w:i w:val="0"/>
          <w:color w:val="17212B"/>
          <w:sz w:val="22"/>
        </w:rPr>
        <w:t>A logistic saturation function converts the accumulated evidence into a stable 0–100 score. The output includes severity level, confidence, strongest drivers, mention counts, and article-level signal contributions.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EAF3F6"/>
          </w:tcPr>
          <w:p>
            <w:pPr>
              <w:spacing w:after="40"/>
            </w:pPr>
            <w:r>
              <w:rPr>
                <w:rFonts w:ascii="Calibri" w:hAnsi="Calibri"/>
                <w:b/>
                <w:i w:val="0"/>
                <w:color w:val="16A6B6"/>
                <w:sz w:val="18"/>
              </w:rPr>
              <w:t xml:space="preserve">WHY EXPLAINABLE NLP  </w:t>
            </w:r>
            <w:r>
              <w:rPr>
                <w:rFonts w:ascii="Calibri" w:hAnsi="Calibri"/>
                <w:b w:val="0"/>
                <w:i w:val="0"/>
                <w:color w:val="0B2545"/>
                <w:sz w:val="21"/>
              </w:rPr>
              <w:t>Hackathon judges can inspect exactly why the risk score changed. No hosted LLM or secret prompt is required.</w:t>
            </w:r>
          </w:p>
        </w:tc>
      </w:tr>
    </w:tbl>
    <w:p>
      <w:pPr>
        <w:spacing w:after="20"/>
      </w:pPr>
    </w:p>
    <w:p>
      <w:pPr>
        <w:pStyle w:val="Heading2"/>
        <w:keepNext/>
      </w:pPr>
      <w:r>
        <w:t>4.2 Disruption Scenario Simulator</w:t>
      </w:r>
    </w:p>
    <w:p>
      <w:pPr>
        <w:spacing w:after="120" w:line="264" w:lineRule="auto"/>
      </w:pPr>
      <w:r>
        <w:rPr>
          <w:rFonts w:ascii="Calibri" w:hAnsi="Calibri"/>
          <w:b w:val="0"/>
          <w:i w:val="0"/>
          <w:color w:val="17212B"/>
          <w:sz w:val="22"/>
        </w:rPr>
        <w:t>The scenario model supports Strait closure, regional war escalation, expanded sanctions, and major export-port disruption. Each event has a flow-at-risk baseline and price-sensitivity coefficient. Severity controls gross exposure, while duration changes the price response. A substitution cap represents short-run replacement capacity.</w:t>
      </w:r>
    </w:p>
    <w:tbl>
      <w:tblPr>
        <w:tblStyle w:val="TableGrid"/>
        <w:tblW w:type="dxa" w:w="9360"/>
        <w:tblLayout w:type="fixed"/>
        <w:tblLook w:firstColumn="1" w:firstRow="1" w:lastColumn="0" w:lastRow="0" w:noHBand="0" w:noVBand="1" w:val="04A0"/>
        <w:jc w:val="left"/>
        <w:tblInd w:w="120" w:type="dxa"/>
      </w:tblPr>
      <w:tblGrid>
        <w:gridCol w:w="2500"/>
        <w:gridCol w:w="6860"/>
      </w:tblGrid>
      <w:tr>
        <w:trPr>
          <w:tblHeader w:val="true"/>
        </w:trPr>
        <w:tc>
          <w:tcPr>
            <w:tcW w:type="dxa" w:w="2500"/>
            <w:vAlign w:val="center"/>
            <w:tcMar>
              <w:top w:w="100" w:type="dxa"/>
              <w:start w:w="120" w:type="dxa"/>
              <w:bottom w:w="100" w:type="dxa"/>
              <w:end w:w="120" w:type="dxa"/>
            </w:tcMar>
            <w:shd w:fill="0B2545"/>
          </w:tcPr>
          <w:p>
            <w:pPr>
              <w:spacing w:after="0"/>
            </w:pPr>
            <w:r>
              <w:rPr>
                <w:rFonts w:ascii="Calibri" w:hAnsi="Calibri"/>
                <w:b/>
                <w:i w:val="0"/>
                <w:color w:val="FFFFFF"/>
                <w:sz w:val="18"/>
              </w:rPr>
              <w:t>Output</w:t>
            </w:r>
          </w:p>
        </w:tc>
        <w:tc>
          <w:tcPr>
            <w:tcW w:type="dxa" w:w="6860"/>
            <w:vAlign w:val="center"/>
            <w:tcMar>
              <w:top w:w="100" w:type="dxa"/>
              <w:start w:w="120" w:type="dxa"/>
              <w:bottom w:w="100" w:type="dxa"/>
              <w:end w:w="120" w:type="dxa"/>
            </w:tcMar>
            <w:shd w:fill="0B2545"/>
          </w:tcPr>
          <w:p>
            <w:pPr>
              <w:spacing w:after="0"/>
            </w:pPr>
            <w:r>
              <w:rPr>
                <w:rFonts w:ascii="Calibri" w:hAnsi="Calibri"/>
                <w:b/>
                <w:i w:val="0"/>
                <w:color w:val="FFFFFF"/>
                <w:sz w:val="18"/>
              </w:rPr>
              <w:t>Meaning</w:t>
            </w:r>
          </w:p>
        </w:tc>
      </w:tr>
      <w:tr>
        <w:tc>
          <w:tcPr>
            <w:tcW w:type="dxa" w:w="2500"/>
            <w:vAlign w:val="center"/>
            <w:tcMar>
              <w:top w:w="100" w:type="dxa"/>
              <w:start w:w="120" w:type="dxa"/>
              <w:bottom w:w="100" w:type="dxa"/>
              <w:end w:w="120" w:type="dxa"/>
            </w:tcMar>
          </w:tcPr>
          <w:p>
            <w:pPr>
              <w:spacing w:after="0" w:line="252" w:lineRule="auto"/>
            </w:pPr>
            <w:r>
              <w:rPr>
                <w:rFonts w:ascii="Calibri" w:hAnsi="Calibri"/>
                <w:b w:val="0"/>
                <w:i w:val="0"/>
                <w:color w:val="17212B"/>
                <w:sz w:val="18"/>
              </w:rPr>
              <w:t>Gross flow at risk</w:t>
            </w:r>
          </w:p>
        </w:tc>
        <w:tc>
          <w:tcPr>
            <w:tcW w:type="dxa" w:w="6860"/>
            <w:vAlign w:val="center"/>
            <w:tcMar>
              <w:top w:w="100" w:type="dxa"/>
              <w:start w:w="120" w:type="dxa"/>
              <w:bottom w:w="100" w:type="dxa"/>
              <w:end w:w="120" w:type="dxa"/>
            </w:tcMar>
          </w:tcPr>
          <w:p>
            <w:pPr>
              <w:spacing w:after="0" w:line="252" w:lineRule="auto"/>
            </w:pPr>
            <w:r>
              <w:rPr>
                <w:rFonts w:ascii="Calibri" w:hAnsi="Calibri"/>
                <w:b w:val="0"/>
                <w:i w:val="0"/>
                <w:color w:val="17212B"/>
                <w:sz w:val="18"/>
              </w:rPr>
              <w:t>Potentially affected barrels per day before substitution</w:t>
            </w:r>
          </w:p>
        </w:tc>
      </w:tr>
      <w:tr>
        <w:tc>
          <w:tcPr>
            <w:tcW w:type="dxa" w:w="250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Substitutable volume</w:t>
            </w:r>
          </w:p>
        </w:tc>
        <w:tc>
          <w:tcPr>
            <w:tcW w:type="dxa" w:w="686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Short-run capacity available from alternative supply</w:t>
            </w:r>
          </w:p>
        </w:tc>
      </w:tr>
      <w:tr>
        <w:tc>
          <w:tcPr>
            <w:tcW w:type="dxa" w:w="2500"/>
            <w:vAlign w:val="center"/>
            <w:tcMar>
              <w:top w:w="100" w:type="dxa"/>
              <w:start w:w="120" w:type="dxa"/>
              <w:bottom w:w="100" w:type="dxa"/>
              <w:end w:w="120" w:type="dxa"/>
            </w:tcMar>
          </w:tcPr>
          <w:p>
            <w:pPr>
              <w:spacing w:after="0" w:line="252" w:lineRule="auto"/>
            </w:pPr>
            <w:r>
              <w:rPr>
                <w:rFonts w:ascii="Calibri" w:hAnsi="Calibri"/>
                <w:b w:val="0"/>
                <w:i w:val="0"/>
                <w:color w:val="17212B"/>
                <w:sz w:val="18"/>
              </w:rPr>
              <w:t>Predicted shortage</w:t>
            </w:r>
          </w:p>
        </w:tc>
        <w:tc>
          <w:tcPr>
            <w:tcW w:type="dxa" w:w="6860"/>
            <w:vAlign w:val="center"/>
            <w:tcMar>
              <w:top w:w="100" w:type="dxa"/>
              <w:start w:w="120" w:type="dxa"/>
              <w:bottom w:w="100" w:type="dxa"/>
              <w:end w:w="120" w:type="dxa"/>
            </w:tcMar>
          </w:tcPr>
          <w:p>
            <w:pPr>
              <w:spacing w:after="0" w:line="252" w:lineRule="auto"/>
            </w:pPr>
            <w:r>
              <w:rPr>
                <w:rFonts w:ascii="Calibri" w:hAnsi="Calibri"/>
                <w:b w:val="0"/>
                <w:i w:val="0"/>
                <w:color w:val="17212B"/>
                <w:sz w:val="18"/>
              </w:rPr>
              <w:t>Gross exposure minus feasible substitution</w:t>
            </w:r>
          </w:p>
        </w:tc>
      </w:tr>
      <w:tr>
        <w:tc>
          <w:tcPr>
            <w:tcW w:type="dxa" w:w="250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Supply impact</w:t>
            </w:r>
          </w:p>
        </w:tc>
        <w:tc>
          <w:tcPr>
            <w:tcW w:type="dxa" w:w="686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Shortage as a percentage of the monitored baseline</w:t>
            </w:r>
          </w:p>
        </w:tc>
      </w:tr>
      <w:tr>
        <w:tc>
          <w:tcPr>
            <w:tcW w:type="dxa" w:w="2500"/>
            <w:vAlign w:val="center"/>
            <w:tcMar>
              <w:top w:w="100" w:type="dxa"/>
              <w:start w:w="120" w:type="dxa"/>
              <w:bottom w:w="100" w:type="dxa"/>
              <w:end w:w="120" w:type="dxa"/>
            </w:tcMar>
          </w:tcPr>
          <w:p>
            <w:pPr>
              <w:spacing w:after="0" w:line="252" w:lineRule="auto"/>
            </w:pPr>
            <w:r>
              <w:rPr>
                <w:rFonts w:ascii="Calibri" w:hAnsi="Calibri"/>
                <w:b w:val="0"/>
                <w:i w:val="0"/>
                <w:color w:val="17212B"/>
                <w:sz w:val="18"/>
              </w:rPr>
              <w:t>Price change</w:t>
            </w:r>
          </w:p>
        </w:tc>
        <w:tc>
          <w:tcPr>
            <w:tcW w:type="dxa" w:w="6860"/>
            <w:vAlign w:val="center"/>
            <w:tcMar>
              <w:top w:w="100" w:type="dxa"/>
              <w:start w:w="120" w:type="dxa"/>
              <w:bottom w:w="100" w:type="dxa"/>
              <w:end w:w="120" w:type="dxa"/>
            </w:tcMar>
          </w:tcPr>
          <w:p>
            <w:pPr>
              <w:spacing w:after="0" w:line="252" w:lineRule="auto"/>
            </w:pPr>
            <w:r>
              <w:rPr>
                <w:rFonts w:ascii="Calibri" w:hAnsi="Calibri"/>
                <w:b w:val="0"/>
                <w:i w:val="0"/>
                <w:color w:val="17212B"/>
                <w:sz w:val="18"/>
              </w:rPr>
              <w:t>Approximate short-run shock with low/high confidence band</w:t>
            </w:r>
          </w:p>
        </w:tc>
      </w:tr>
    </w:tbl>
    <w:p>
      <w:pPr>
        <w:spacing w:after="40"/>
      </w:pPr>
    </w:p>
    <w:p>
      <w:pPr>
        <w:pStyle w:val="Heading2"/>
        <w:keepNext/>
      </w:pPr>
      <w:r>
        <w:t>4.3 Adaptive Procurement Engine</w:t>
      </w:r>
    </w:p>
    <w:p>
      <w:pPr>
        <w:spacing w:after="120" w:line="264" w:lineRule="auto"/>
      </w:pPr>
      <w:r>
        <w:rPr>
          <w:rFonts w:ascii="Calibri" w:hAnsi="Calibri"/>
          <w:b w:val="0"/>
          <w:i w:val="0"/>
          <w:color w:val="17212B"/>
          <w:sz w:val="22"/>
        </w:rPr>
        <w:t>Suppliers, chokepoints, bypasses, canals, capes, and destinations form a weighted graph. When a chokepoint is blocked, graph search ignores the affected node and returns only feasible paths. Candidate suppliers are then ranked using reliability, capacity, price index, shipping distance, and route-risk penalties.</w:t>
      </w:r>
    </w:p>
    <w:p>
      <w:pPr>
        <w:spacing w:after="120" w:line="264" w:lineRule="auto"/>
      </w:pPr>
      <w:r>
        <w:rPr>
          <w:rFonts w:ascii="Calibri" w:hAnsi="Calibri"/>
          <w:b w:val="0"/>
          <w:i w:val="0"/>
          <w:color w:val="17212B"/>
          <w:sz w:val="22"/>
        </w:rPr>
        <w:t>The response includes supplier, region, available capacity, route nodes, nautical distance, estimated arrival time, landed-cost delta, resilience score, suggested allocation, and total coverage.</w:t>
      </w:r>
    </w:p>
    <w:p>
      <w:pPr>
        <w:pStyle w:val="Heading2"/>
        <w:keepNext/>
      </w:pPr>
      <w:r>
        <w:t>4.4 Strategic Reserve Optimizer</w:t>
      </w:r>
    </w:p>
    <w:p>
      <w:pPr>
        <w:spacing w:after="120" w:line="264" w:lineRule="auto"/>
      </w:pPr>
      <w:r>
        <w:rPr>
          <w:rFonts w:ascii="Calibri" w:hAnsi="Calibri"/>
          <w:b w:val="0"/>
          <w:i w:val="0"/>
          <w:color w:val="17212B"/>
          <w:sz w:val="22"/>
        </w:rPr>
        <w:t>The reserve optimizer bridges the interval before replacement cargoes arrive. It calculates usable inventory above the minimum policy floor, caps the release to preserve that floor, and recommends a daily release. The default strategy front-loads 45 percent during week one and tapers as alternative supply arrives.</w:t>
      </w:r>
    </w:p>
    <w:p>
      <w:pPr>
        <w:pStyle w:val="Heading1"/>
        <w:keepNext/>
      </w:pPr>
      <w:r>
        <w:t>5. Backend API</w:t>
      </w:r>
    </w:p>
    <w:p>
      <w:pPr>
        <w:spacing w:after="120" w:line="264" w:lineRule="auto"/>
      </w:pPr>
      <w:r>
        <w:rPr>
          <w:rFonts w:ascii="Calibri" w:hAnsi="Calibri"/>
          <w:b w:val="0"/>
          <w:i w:val="0"/>
          <w:color w:val="17212B"/>
          <w:sz w:val="22"/>
        </w:rPr>
        <w:t>FastAPI provides typed request validation, CORS support for the local dashboard, automatic OpenAPI documentation, and independent endpoints for every module.</w:t>
      </w:r>
    </w:p>
    <w:tbl>
      <w:tblPr>
        <w:tblStyle w:val="TableGrid"/>
        <w:tblW w:type="dxa" w:w="9360"/>
        <w:tblLayout w:type="fixed"/>
        <w:tblLook w:firstColumn="1" w:firstRow="1" w:lastColumn="0" w:lastRow="0" w:noHBand="0" w:noVBand="1" w:val="04A0"/>
        <w:jc w:val="left"/>
        <w:tblInd w:w="120" w:type="dxa"/>
      </w:tblPr>
      <w:tblGrid>
        <w:gridCol w:w="1000"/>
        <w:gridCol w:w="3200"/>
        <w:gridCol w:w="5160"/>
      </w:tblGrid>
      <w:tr>
        <w:trPr>
          <w:tblHeader w:val="true"/>
        </w:trPr>
        <w:tc>
          <w:tcPr>
            <w:tcW w:type="dxa" w:w="1000"/>
            <w:vAlign w:val="center"/>
            <w:tcMar>
              <w:top w:w="100" w:type="dxa"/>
              <w:start w:w="120" w:type="dxa"/>
              <w:bottom w:w="100" w:type="dxa"/>
              <w:end w:w="120" w:type="dxa"/>
            </w:tcMar>
            <w:shd w:fill="0B2545"/>
          </w:tcPr>
          <w:p>
            <w:pPr>
              <w:spacing w:after="0"/>
            </w:pPr>
            <w:r>
              <w:rPr>
                <w:rFonts w:ascii="Calibri" w:hAnsi="Calibri"/>
                <w:b/>
                <w:i w:val="0"/>
                <w:color w:val="FFFFFF"/>
                <w:sz w:val="18"/>
              </w:rPr>
              <w:t>Method</w:t>
            </w:r>
          </w:p>
        </w:tc>
        <w:tc>
          <w:tcPr>
            <w:tcW w:type="dxa" w:w="3200"/>
            <w:vAlign w:val="center"/>
            <w:tcMar>
              <w:top w:w="100" w:type="dxa"/>
              <w:start w:w="120" w:type="dxa"/>
              <w:bottom w:w="100" w:type="dxa"/>
              <w:end w:w="120" w:type="dxa"/>
            </w:tcMar>
            <w:shd w:fill="0B2545"/>
          </w:tcPr>
          <w:p>
            <w:pPr>
              <w:spacing w:after="0"/>
            </w:pPr>
            <w:r>
              <w:rPr>
                <w:rFonts w:ascii="Calibri" w:hAnsi="Calibri"/>
                <w:b/>
                <w:i w:val="0"/>
                <w:color w:val="FFFFFF"/>
                <w:sz w:val="18"/>
              </w:rPr>
              <w:t>Endpoint</w:t>
            </w:r>
          </w:p>
        </w:tc>
        <w:tc>
          <w:tcPr>
            <w:tcW w:type="dxa" w:w="5160"/>
            <w:vAlign w:val="center"/>
            <w:tcMar>
              <w:top w:w="100" w:type="dxa"/>
              <w:start w:w="120" w:type="dxa"/>
              <w:bottom w:w="100" w:type="dxa"/>
              <w:end w:w="120" w:type="dxa"/>
            </w:tcMar>
            <w:shd w:fill="0B2545"/>
          </w:tcPr>
          <w:p>
            <w:pPr>
              <w:spacing w:after="0"/>
            </w:pPr>
            <w:r>
              <w:rPr>
                <w:rFonts w:ascii="Calibri" w:hAnsi="Calibri"/>
                <w:b/>
                <w:i w:val="0"/>
                <w:color w:val="FFFFFF"/>
                <w:sz w:val="18"/>
              </w:rPr>
              <w:t>Purpose</w:t>
            </w:r>
          </w:p>
        </w:tc>
      </w:tr>
      <w:tr>
        <w:tc>
          <w:tcPr>
            <w:tcW w:type="dxa" w:w="1000"/>
            <w:vAlign w:val="center"/>
            <w:tcMar>
              <w:top w:w="100" w:type="dxa"/>
              <w:start w:w="120" w:type="dxa"/>
              <w:bottom w:w="100" w:type="dxa"/>
              <w:end w:w="120" w:type="dxa"/>
            </w:tcMar>
          </w:tcPr>
          <w:p>
            <w:pPr>
              <w:spacing w:after="0" w:line="252" w:lineRule="auto"/>
            </w:pPr>
            <w:r>
              <w:rPr>
                <w:rFonts w:ascii="Calibri" w:hAnsi="Calibri"/>
                <w:b w:val="0"/>
                <w:i w:val="0"/>
                <w:color w:val="17212B"/>
                <w:sz w:val="18"/>
              </w:rPr>
              <w:t>GET</w:t>
            </w:r>
          </w:p>
        </w:tc>
        <w:tc>
          <w:tcPr>
            <w:tcW w:type="dxa" w:w="3200"/>
            <w:vAlign w:val="center"/>
            <w:tcMar>
              <w:top w:w="100" w:type="dxa"/>
              <w:start w:w="120" w:type="dxa"/>
              <w:bottom w:w="100" w:type="dxa"/>
              <w:end w:w="120" w:type="dxa"/>
            </w:tcMar>
          </w:tcPr>
          <w:p>
            <w:pPr>
              <w:spacing w:after="0" w:line="252" w:lineRule="auto"/>
            </w:pPr>
            <w:r>
              <w:rPr>
                <w:rFonts w:ascii="Calibri" w:hAnsi="Calibri"/>
                <w:b w:val="0"/>
                <w:i w:val="0"/>
                <w:color w:val="17212B"/>
                <w:sz w:val="18"/>
              </w:rPr>
              <w:t>/api/health</w:t>
            </w:r>
          </w:p>
        </w:tc>
        <w:tc>
          <w:tcPr>
            <w:tcW w:type="dxa" w:w="5160"/>
            <w:vAlign w:val="center"/>
            <w:tcMar>
              <w:top w:w="100" w:type="dxa"/>
              <w:start w:w="120" w:type="dxa"/>
              <w:bottom w:w="100" w:type="dxa"/>
              <w:end w:w="120" w:type="dxa"/>
            </w:tcMar>
          </w:tcPr>
          <w:p>
            <w:pPr>
              <w:spacing w:after="0" w:line="252" w:lineRule="auto"/>
            </w:pPr>
            <w:r>
              <w:rPr>
                <w:rFonts w:ascii="Calibri" w:hAnsi="Calibri"/>
                <w:b w:val="0"/>
                <w:i w:val="0"/>
                <w:color w:val="17212B"/>
                <w:sz w:val="18"/>
              </w:rPr>
              <w:t>Health and offline-ready status</w:t>
            </w:r>
          </w:p>
        </w:tc>
      </w:tr>
      <w:tr>
        <w:tc>
          <w:tcPr>
            <w:tcW w:type="dxa" w:w="100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GET</w:t>
            </w:r>
          </w:p>
        </w:tc>
        <w:tc>
          <w:tcPr>
            <w:tcW w:type="dxa" w:w="320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/api/news?live=false</w:t>
            </w:r>
          </w:p>
        </w:tc>
        <w:tc>
          <w:tcPr>
            <w:tcW w:type="dxa" w:w="516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Bundled or optional live GDELT articles</w:t>
            </w:r>
          </w:p>
        </w:tc>
      </w:tr>
      <w:tr>
        <w:tc>
          <w:tcPr>
            <w:tcW w:type="dxa" w:w="1000"/>
            <w:vAlign w:val="center"/>
            <w:tcMar>
              <w:top w:w="100" w:type="dxa"/>
              <w:start w:w="120" w:type="dxa"/>
              <w:bottom w:w="100" w:type="dxa"/>
              <w:end w:w="120" w:type="dxa"/>
            </w:tcMar>
          </w:tcPr>
          <w:p>
            <w:pPr>
              <w:spacing w:after="0" w:line="252" w:lineRule="auto"/>
            </w:pPr>
            <w:r>
              <w:rPr>
                <w:rFonts w:ascii="Calibri" w:hAnsi="Calibri"/>
                <w:b w:val="0"/>
                <w:i w:val="0"/>
                <w:color w:val="17212B"/>
                <w:sz w:val="18"/>
              </w:rPr>
              <w:t>GET</w:t>
            </w:r>
          </w:p>
        </w:tc>
        <w:tc>
          <w:tcPr>
            <w:tcW w:type="dxa" w:w="3200"/>
            <w:vAlign w:val="center"/>
            <w:tcMar>
              <w:top w:w="100" w:type="dxa"/>
              <w:start w:w="120" w:type="dxa"/>
              <w:bottom w:w="100" w:type="dxa"/>
              <w:end w:w="120" w:type="dxa"/>
            </w:tcMar>
          </w:tcPr>
          <w:p>
            <w:pPr>
              <w:spacing w:after="0" w:line="252" w:lineRule="auto"/>
            </w:pPr>
            <w:r>
              <w:rPr>
                <w:rFonts w:ascii="Calibri" w:hAnsi="Calibri"/>
                <w:b w:val="0"/>
                <w:i w:val="0"/>
                <w:color w:val="17212B"/>
                <w:sz w:val="18"/>
              </w:rPr>
              <w:t>/api/data/snapshot</w:t>
            </w:r>
          </w:p>
        </w:tc>
        <w:tc>
          <w:tcPr>
            <w:tcW w:type="dxa" w:w="5160"/>
            <w:vAlign w:val="center"/>
            <w:tcMar>
              <w:top w:w="100" w:type="dxa"/>
              <w:start w:w="120" w:type="dxa"/>
              <w:bottom w:w="100" w:type="dxa"/>
              <w:end w:w="120" w:type="dxa"/>
            </w:tcMar>
          </w:tcPr>
          <w:p>
            <w:pPr>
              <w:spacing w:after="0" w:line="252" w:lineRule="auto"/>
            </w:pPr>
            <w:r>
              <w:rPr>
                <w:rFonts w:ascii="Calibri" w:hAnsi="Calibri"/>
                <w:b w:val="0"/>
                <w:i w:val="0"/>
                <w:color w:val="17212B"/>
                <w:sz w:val="18"/>
              </w:rPr>
              <w:t>All demonstration data and provenance</w:t>
            </w:r>
          </w:p>
        </w:tc>
      </w:tr>
      <w:tr>
        <w:tc>
          <w:tcPr>
            <w:tcW w:type="dxa" w:w="100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POST</w:t>
            </w:r>
          </w:p>
        </w:tc>
        <w:tc>
          <w:tcPr>
            <w:tcW w:type="dxa" w:w="320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/api/risk/analyze</w:t>
            </w:r>
          </w:p>
        </w:tc>
        <w:tc>
          <w:tcPr>
            <w:tcW w:type="dxa" w:w="516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Articles to risk score, confidence, and drivers</w:t>
            </w:r>
          </w:p>
        </w:tc>
      </w:tr>
      <w:tr>
        <w:tc>
          <w:tcPr>
            <w:tcW w:type="dxa" w:w="1000"/>
            <w:vAlign w:val="center"/>
            <w:tcMar>
              <w:top w:w="100" w:type="dxa"/>
              <w:start w:w="120" w:type="dxa"/>
              <w:bottom w:w="100" w:type="dxa"/>
              <w:end w:w="120" w:type="dxa"/>
            </w:tcMar>
          </w:tcPr>
          <w:p>
            <w:pPr>
              <w:spacing w:after="0" w:line="252" w:lineRule="auto"/>
            </w:pPr>
            <w:r>
              <w:rPr>
                <w:rFonts w:ascii="Calibri" w:hAnsi="Calibri"/>
                <w:b w:val="0"/>
                <w:i w:val="0"/>
                <w:color w:val="17212B"/>
                <w:sz w:val="18"/>
              </w:rPr>
              <w:t>POST</w:t>
            </w:r>
          </w:p>
        </w:tc>
        <w:tc>
          <w:tcPr>
            <w:tcW w:type="dxa" w:w="3200"/>
            <w:vAlign w:val="center"/>
            <w:tcMar>
              <w:top w:w="100" w:type="dxa"/>
              <w:start w:w="120" w:type="dxa"/>
              <w:bottom w:w="100" w:type="dxa"/>
              <w:end w:w="120" w:type="dxa"/>
            </w:tcMar>
          </w:tcPr>
          <w:p>
            <w:pPr>
              <w:spacing w:after="0" w:line="252" w:lineRule="auto"/>
            </w:pPr>
            <w:r>
              <w:rPr>
                <w:rFonts w:ascii="Calibri" w:hAnsi="Calibri"/>
                <w:b w:val="0"/>
                <w:i w:val="0"/>
                <w:color w:val="17212B"/>
                <w:sz w:val="18"/>
              </w:rPr>
              <w:t>/api/scenarios/simulate</w:t>
            </w:r>
          </w:p>
        </w:tc>
        <w:tc>
          <w:tcPr>
            <w:tcW w:type="dxa" w:w="5160"/>
            <w:vAlign w:val="center"/>
            <w:tcMar>
              <w:top w:w="100" w:type="dxa"/>
              <w:start w:w="120" w:type="dxa"/>
              <w:bottom w:w="100" w:type="dxa"/>
              <w:end w:w="120" w:type="dxa"/>
            </w:tcMar>
          </w:tcPr>
          <w:p>
            <w:pPr>
              <w:spacing w:after="0" w:line="252" w:lineRule="auto"/>
            </w:pPr>
            <w:r>
              <w:rPr>
                <w:rFonts w:ascii="Calibri" w:hAnsi="Calibri"/>
                <w:b w:val="0"/>
                <w:i w:val="0"/>
                <w:color w:val="17212B"/>
                <w:sz w:val="18"/>
              </w:rPr>
              <w:t>Event inputs to supply and price estimates</w:t>
            </w:r>
          </w:p>
        </w:tc>
      </w:tr>
      <w:tr>
        <w:tc>
          <w:tcPr>
            <w:tcW w:type="dxa" w:w="100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POST</w:t>
            </w:r>
          </w:p>
        </w:tc>
        <w:tc>
          <w:tcPr>
            <w:tcW w:type="dxa" w:w="320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/api/procurement/recommend</w:t>
            </w:r>
          </w:p>
        </w:tc>
        <w:tc>
          <w:tcPr>
            <w:tcW w:type="dxa" w:w="516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Blocked nodes to safe suppliers and routes</w:t>
            </w:r>
          </w:p>
        </w:tc>
      </w:tr>
      <w:tr>
        <w:tc>
          <w:tcPr>
            <w:tcW w:type="dxa" w:w="1000"/>
            <w:vAlign w:val="center"/>
            <w:tcMar>
              <w:top w:w="100" w:type="dxa"/>
              <w:start w:w="120" w:type="dxa"/>
              <w:bottom w:w="100" w:type="dxa"/>
              <w:end w:w="120" w:type="dxa"/>
            </w:tcMar>
          </w:tcPr>
          <w:p>
            <w:pPr>
              <w:spacing w:after="0" w:line="252" w:lineRule="auto"/>
            </w:pPr>
            <w:r>
              <w:rPr>
                <w:rFonts w:ascii="Calibri" w:hAnsi="Calibri"/>
                <w:b w:val="0"/>
                <w:i w:val="0"/>
                <w:color w:val="17212B"/>
                <w:sz w:val="18"/>
              </w:rPr>
              <w:t>POST</w:t>
            </w:r>
          </w:p>
        </w:tc>
        <w:tc>
          <w:tcPr>
            <w:tcW w:type="dxa" w:w="3200"/>
            <w:vAlign w:val="center"/>
            <w:tcMar>
              <w:top w:w="100" w:type="dxa"/>
              <w:start w:w="120" w:type="dxa"/>
              <w:bottom w:w="100" w:type="dxa"/>
              <w:end w:w="120" w:type="dxa"/>
            </w:tcMar>
          </w:tcPr>
          <w:p>
            <w:pPr>
              <w:spacing w:after="0" w:line="252" w:lineRule="auto"/>
            </w:pPr>
            <w:r>
              <w:rPr>
                <w:rFonts w:ascii="Calibri" w:hAnsi="Calibri"/>
                <w:b w:val="0"/>
                <w:i w:val="0"/>
                <w:color w:val="17212B"/>
                <w:sz w:val="18"/>
              </w:rPr>
              <w:t>/api/reserves/optimize</w:t>
            </w:r>
          </w:p>
        </w:tc>
        <w:tc>
          <w:tcPr>
            <w:tcW w:type="dxa" w:w="5160"/>
            <w:vAlign w:val="center"/>
            <w:tcMar>
              <w:top w:w="100" w:type="dxa"/>
              <w:start w:w="120" w:type="dxa"/>
              <w:bottom w:w="100" w:type="dxa"/>
              <w:end w:w="120" w:type="dxa"/>
            </w:tcMar>
          </w:tcPr>
          <w:p>
            <w:pPr>
              <w:spacing w:after="0" w:line="252" w:lineRule="auto"/>
            </w:pPr>
            <w:r>
              <w:rPr>
                <w:rFonts w:ascii="Calibri" w:hAnsi="Calibri"/>
                <w:b w:val="0"/>
                <w:i w:val="0"/>
                <w:color w:val="17212B"/>
                <w:sz w:val="18"/>
              </w:rPr>
              <w:t>Shortage inputs to policy-safe reserve release</w:t>
            </w:r>
          </w:p>
        </w:tc>
      </w:tr>
      <w:tr>
        <w:tc>
          <w:tcPr>
            <w:tcW w:type="dxa" w:w="100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POST</w:t>
            </w:r>
          </w:p>
        </w:tc>
        <w:tc>
          <w:tcPr>
            <w:tcW w:type="dxa" w:w="320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/api/demo/run</w:t>
            </w:r>
          </w:p>
        </w:tc>
        <w:tc>
          <w:tcPr>
            <w:tcW w:type="dxa" w:w="516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Complete rising-tension workflow in one request</w:t>
            </w:r>
          </w:p>
        </w:tc>
      </w:tr>
    </w:tbl>
    <w:p>
      <w:pPr>
        <w:spacing w:after="40"/>
      </w:pPr>
    </w:p>
    <w:p>
      <w:pPr>
        <w:pStyle w:val="Heading2"/>
        <w:keepNext/>
      </w:pPr>
      <w:r>
        <w:t>Example scenario request</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EAF3F6"/>
          </w:tcPr>
          <w:p>
            <w:pPr>
              <w:spacing w:after="40"/>
            </w:pPr>
            <w:r>
              <w:rPr>
                <w:rFonts w:ascii="Calibri" w:hAnsi="Calibri"/>
                <w:b/>
                <w:i w:val="0"/>
                <w:color w:val="16A6B6"/>
                <w:sz w:val="18"/>
              </w:rPr>
              <w:t xml:space="preserve">POST /API/SCENARIOS/SIMULATE  </w:t>
            </w:r>
            <w:r>
              <w:rPr>
                <w:rFonts w:ascii="Calibri" w:hAnsi="Calibri"/>
                <w:b w:val="0"/>
                <w:i w:val="0"/>
                <w:color w:val="0B2545"/>
                <w:sz w:val="21"/>
              </w:rPr>
              <w:t>{"event":"strait_closure","severity":82,"duration_days":30,"baseline_supply_mbd":20.5}</w:t>
            </w:r>
          </w:p>
        </w:tc>
      </w:tr>
    </w:tbl>
    <w:p>
      <w:pPr>
        <w:spacing w:after="20"/>
      </w:pPr>
    </w:p>
    <w:p>
      <w:pPr>
        <w:pStyle w:val="Heading2"/>
        <w:keepNext/>
      </w:pPr>
      <w:r>
        <w:t>Illustrative output</w:t>
      </w:r>
    </w:p>
    <w:p>
      <w:pPr>
        <w:spacing w:after="120" w:line="264" w:lineRule="auto"/>
      </w:pPr>
      <w:r>
        <w:rPr>
          <w:rFonts w:ascii="Calibri" w:hAnsi="Calibri"/>
          <w:b w:val="0"/>
          <w:i w:val="0"/>
          <w:color w:val="17212B"/>
          <w:sz w:val="22"/>
        </w:rPr>
        <w:t>At 82 percent severity, the current model returns approximately 16.81 mb/d gross exposure, 4.80 mb/d substitution, 12.01 mb/d predicted shortage, 58.6 percent supply impact, and a 64.0 percent price change estimate with a 46.1–81.9 percent confidence band.</w:t>
      </w:r>
    </w:p>
    <w:p>
      <w:pPr>
        <w:pStyle w:val="Heading1"/>
        <w:keepNext/>
      </w:pPr>
      <w:r>
        <w:t>6. Frontend Dashboard</w:t>
      </w:r>
    </w:p>
    <w:p>
      <w:pPr>
        <w:spacing w:after="120" w:line="264" w:lineRule="auto"/>
      </w:pPr>
      <w:r>
        <w:rPr>
          <w:rFonts w:ascii="Calibri" w:hAnsi="Calibri"/>
          <w:b w:val="0"/>
          <w:i w:val="0"/>
          <w:color w:val="17212B"/>
          <w:sz w:val="22"/>
        </w:rPr>
        <w:t>The React command center is optimized for a clear judge-facing story: detect, simulate, decide, and explain. It attempts to call the FastAPI demo endpoint. If the backend is unavailable, it switches to a simplified deterministic browser fallback so the interface remains usable.</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vAlign w:val="center"/>
            <w:tcMar>
              <w:top w:w="100" w:type="dxa"/>
              <w:start w:w="120" w:type="dxa"/>
              <w:bottom w:w="100" w:type="dxa"/>
              <w:end w:w="120" w:type="dxa"/>
            </w:tcMar>
            <w:shd w:fill="0B2545"/>
          </w:tcPr>
          <w:p>
            <w:pPr>
              <w:spacing w:after="0"/>
            </w:pPr>
            <w:r>
              <w:rPr>
                <w:rFonts w:ascii="Calibri" w:hAnsi="Calibri"/>
                <w:b/>
                <w:i w:val="0"/>
                <w:color w:val="FFFFFF"/>
                <w:sz w:val="18"/>
              </w:rPr>
              <w:t>Dashboard area</w:t>
            </w:r>
          </w:p>
        </w:tc>
        <w:tc>
          <w:tcPr>
            <w:tcW w:type="dxa" w:w="6660"/>
            <w:vAlign w:val="center"/>
            <w:tcMar>
              <w:top w:w="100" w:type="dxa"/>
              <w:start w:w="120" w:type="dxa"/>
              <w:bottom w:w="100" w:type="dxa"/>
              <w:end w:w="120" w:type="dxa"/>
            </w:tcMar>
            <w:shd w:fill="0B2545"/>
          </w:tcPr>
          <w:p>
            <w:pPr>
              <w:spacing w:after="0"/>
            </w:pPr>
            <w:r>
              <w:rPr>
                <w:rFonts w:ascii="Calibri" w:hAnsi="Calibri"/>
                <w:b/>
                <w:i w:val="0"/>
                <w:color w:val="FFFFFF"/>
                <w:sz w:val="18"/>
              </w:rPr>
              <w:t>Decision purpose</w:t>
            </w:r>
          </w:p>
        </w:tc>
      </w:tr>
      <w:tr>
        <w:tc>
          <w:tcPr>
            <w:tcW w:type="dxa" w:w="2700"/>
            <w:vAlign w:val="center"/>
            <w:tcMar>
              <w:top w:w="100" w:type="dxa"/>
              <w:start w:w="120" w:type="dxa"/>
              <w:bottom w:w="100" w:type="dxa"/>
              <w:end w:w="120" w:type="dxa"/>
            </w:tcMar>
          </w:tcPr>
          <w:p>
            <w:pPr>
              <w:spacing w:after="0" w:line="252" w:lineRule="auto"/>
            </w:pPr>
            <w:r>
              <w:rPr>
                <w:rFonts w:ascii="Calibri" w:hAnsi="Calibri"/>
                <w:b w:val="0"/>
                <w:i w:val="0"/>
                <w:color w:val="17212B"/>
                <w:sz w:val="18"/>
              </w:rPr>
              <w:t>Executive metrics</w:t>
            </w:r>
          </w:p>
        </w:tc>
        <w:tc>
          <w:tcPr>
            <w:tcW w:type="dxa" w:w="6660"/>
            <w:vAlign w:val="center"/>
            <w:tcMar>
              <w:top w:w="100" w:type="dxa"/>
              <w:start w:w="120" w:type="dxa"/>
              <w:bottom w:w="100" w:type="dxa"/>
              <w:end w:w="120" w:type="dxa"/>
            </w:tcMar>
          </w:tcPr>
          <w:p>
            <w:pPr>
              <w:spacing w:after="0" w:line="252" w:lineRule="auto"/>
            </w:pPr>
            <w:r>
              <w:rPr>
                <w:rFonts w:ascii="Calibri" w:hAnsi="Calibri"/>
                <w:b w:val="0"/>
                <w:i w:val="0"/>
                <w:color w:val="17212B"/>
                <w:sz w:val="18"/>
              </w:rPr>
              <w:t>Risk, supply at risk, price exposure, and resilience coverage</w:t>
            </w:r>
          </w:p>
        </w:tc>
      </w:tr>
      <w:tr>
        <w:tc>
          <w:tcPr>
            <w:tcW w:type="dxa" w:w="270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Live route exposure</w:t>
            </w:r>
          </w:p>
        </w:tc>
        <w:tc>
          <w:tcPr>
            <w:tcW w:type="dxa" w:w="666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Illustrative map of disrupted and alternative routes</w:t>
            </w:r>
          </w:p>
        </w:tc>
      </w:tr>
      <w:tr>
        <w:tc>
          <w:tcPr>
            <w:tcW w:type="dxa" w:w="2700"/>
            <w:vAlign w:val="center"/>
            <w:tcMar>
              <w:top w:w="100" w:type="dxa"/>
              <w:start w:w="120" w:type="dxa"/>
              <w:bottom w:w="100" w:type="dxa"/>
              <w:end w:w="120" w:type="dxa"/>
            </w:tcMar>
          </w:tcPr>
          <w:p>
            <w:pPr>
              <w:spacing w:after="0" w:line="252" w:lineRule="auto"/>
            </w:pPr>
            <w:r>
              <w:rPr>
                <w:rFonts w:ascii="Calibri" w:hAnsi="Calibri"/>
                <w:b w:val="0"/>
                <w:i w:val="0"/>
                <w:color w:val="17212B"/>
                <w:sz w:val="18"/>
              </w:rPr>
              <w:t>Scenario Lab</w:t>
            </w:r>
          </w:p>
        </w:tc>
        <w:tc>
          <w:tcPr>
            <w:tcW w:type="dxa" w:w="6660"/>
            <w:vAlign w:val="center"/>
            <w:tcMar>
              <w:top w:w="100" w:type="dxa"/>
              <w:start w:w="120" w:type="dxa"/>
              <w:bottom w:w="100" w:type="dxa"/>
              <w:end w:w="120" w:type="dxa"/>
            </w:tcMar>
          </w:tcPr>
          <w:p>
            <w:pPr>
              <w:spacing w:after="0" w:line="252" w:lineRule="auto"/>
            </w:pPr>
            <w:r>
              <w:rPr>
                <w:rFonts w:ascii="Calibri" w:hAnsi="Calibri"/>
                <w:b w:val="0"/>
                <w:i w:val="0"/>
                <w:color w:val="17212B"/>
                <w:sz w:val="18"/>
              </w:rPr>
              <w:t>Event selector, severity slider, and simulation action</w:t>
            </w:r>
          </w:p>
        </w:tc>
      </w:tr>
      <w:tr>
        <w:tc>
          <w:tcPr>
            <w:tcW w:type="dxa" w:w="270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Intelligence feed</w:t>
            </w:r>
          </w:p>
        </w:tc>
        <w:tc>
          <w:tcPr>
            <w:tcW w:type="dxa" w:w="666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Threat headlines and model confidence</w:t>
            </w:r>
          </w:p>
        </w:tc>
      </w:tr>
      <w:tr>
        <w:tc>
          <w:tcPr>
            <w:tcW w:type="dxa" w:w="2700"/>
            <w:vAlign w:val="center"/>
            <w:tcMar>
              <w:top w:w="100" w:type="dxa"/>
              <w:start w:w="120" w:type="dxa"/>
              <w:bottom w:w="100" w:type="dxa"/>
              <w:end w:w="120" w:type="dxa"/>
            </w:tcMar>
          </w:tcPr>
          <w:p>
            <w:pPr>
              <w:spacing w:after="0" w:line="252" w:lineRule="auto"/>
            </w:pPr>
            <w:r>
              <w:rPr>
                <w:rFonts w:ascii="Calibri" w:hAnsi="Calibri"/>
                <w:b w:val="0"/>
                <w:i w:val="0"/>
                <w:color w:val="17212B"/>
                <w:sz w:val="18"/>
              </w:rPr>
              <w:t>Brent exposure chart</w:t>
            </w:r>
          </w:p>
        </w:tc>
        <w:tc>
          <w:tcPr>
            <w:tcW w:type="dxa" w:w="6660"/>
            <w:vAlign w:val="center"/>
            <w:tcMar>
              <w:top w:w="100" w:type="dxa"/>
              <w:start w:w="120" w:type="dxa"/>
              <w:bottom w:w="100" w:type="dxa"/>
              <w:end w:w="120" w:type="dxa"/>
            </w:tcMar>
          </w:tcPr>
          <w:p>
            <w:pPr>
              <w:spacing w:after="0" w:line="252" w:lineRule="auto"/>
            </w:pPr>
            <w:r>
              <w:rPr>
                <w:rFonts w:ascii="Calibri" w:hAnsi="Calibri"/>
                <w:b w:val="0"/>
                <w:i w:val="0"/>
                <w:color w:val="17212B"/>
                <w:sz w:val="18"/>
              </w:rPr>
              <w:t>Twelve-month price signal</w:t>
            </w:r>
          </w:p>
        </w:tc>
      </w:tr>
      <w:tr>
        <w:tc>
          <w:tcPr>
            <w:tcW w:type="dxa" w:w="270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Recommended actions</w:t>
            </w:r>
          </w:p>
        </w:tc>
        <w:tc>
          <w:tcPr>
            <w:tcW w:type="dxa" w:w="666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Ranked alternative suppliers and safe routes</w:t>
            </w:r>
          </w:p>
        </w:tc>
      </w:tr>
      <w:tr>
        <w:tc>
          <w:tcPr>
            <w:tcW w:type="dxa" w:w="2700"/>
            <w:vAlign w:val="center"/>
            <w:tcMar>
              <w:top w:w="100" w:type="dxa"/>
              <w:start w:w="120" w:type="dxa"/>
              <w:bottom w:w="100" w:type="dxa"/>
              <w:end w:w="120" w:type="dxa"/>
            </w:tcMar>
          </w:tcPr>
          <w:p>
            <w:pPr>
              <w:spacing w:after="0" w:line="252" w:lineRule="auto"/>
            </w:pPr>
            <w:r>
              <w:rPr>
                <w:rFonts w:ascii="Calibri" w:hAnsi="Calibri"/>
                <w:b w:val="0"/>
                <w:i w:val="0"/>
                <w:color w:val="17212B"/>
                <w:sz w:val="18"/>
              </w:rPr>
              <w:t>Reserve playbook</w:t>
            </w:r>
          </w:p>
        </w:tc>
        <w:tc>
          <w:tcPr>
            <w:tcW w:type="dxa" w:w="6660"/>
            <w:vAlign w:val="center"/>
            <w:tcMar>
              <w:top w:w="100" w:type="dxa"/>
              <w:start w:w="120" w:type="dxa"/>
              <w:bottom w:w="100" w:type="dxa"/>
              <w:end w:w="120" w:type="dxa"/>
            </w:tcMar>
          </w:tcPr>
          <w:p>
            <w:pPr>
              <w:spacing w:after="0" w:line="252" w:lineRule="auto"/>
            </w:pPr>
            <w:r>
              <w:rPr>
                <w:rFonts w:ascii="Calibri" w:hAnsi="Calibri"/>
                <w:b w:val="0"/>
                <w:i w:val="0"/>
                <w:color w:val="17212B"/>
                <w:sz w:val="18"/>
              </w:rPr>
              <w:t>Recommended release and post-action reserve balance</w:t>
            </w:r>
          </w:p>
        </w:tc>
      </w:tr>
      <w:tr>
        <w:tc>
          <w:tcPr>
            <w:tcW w:type="dxa" w:w="270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Ask Aegis</w:t>
            </w:r>
          </w:p>
        </w:tc>
        <w:tc>
          <w:tcPr>
            <w:tcW w:type="dxa" w:w="666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Natural-language executive summary of the current scenario</w:t>
            </w:r>
          </w:p>
        </w:tc>
      </w:tr>
    </w:tbl>
    <w:p>
      <w:pPr>
        <w:spacing w:after="40"/>
      </w:pPr>
    </w:p>
    <w:p>
      <w:pPr>
        <w:pStyle w:val="Heading1"/>
        <w:keepNext/>
      </w:pPr>
      <w:r>
        <w:t>7. End-to-End Demonstration</w:t>
      </w:r>
    </w:p>
    <w:p>
      <w:pPr>
        <w:spacing w:after="120" w:line="264" w:lineRule="auto"/>
      </w:pPr>
      <w:r>
        <w:rPr>
          <w:rFonts w:ascii="Calibri" w:hAnsi="Calibri"/>
          <w:b w:val="0"/>
          <w:i w:val="0"/>
          <w:color w:val="17212B"/>
          <w:sz w:val="22"/>
        </w:rPr>
        <w:t>The recommended demo tells one complete operational story.</w:t>
      </w:r>
    </w:p>
    <w:p>
      <w:pPr>
        <w:pStyle w:val="ListNumber"/>
        <w:spacing w:after="120" w:line="264" w:lineRule="auto"/>
        <w:ind w:left="720" w:hanging="360"/>
      </w:pPr>
      <w:r>
        <w:rPr>
          <w:rFonts w:ascii="Calibri" w:hAnsi="Calibri"/>
          <w:b w:val="0"/>
          <w:i w:val="0"/>
          <w:color w:val="17212B"/>
          <w:sz w:val="21"/>
        </w:rPr>
        <w:t>Open the dashboard and introduce Aegis as an energy-resilience command center.</w:t>
      </w:r>
    </w:p>
    <w:p>
      <w:pPr>
        <w:pStyle w:val="ListNumber"/>
        <w:spacing w:after="120" w:line="264" w:lineRule="auto"/>
        <w:ind w:left="720" w:hanging="360"/>
      </w:pPr>
      <w:r>
        <w:rPr>
          <w:rFonts w:ascii="Calibri" w:hAnsi="Calibri"/>
          <w:b w:val="0"/>
          <w:i w:val="0"/>
          <w:color w:val="17212B"/>
          <w:sz w:val="21"/>
        </w:rPr>
        <w:t>Show the intelligence feed reporting rising tension and shipping uncertainty near Hormuz.</w:t>
      </w:r>
    </w:p>
    <w:p>
      <w:pPr>
        <w:pStyle w:val="ListNumber"/>
        <w:spacing w:after="120" w:line="264" w:lineRule="auto"/>
        <w:ind w:left="720" w:hanging="360"/>
      </w:pPr>
      <w:r>
        <w:rPr>
          <w:rFonts w:ascii="Calibri" w:hAnsi="Calibri"/>
          <w:b w:val="0"/>
          <w:i w:val="0"/>
          <w:color w:val="17212B"/>
          <w:sz w:val="21"/>
        </w:rPr>
        <w:t>Explain that the risk agent converts article evidence into a 0–100 risk score.</w:t>
      </w:r>
    </w:p>
    <w:p>
      <w:pPr>
        <w:pStyle w:val="ListNumber"/>
        <w:spacing w:after="120" w:line="264" w:lineRule="auto"/>
        <w:ind w:left="720" w:hanging="360"/>
      </w:pPr>
      <w:r>
        <w:rPr>
          <w:rFonts w:ascii="Calibri" w:hAnsi="Calibri"/>
          <w:b w:val="0"/>
          <w:i w:val="0"/>
          <w:color w:val="17212B"/>
          <w:sz w:val="21"/>
        </w:rPr>
        <w:t>Point to the map and identify the Strait of Hormuz as the threatened chokepoint.</w:t>
      </w:r>
    </w:p>
    <w:p>
      <w:pPr>
        <w:pStyle w:val="ListNumber"/>
        <w:spacing w:after="120" w:line="264" w:lineRule="auto"/>
        <w:ind w:left="720" w:hanging="360"/>
      </w:pPr>
      <w:r>
        <w:rPr>
          <w:rFonts w:ascii="Calibri" w:hAnsi="Calibri"/>
          <w:b w:val="0"/>
          <w:i w:val="0"/>
          <w:color w:val="17212B"/>
          <w:sz w:val="21"/>
        </w:rPr>
        <w:t>Select Strait of Hormuz closure, set severity to 82 percent, and run the simulation.</w:t>
      </w:r>
    </w:p>
    <w:p>
      <w:pPr>
        <w:pStyle w:val="ListNumber"/>
        <w:spacing w:after="120" w:line="264" w:lineRule="auto"/>
        <w:ind w:left="720" w:hanging="360"/>
      </w:pPr>
      <w:r>
        <w:rPr>
          <w:rFonts w:ascii="Calibri" w:hAnsi="Calibri"/>
          <w:b w:val="0"/>
          <w:i w:val="0"/>
          <w:color w:val="17212B"/>
          <w:sz w:val="21"/>
        </w:rPr>
        <w:t>Explain the predicted shortage, supply impact, price shock, and confidence range.</w:t>
      </w:r>
    </w:p>
    <w:p>
      <w:pPr>
        <w:pStyle w:val="ListNumber"/>
        <w:spacing w:after="120" w:line="264" w:lineRule="auto"/>
        <w:ind w:left="720" w:hanging="360"/>
      </w:pPr>
      <w:r>
        <w:rPr>
          <w:rFonts w:ascii="Calibri" w:hAnsi="Calibri"/>
          <w:b w:val="0"/>
          <w:i w:val="0"/>
          <w:color w:val="17212B"/>
          <w:sz w:val="21"/>
        </w:rPr>
        <w:t>Show Norway, the United States, and Brazil as ranked alternative suppliers.</w:t>
      </w:r>
    </w:p>
    <w:p>
      <w:pPr>
        <w:pStyle w:val="ListNumber"/>
        <w:spacing w:after="120" w:line="264" w:lineRule="auto"/>
        <w:ind w:left="720" w:hanging="360"/>
      </w:pPr>
      <w:r>
        <w:rPr>
          <w:rFonts w:ascii="Calibri" w:hAnsi="Calibri"/>
          <w:b w:val="0"/>
          <w:i w:val="0"/>
          <w:color w:val="17212B"/>
          <w:sz w:val="21"/>
        </w:rPr>
        <w:t>Explain the reserve release recommendation and protected policy floor.</w:t>
      </w:r>
    </w:p>
    <w:p>
      <w:pPr>
        <w:pStyle w:val="ListNumber"/>
        <w:spacing w:after="120" w:line="264" w:lineRule="auto"/>
        <w:ind w:left="720" w:hanging="360"/>
      </w:pPr>
      <w:r>
        <w:rPr>
          <w:rFonts w:ascii="Calibri" w:hAnsi="Calibri"/>
          <w:b w:val="0"/>
          <w:i w:val="0"/>
          <w:color w:val="17212B"/>
          <w:sz w:val="21"/>
        </w:rPr>
        <w:t>Click Ask Aegis and summarize the executive answer.</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EAF3F6"/>
          </w:tcPr>
          <w:p>
            <w:pPr>
              <w:spacing w:after="40"/>
            </w:pPr>
            <w:r>
              <w:rPr>
                <w:rFonts w:ascii="Calibri" w:hAnsi="Calibri"/>
                <w:b/>
                <w:i w:val="0"/>
                <w:color w:val="277A62"/>
                <w:sz w:val="18"/>
              </w:rPr>
              <w:t xml:space="preserve">CLOSING LINE  </w:t>
            </w:r>
            <w:r>
              <w:rPr>
                <w:rFonts w:ascii="Calibri" w:hAnsi="Calibri"/>
                <w:b w:val="0"/>
                <w:i w:val="0"/>
                <w:color w:val="0B2545"/>
                <w:sz w:val="21"/>
              </w:rPr>
              <w:t>Aegis does not stop at detecting a crisis—it estimates the operational impact and recommends what decision-makers should do next.</w:t>
            </w:r>
          </w:p>
        </w:tc>
      </w:tr>
    </w:tbl>
    <w:p>
      <w:pPr>
        <w:spacing w:after="20"/>
      </w:pPr>
    </w:p>
    <w:p>
      <w:pPr>
        <w:pStyle w:val="Heading1"/>
        <w:keepNext/>
      </w:pPr>
      <w:r>
        <w:t>8. Local Installation and Operation</w:t>
      </w:r>
    </w:p>
    <w:p>
      <w:pPr>
        <w:pStyle w:val="Heading2"/>
        <w:keepNext/>
      </w:pPr>
      <w:r>
        <w:t>Prerequisites</w:t>
      </w:r>
    </w:p>
    <w:p>
      <w:pPr>
        <w:pStyle w:val="ListBullet"/>
        <w:spacing w:after="100" w:line="264" w:lineRule="auto"/>
        <w:ind w:left="720" w:hanging="360"/>
      </w:pPr>
      <w:r>
        <w:rPr>
          <w:rFonts w:ascii="Calibri" w:hAnsi="Calibri"/>
          <w:b w:val="0"/>
          <w:i w:val="0"/>
          <w:color w:val="17212B"/>
          <w:sz w:val="21"/>
        </w:rPr>
        <w:t>Python 3.10 or later</w:t>
      </w:r>
    </w:p>
    <w:p>
      <w:pPr>
        <w:pStyle w:val="ListBullet"/>
        <w:spacing w:after="100" w:line="264" w:lineRule="auto"/>
        <w:ind w:left="720" w:hanging="360"/>
      </w:pPr>
      <w:r>
        <w:rPr>
          <w:rFonts w:ascii="Calibri" w:hAnsi="Calibri"/>
          <w:b w:val="0"/>
          <w:i w:val="0"/>
          <w:color w:val="17212B"/>
          <w:sz w:val="21"/>
        </w:rPr>
        <w:t>Node.js 22 or later</w:t>
      </w:r>
    </w:p>
    <w:p>
      <w:pPr>
        <w:pStyle w:val="ListBullet"/>
        <w:spacing w:after="100" w:line="264" w:lineRule="auto"/>
        <w:ind w:left="720" w:hanging="360"/>
      </w:pPr>
      <w:r>
        <w:rPr>
          <w:rFonts w:ascii="Calibri" w:hAnsi="Calibri"/>
          <w:b w:val="0"/>
          <w:i w:val="0"/>
          <w:color w:val="17212B"/>
          <w:sz w:val="21"/>
        </w:rPr>
        <w:t>No paid API subscription or API key</w:t>
      </w:r>
    </w:p>
    <w:p>
      <w:pPr>
        <w:pStyle w:val="Heading2"/>
        <w:keepNext/>
      </w:pPr>
      <w:r>
        <w:t>Start the backend</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EAF3F6"/>
          </w:tcPr>
          <w:p>
            <w:pPr>
              <w:spacing w:after="40"/>
            </w:pPr>
            <w:r>
              <w:rPr>
                <w:rFonts w:ascii="Calibri" w:hAnsi="Calibri"/>
                <w:b/>
                <w:i w:val="0"/>
                <w:color w:val="16A6B6"/>
                <w:sz w:val="18"/>
              </w:rPr>
              <w:t xml:space="preserve">TERMINAL 1  </w:t>
            </w:r>
            <w:r>
              <w:rPr>
                <w:rFonts w:ascii="Calibri" w:hAnsi="Calibri"/>
                <w:b w:val="0"/>
                <w:i w:val="0"/>
                <w:color w:val="0B2545"/>
                <w:sz w:val="21"/>
              </w:rPr>
              <w:t>python3 -m venv .venv</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EAF3F6"/>
          </w:tcPr>
          <w:p>
            <w:pPr>
              <w:spacing w:after="40"/>
            </w:pPr>
            <w:r>
              <w:rPr>
                <w:rFonts w:ascii="Calibri" w:hAnsi="Calibri"/>
                <w:b/>
                <w:i w:val="0"/>
                <w:color w:val="16A6B6"/>
                <w:sz w:val="18"/>
              </w:rPr>
              <w:t xml:space="preserve">TERMINAL 1  </w:t>
            </w:r>
            <w:r>
              <w:rPr>
                <w:rFonts w:ascii="Calibri" w:hAnsi="Calibri"/>
                <w:b w:val="0"/>
                <w:i w:val="0"/>
                <w:color w:val="0B2545"/>
                <w:sz w:val="21"/>
              </w:rPr>
              <w:t>source .venv/bin/activate</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EAF3F6"/>
          </w:tcPr>
          <w:p>
            <w:pPr>
              <w:spacing w:after="40"/>
            </w:pPr>
            <w:r>
              <w:rPr>
                <w:rFonts w:ascii="Calibri" w:hAnsi="Calibri"/>
                <w:b/>
                <w:i w:val="0"/>
                <w:color w:val="16A6B6"/>
                <w:sz w:val="18"/>
              </w:rPr>
              <w:t xml:space="preserve">TERMINAL 1  </w:t>
            </w:r>
            <w:r>
              <w:rPr>
                <w:rFonts w:ascii="Calibri" w:hAnsi="Calibri"/>
                <w:b w:val="0"/>
                <w:i w:val="0"/>
                <w:color w:val="0B2545"/>
                <w:sz w:val="21"/>
              </w:rPr>
              <w:t>pip install -r requirements.txt</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EAF3F6"/>
          </w:tcPr>
          <w:p>
            <w:pPr>
              <w:spacing w:after="40"/>
            </w:pPr>
            <w:r>
              <w:rPr>
                <w:rFonts w:ascii="Calibri" w:hAnsi="Calibri"/>
                <w:b/>
                <w:i w:val="0"/>
                <w:color w:val="16A6B6"/>
                <w:sz w:val="18"/>
              </w:rPr>
              <w:t xml:space="preserve">TERMINAL 1  </w:t>
            </w:r>
            <w:r>
              <w:rPr>
                <w:rFonts w:ascii="Calibri" w:hAnsi="Calibri"/>
                <w:b w:val="0"/>
                <w:i w:val="0"/>
                <w:color w:val="0B2545"/>
                <w:sz w:val="21"/>
              </w:rPr>
              <w:t>uvicorn backend.main:app --reload</w:t>
            </w:r>
          </w:p>
        </w:tc>
      </w:tr>
    </w:tbl>
    <w:p>
      <w:pPr>
        <w:spacing w:after="20"/>
      </w:pPr>
    </w:p>
    <w:p>
      <w:pPr>
        <w:pStyle w:val="Heading2"/>
        <w:keepNext/>
      </w:pPr>
      <w:r>
        <w:t>Start the dashboard</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EAF3F6"/>
          </w:tcPr>
          <w:p>
            <w:pPr>
              <w:spacing w:after="40"/>
            </w:pPr>
            <w:r>
              <w:rPr>
                <w:rFonts w:ascii="Calibri" w:hAnsi="Calibri"/>
                <w:b/>
                <w:i w:val="0"/>
                <w:color w:val="16A6B6"/>
                <w:sz w:val="18"/>
              </w:rPr>
              <w:t xml:space="preserve">TERMINAL 2  </w:t>
            </w:r>
            <w:r>
              <w:rPr>
                <w:rFonts w:ascii="Calibri" w:hAnsi="Calibri"/>
                <w:b w:val="0"/>
                <w:i w:val="0"/>
                <w:color w:val="0B2545"/>
                <w:sz w:val="21"/>
              </w:rPr>
              <w:t>npm install</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EAF3F6"/>
          </w:tcPr>
          <w:p>
            <w:pPr>
              <w:spacing w:after="40"/>
            </w:pPr>
            <w:r>
              <w:rPr>
                <w:rFonts w:ascii="Calibri" w:hAnsi="Calibri"/>
                <w:b/>
                <w:i w:val="0"/>
                <w:color w:val="16A6B6"/>
                <w:sz w:val="18"/>
              </w:rPr>
              <w:t xml:space="preserve">TERMINAL 2  </w:t>
            </w:r>
            <w:r>
              <w:rPr>
                <w:rFonts w:ascii="Calibri" w:hAnsi="Calibri"/>
                <w:b w:val="0"/>
                <w:i w:val="0"/>
                <w:color w:val="0B2545"/>
                <w:sz w:val="21"/>
              </w:rPr>
              <w:t>npm run dev</w:t>
            </w:r>
          </w:p>
        </w:tc>
      </w:tr>
    </w:tbl>
    <w:p>
      <w:pPr>
        <w:spacing w:after="20"/>
      </w:pPr>
    </w:p>
    <w:p>
      <w:pPr>
        <w:spacing w:after="120" w:line="264" w:lineRule="auto"/>
      </w:pPr>
      <w:r>
        <w:rPr>
          <w:rFonts w:ascii="Calibri" w:hAnsi="Calibri"/>
          <w:b w:val="0"/>
          <w:i w:val="0"/>
          <w:color w:val="17212B"/>
          <w:sz w:val="22"/>
        </w:rPr>
        <w:t>Open http://localhost:3000 for the dashboard and http://127.0.0.1:8000/docs for interactive API documentation.</w:t>
      </w:r>
    </w:p>
    <w:p>
      <w:pPr>
        <w:pStyle w:val="Heading1"/>
        <w:keepNext/>
      </w:pPr>
      <w:r>
        <w:t>9. Repository Structure</w:t>
      </w:r>
    </w:p>
    <w:tbl>
      <w:tblPr>
        <w:tblStyle w:val="TableGrid"/>
        <w:tblW w:type="dxa" w:w="9360"/>
        <w:tblLayout w:type="fixed"/>
        <w:tblLook w:firstColumn="1" w:firstRow="1" w:lastColumn="0" w:lastRow="0" w:noHBand="0" w:noVBand="1" w:val="04A0"/>
        <w:jc w:val="left"/>
        <w:tblInd w:w="120" w:type="dxa"/>
      </w:tblPr>
      <w:tblGrid>
        <w:gridCol w:w="3300"/>
        <w:gridCol w:w="6060"/>
      </w:tblGrid>
      <w:tr>
        <w:trPr>
          <w:tblHeader w:val="true"/>
        </w:trPr>
        <w:tc>
          <w:tcPr>
            <w:tcW w:type="dxa" w:w="3300"/>
            <w:vAlign w:val="center"/>
            <w:tcMar>
              <w:top w:w="100" w:type="dxa"/>
              <w:start w:w="120" w:type="dxa"/>
              <w:bottom w:w="100" w:type="dxa"/>
              <w:end w:w="120" w:type="dxa"/>
            </w:tcMar>
            <w:shd w:fill="0B2545"/>
          </w:tcPr>
          <w:p>
            <w:pPr>
              <w:spacing w:after="0"/>
            </w:pPr>
            <w:r>
              <w:rPr>
                <w:rFonts w:ascii="Calibri" w:hAnsi="Calibri"/>
                <w:b/>
                <w:i w:val="0"/>
                <w:color w:val="FFFFFF"/>
                <w:sz w:val="18"/>
              </w:rPr>
              <w:t>Path</w:t>
            </w:r>
          </w:p>
        </w:tc>
        <w:tc>
          <w:tcPr>
            <w:tcW w:type="dxa" w:w="6060"/>
            <w:vAlign w:val="center"/>
            <w:tcMar>
              <w:top w:w="100" w:type="dxa"/>
              <w:start w:w="120" w:type="dxa"/>
              <w:bottom w:w="100" w:type="dxa"/>
              <w:end w:w="120" w:type="dxa"/>
            </w:tcMar>
            <w:shd w:fill="0B2545"/>
          </w:tcPr>
          <w:p>
            <w:pPr>
              <w:spacing w:after="0"/>
            </w:pPr>
            <w:r>
              <w:rPr>
                <w:rFonts w:ascii="Calibri" w:hAnsi="Calibri"/>
                <w:b/>
                <w:i w:val="0"/>
                <w:color w:val="FFFFFF"/>
                <w:sz w:val="18"/>
              </w:rPr>
              <w:t>Responsibility</w:t>
            </w:r>
          </w:p>
        </w:tc>
      </w:tr>
      <w:tr>
        <w:tc>
          <w:tcPr>
            <w:tcW w:type="dxa" w:w="3300"/>
            <w:vAlign w:val="center"/>
            <w:tcMar>
              <w:top w:w="100" w:type="dxa"/>
              <w:start w:w="120" w:type="dxa"/>
              <w:bottom w:w="100" w:type="dxa"/>
              <w:end w:w="120" w:type="dxa"/>
            </w:tcMar>
          </w:tcPr>
          <w:p>
            <w:pPr>
              <w:spacing w:after="0" w:line="252" w:lineRule="auto"/>
            </w:pPr>
            <w:r>
              <w:rPr>
                <w:rFonts w:ascii="Calibri" w:hAnsi="Calibri"/>
                <w:b w:val="0"/>
                <w:i w:val="0"/>
                <w:color w:val="17212B"/>
                <w:sz w:val="18"/>
              </w:rPr>
              <w:t>app/page.tsx</w:t>
            </w:r>
          </w:p>
        </w:tc>
        <w:tc>
          <w:tcPr>
            <w:tcW w:type="dxa" w:w="6060"/>
            <w:vAlign w:val="center"/>
            <w:tcMar>
              <w:top w:w="100" w:type="dxa"/>
              <w:start w:w="120" w:type="dxa"/>
              <w:bottom w:w="100" w:type="dxa"/>
              <w:end w:w="120" w:type="dxa"/>
            </w:tcMar>
          </w:tcPr>
          <w:p>
            <w:pPr>
              <w:spacing w:after="0" w:line="252" w:lineRule="auto"/>
            </w:pPr>
            <w:r>
              <w:rPr>
                <w:rFonts w:ascii="Calibri" w:hAnsi="Calibri"/>
                <w:b w:val="0"/>
                <w:i w:val="0"/>
                <w:color w:val="17212B"/>
                <w:sz w:val="18"/>
              </w:rPr>
              <w:t>Dashboard state, simulation controls, map, charts, and chat</w:t>
            </w:r>
          </w:p>
        </w:tc>
      </w:tr>
      <w:tr>
        <w:tc>
          <w:tcPr>
            <w:tcW w:type="dxa" w:w="330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app/globals.css</w:t>
            </w:r>
          </w:p>
        </w:tc>
        <w:tc>
          <w:tcPr>
            <w:tcW w:type="dxa" w:w="606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Responsive command-center visual system</w:t>
            </w:r>
          </w:p>
        </w:tc>
      </w:tr>
      <w:tr>
        <w:tc>
          <w:tcPr>
            <w:tcW w:type="dxa" w:w="3300"/>
            <w:vAlign w:val="center"/>
            <w:tcMar>
              <w:top w:w="100" w:type="dxa"/>
              <w:start w:w="120" w:type="dxa"/>
              <w:bottom w:w="100" w:type="dxa"/>
              <w:end w:w="120" w:type="dxa"/>
            </w:tcMar>
          </w:tcPr>
          <w:p>
            <w:pPr>
              <w:spacing w:after="0" w:line="252" w:lineRule="auto"/>
            </w:pPr>
            <w:r>
              <w:rPr>
                <w:rFonts w:ascii="Calibri" w:hAnsi="Calibri"/>
                <w:b w:val="0"/>
                <w:i w:val="0"/>
                <w:color w:val="17212B"/>
                <w:sz w:val="18"/>
              </w:rPr>
              <w:t>backend/main.py</w:t>
            </w:r>
          </w:p>
        </w:tc>
        <w:tc>
          <w:tcPr>
            <w:tcW w:type="dxa" w:w="6060"/>
            <w:vAlign w:val="center"/>
            <w:tcMar>
              <w:top w:w="100" w:type="dxa"/>
              <w:start w:w="120" w:type="dxa"/>
              <w:bottom w:w="100" w:type="dxa"/>
              <w:end w:w="120" w:type="dxa"/>
            </w:tcMar>
          </w:tcPr>
          <w:p>
            <w:pPr>
              <w:spacing w:after="0" w:line="252" w:lineRule="auto"/>
            </w:pPr>
            <w:r>
              <w:rPr>
                <w:rFonts w:ascii="Calibri" w:hAnsi="Calibri"/>
                <w:b w:val="0"/>
                <w:i w:val="0"/>
                <w:color w:val="17212B"/>
                <w:sz w:val="18"/>
              </w:rPr>
              <w:t>FastAPI endpoints and workflow orchestration</w:t>
            </w:r>
          </w:p>
        </w:tc>
      </w:tr>
      <w:tr>
        <w:tc>
          <w:tcPr>
            <w:tcW w:type="dxa" w:w="330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backend/models.py</w:t>
            </w:r>
          </w:p>
        </w:tc>
        <w:tc>
          <w:tcPr>
            <w:tcW w:type="dxa" w:w="606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Validated Pydantic request models</w:t>
            </w:r>
          </w:p>
        </w:tc>
      </w:tr>
      <w:tr>
        <w:tc>
          <w:tcPr>
            <w:tcW w:type="dxa" w:w="3300"/>
            <w:vAlign w:val="center"/>
            <w:tcMar>
              <w:top w:w="100" w:type="dxa"/>
              <w:start w:w="120" w:type="dxa"/>
              <w:bottom w:w="100" w:type="dxa"/>
              <w:end w:w="120" w:type="dxa"/>
            </w:tcMar>
          </w:tcPr>
          <w:p>
            <w:pPr>
              <w:spacing w:after="0" w:line="252" w:lineRule="auto"/>
            </w:pPr>
            <w:r>
              <w:rPr>
                <w:rFonts w:ascii="Calibri" w:hAnsi="Calibri"/>
                <w:b w:val="0"/>
                <w:i w:val="0"/>
                <w:color w:val="17212B"/>
                <w:sz w:val="18"/>
              </w:rPr>
              <w:t>backend/data/</w:t>
            </w:r>
          </w:p>
        </w:tc>
        <w:tc>
          <w:tcPr>
            <w:tcW w:type="dxa" w:w="6060"/>
            <w:vAlign w:val="center"/>
            <w:tcMar>
              <w:top w:w="100" w:type="dxa"/>
              <w:start w:w="120" w:type="dxa"/>
              <w:bottom w:w="100" w:type="dxa"/>
              <w:end w:w="120" w:type="dxa"/>
            </w:tcMar>
          </w:tcPr>
          <w:p>
            <w:pPr>
              <w:spacing w:after="0" w:line="252" w:lineRule="auto"/>
            </w:pPr>
            <w:r>
              <w:rPr>
                <w:rFonts w:ascii="Calibri" w:hAnsi="Calibri"/>
                <w:b w:val="0"/>
                <w:i w:val="0"/>
                <w:color w:val="17212B"/>
                <w:sz w:val="18"/>
              </w:rPr>
              <w:t>Synthetic data and public-source adapters</w:t>
            </w:r>
          </w:p>
        </w:tc>
      </w:tr>
      <w:tr>
        <w:tc>
          <w:tcPr>
            <w:tcW w:type="dxa" w:w="330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backend/services/risk.py</w:t>
            </w:r>
          </w:p>
        </w:tc>
        <w:tc>
          <w:tcPr>
            <w:tcW w:type="dxa" w:w="606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Explainable geopolitical risk scoring</w:t>
            </w:r>
          </w:p>
        </w:tc>
      </w:tr>
      <w:tr>
        <w:tc>
          <w:tcPr>
            <w:tcW w:type="dxa" w:w="3300"/>
            <w:vAlign w:val="center"/>
            <w:tcMar>
              <w:top w:w="100" w:type="dxa"/>
              <w:start w:w="120" w:type="dxa"/>
              <w:bottom w:w="100" w:type="dxa"/>
              <w:end w:w="120" w:type="dxa"/>
            </w:tcMar>
          </w:tcPr>
          <w:p>
            <w:pPr>
              <w:spacing w:after="0" w:line="252" w:lineRule="auto"/>
            </w:pPr>
            <w:r>
              <w:rPr>
                <w:rFonts w:ascii="Calibri" w:hAnsi="Calibri"/>
                <w:b w:val="0"/>
                <w:i w:val="0"/>
                <w:color w:val="17212B"/>
                <w:sz w:val="18"/>
              </w:rPr>
              <w:t>backend/services/scenario.py</w:t>
            </w:r>
          </w:p>
        </w:tc>
        <w:tc>
          <w:tcPr>
            <w:tcW w:type="dxa" w:w="6060"/>
            <w:vAlign w:val="center"/>
            <w:tcMar>
              <w:top w:w="100" w:type="dxa"/>
              <w:start w:w="120" w:type="dxa"/>
              <w:bottom w:w="100" w:type="dxa"/>
              <w:end w:w="120" w:type="dxa"/>
            </w:tcMar>
          </w:tcPr>
          <w:p>
            <w:pPr>
              <w:spacing w:after="0" w:line="252" w:lineRule="auto"/>
            </w:pPr>
            <w:r>
              <w:rPr>
                <w:rFonts w:ascii="Calibri" w:hAnsi="Calibri"/>
                <w:b w:val="0"/>
                <w:i w:val="0"/>
                <w:color w:val="17212B"/>
                <w:sz w:val="18"/>
              </w:rPr>
              <w:t>Disruption and price-impact model</w:t>
            </w:r>
          </w:p>
        </w:tc>
      </w:tr>
      <w:tr>
        <w:tc>
          <w:tcPr>
            <w:tcW w:type="dxa" w:w="330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backend/services/procurement.py</w:t>
            </w:r>
          </w:p>
        </w:tc>
        <w:tc>
          <w:tcPr>
            <w:tcW w:type="dxa" w:w="606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Graph routing and supplier ranking</w:t>
            </w:r>
          </w:p>
        </w:tc>
      </w:tr>
      <w:tr>
        <w:tc>
          <w:tcPr>
            <w:tcW w:type="dxa" w:w="3300"/>
            <w:vAlign w:val="center"/>
            <w:tcMar>
              <w:top w:w="100" w:type="dxa"/>
              <w:start w:w="120" w:type="dxa"/>
              <w:bottom w:w="100" w:type="dxa"/>
              <w:end w:w="120" w:type="dxa"/>
            </w:tcMar>
          </w:tcPr>
          <w:p>
            <w:pPr>
              <w:spacing w:after="0" w:line="252" w:lineRule="auto"/>
            </w:pPr>
            <w:r>
              <w:rPr>
                <w:rFonts w:ascii="Calibri" w:hAnsi="Calibri"/>
                <w:b w:val="0"/>
                <w:i w:val="0"/>
                <w:color w:val="17212B"/>
                <w:sz w:val="18"/>
              </w:rPr>
              <w:t>backend/services/reserve.py</w:t>
            </w:r>
          </w:p>
        </w:tc>
        <w:tc>
          <w:tcPr>
            <w:tcW w:type="dxa" w:w="6060"/>
            <w:vAlign w:val="center"/>
            <w:tcMar>
              <w:top w:w="100" w:type="dxa"/>
              <w:start w:w="120" w:type="dxa"/>
              <w:bottom w:w="100" w:type="dxa"/>
              <w:end w:w="120" w:type="dxa"/>
            </w:tcMar>
          </w:tcPr>
          <w:p>
            <w:pPr>
              <w:spacing w:after="0" w:line="252" w:lineRule="auto"/>
            </w:pPr>
            <w:r>
              <w:rPr>
                <w:rFonts w:ascii="Calibri" w:hAnsi="Calibri"/>
                <w:b w:val="0"/>
                <w:i w:val="0"/>
                <w:color w:val="17212B"/>
                <w:sz w:val="18"/>
              </w:rPr>
              <w:t>Strategic reserve optimization</w:t>
            </w:r>
          </w:p>
        </w:tc>
      </w:tr>
      <w:tr>
        <w:tc>
          <w:tcPr>
            <w:tcW w:type="dxa" w:w="330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tests/test_engine.py</w:t>
            </w:r>
          </w:p>
        </w:tc>
        <w:tc>
          <w:tcPr>
            <w:tcW w:type="dxa" w:w="606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Core decision-engine tests</w:t>
            </w:r>
          </w:p>
        </w:tc>
      </w:tr>
    </w:tbl>
    <w:p>
      <w:pPr>
        <w:spacing w:after="40"/>
      </w:pPr>
    </w:p>
    <w:p>
      <w:pPr>
        <w:pStyle w:val="Heading1"/>
        <w:keepNext/>
      </w:pPr>
      <w:r>
        <w:t>10. Verification and Test Status</w:t>
      </w:r>
    </w:p>
    <w:p>
      <w:pPr>
        <w:spacing w:after="120" w:line="264" w:lineRule="auto"/>
      </w:pPr>
      <w:r>
        <w:rPr>
          <w:rFonts w:ascii="Calibri" w:hAnsi="Calibri"/>
          <w:b w:val="0"/>
          <w:i w:val="0"/>
          <w:color w:val="17212B"/>
          <w:sz w:val="22"/>
        </w:rPr>
        <w:t>The prototype was verified at both the module and integration levels.</w:t>
      </w:r>
    </w:p>
    <w:p>
      <w:pPr>
        <w:pStyle w:val="ListBullet"/>
        <w:spacing w:after="100" w:line="264" w:lineRule="auto"/>
        <w:ind w:left="720" w:hanging="360"/>
      </w:pPr>
      <w:r>
        <w:rPr>
          <w:rFonts w:ascii="Calibri" w:hAnsi="Calibri"/>
          <w:b w:val="0"/>
          <w:i w:val="0"/>
          <w:color w:val="17212B"/>
          <w:sz w:val="21"/>
        </w:rPr>
        <w:t>Frontend production build completed successfully.</w:t>
      </w:r>
    </w:p>
    <w:p>
      <w:pPr>
        <w:pStyle w:val="ListBullet"/>
        <w:spacing w:after="100" w:line="264" w:lineRule="auto"/>
        <w:ind w:left="720" w:hanging="360"/>
      </w:pPr>
      <w:r>
        <w:rPr>
          <w:rFonts w:ascii="Calibri" w:hAnsi="Calibri"/>
          <w:b w:val="0"/>
          <w:i w:val="0"/>
          <w:color w:val="17212B"/>
          <w:sz w:val="21"/>
        </w:rPr>
        <w:t>Three decision-engine tests passed: bounded risk scoring, blocked-route avoidance, and policy-floor reserve feasibility.</w:t>
      </w:r>
    </w:p>
    <w:p>
      <w:pPr>
        <w:pStyle w:val="ListBullet"/>
        <w:spacing w:after="100" w:line="264" w:lineRule="auto"/>
        <w:ind w:left="720" w:hanging="360"/>
      </w:pPr>
      <w:r>
        <w:rPr>
          <w:rFonts w:ascii="Calibri" w:hAnsi="Calibri"/>
          <w:b w:val="0"/>
          <w:i w:val="0"/>
          <w:color w:val="17212B"/>
          <w:sz w:val="21"/>
        </w:rPr>
        <w:t>FastAPI health endpoint returned offline-ready status.</w:t>
      </w:r>
    </w:p>
    <w:p>
      <w:pPr>
        <w:pStyle w:val="ListBullet"/>
        <w:spacing w:after="100" w:line="264" w:lineRule="auto"/>
        <w:ind w:left="720" w:hanging="360"/>
      </w:pPr>
      <w:r>
        <w:rPr>
          <w:rFonts w:ascii="Calibri" w:hAnsi="Calibri"/>
          <w:b w:val="0"/>
          <w:i w:val="0"/>
          <w:color w:val="17212B"/>
          <w:sz w:val="21"/>
        </w:rPr>
        <w:t>The complete demo endpoint returned a valid risk score, shortage estimate, supplier recommendation, and reserve plan.</w:t>
      </w:r>
    </w:p>
    <w:p>
      <w:pPr>
        <w:pStyle w:val="ListBullet"/>
        <w:spacing w:after="100" w:line="264" w:lineRule="auto"/>
        <w:ind w:left="720" w:hanging="360"/>
      </w:pPr>
      <w:r>
        <w:rPr>
          <w:rFonts w:ascii="Calibri" w:hAnsi="Calibri"/>
          <w:b w:val="0"/>
          <w:i w:val="0"/>
          <w:color w:val="17212B"/>
          <w:sz w:val="21"/>
        </w:rPr>
        <w:t>At the verified demo point, the API returned risk 74, shortage 12.01 mb/d, Norway as the top supplier, and 45 million barrels remaining after reserve action.</w:t>
      </w:r>
    </w:p>
    <w:p>
      <w:pPr>
        <w:pStyle w:val="Heading1"/>
        <w:keepNext/>
      </w:pPr>
      <w:r>
        <w:t>11. Constraints and Responsible Use</w:t>
      </w:r>
    </w:p>
    <w:p>
      <w:pPr>
        <w:spacing w:after="120" w:line="264" w:lineRule="auto"/>
      </w:pPr>
      <w:r>
        <w:rPr>
          <w:rFonts w:ascii="Calibri" w:hAnsi="Calibri"/>
          <w:b w:val="0"/>
          <w:i w:val="0"/>
          <w:color w:val="17212B"/>
          <w:sz w:val="22"/>
        </w:rPr>
        <w:t>Aegis is a decision-support prototype, not a production trading, safety, or national-security system. Its scenario outputs are simplified estimates derived from stated assumptions.</w:t>
      </w:r>
    </w:p>
    <w:tbl>
      <w:tblPr>
        <w:tblStyle w:val="TableGrid"/>
        <w:tblW w:type="dxa" w:w="9360"/>
        <w:tblLayout w:type="fixed"/>
        <w:tblLook w:firstColumn="1" w:firstRow="1" w:lastColumn="0" w:lastRow="0" w:noHBand="0" w:noVBand="1" w:val="04A0"/>
        <w:jc w:val="left"/>
        <w:tblInd w:w="120" w:type="dxa"/>
      </w:tblPr>
      <w:tblGrid>
        <w:gridCol w:w="3300"/>
        <w:gridCol w:w="6060"/>
      </w:tblGrid>
      <w:tr>
        <w:trPr>
          <w:tblHeader w:val="true"/>
        </w:trPr>
        <w:tc>
          <w:tcPr>
            <w:tcW w:type="dxa" w:w="3300"/>
            <w:vAlign w:val="center"/>
            <w:tcMar>
              <w:top w:w="100" w:type="dxa"/>
              <w:start w:w="120" w:type="dxa"/>
              <w:bottom w:w="100" w:type="dxa"/>
              <w:end w:w="120" w:type="dxa"/>
            </w:tcMar>
            <w:shd w:fill="0B2545"/>
          </w:tcPr>
          <w:p>
            <w:pPr>
              <w:spacing w:after="0"/>
            </w:pPr>
            <w:r>
              <w:rPr>
                <w:rFonts w:ascii="Calibri" w:hAnsi="Calibri"/>
                <w:b/>
                <w:i w:val="0"/>
                <w:color w:val="FFFFFF"/>
                <w:sz w:val="18"/>
              </w:rPr>
              <w:t>Prototype boundary</w:t>
            </w:r>
          </w:p>
        </w:tc>
        <w:tc>
          <w:tcPr>
            <w:tcW w:type="dxa" w:w="6060"/>
            <w:vAlign w:val="center"/>
            <w:tcMar>
              <w:top w:w="100" w:type="dxa"/>
              <w:start w:w="120" w:type="dxa"/>
              <w:bottom w:w="100" w:type="dxa"/>
              <w:end w:w="120" w:type="dxa"/>
            </w:tcMar>
            <w:shd w:fill="0B2545"/>
          </w:tcPr>
          <w:p>
            <w:pPr>
              <w:spacing w:after="0"/>
            </w:pPr>
            <w:r>
              <w:rPr>
                <w:rFonts w:ascii="Calibri" w:hAnsi="Calibri"/>
                <w:b/>
                <w:i w:val="0"/>
                <w:color w:val="FFFFFF"/>
                <w:sz w:val="18"/>
              </w:rPr>
              <w:t>Production requirement</w:t>
            </w:r>
          </w:p>
        </w:tc>
      </w:tr>
      <w:tr>
        <w:tc>
          <w:tcPr>
            <w:tcW w:type="dxa" w:w="3300"/>
            <w:vAlign w:val="center"/>
            <w:tcMar>
              <w:top w:w="100" w:type="dxa"/>
              <w:start w:w="120" w:type="dxa"/>
              <w:bottom w:w="100" w:type="dxa"/>
              <w:end w:w="120" w:type="dxa"/>
            </w:tcMar>
          </w:tcPr>
          <w:p>
            <w:pPr>
              <w:spacing w:after="0" w:line="252" w:lineRule="auto"/>
            </w:pPr>
            <w:r>
              <w:rPr>
                <w:rFonts w:ascii="Calibri" w:hAnsi="Calibri"/>
                <w:b w:val="0"/>
                <w:i w:val="0"/>
                <w:color w:val="17212B"/>
                <w:sz w:val="18"/>
              </w:rPr>
              <w:t>Synthetic default data</w:t>
            </w:r>
          </w:p>
        </w:tc>
        <w:tc>
          <w:tcPr>
            <w:tcW w:type="dxa" w:w="6060"/>
            <w:vAlign w:val="center"/>
            <w:tcMar>
              <w:top w:w="100" w:type="dxa"/>
              <w:start w:w="120" w:type="dxa"/>
              <w:bottom w:w="100" w:type="dxa"/>
              <w:end w:w="120" w:type="dxa"/>
            </w:tcMar>
          </w:tcPr>
          <w:p>
            <w:pPr>
              <w:spacing w:after="0" w:line="252" w:lineRule="auto"/>
            </w:pPr>
            <w:r>
              <w:rPr>
                <w:rFonts w:ascii="Calibri" w:hAnsi="Calibri"/>
                <w:b w:val="0"/>
                <w:i w:val="0"/>
                <w:color w:val="17212B"/>
                <w:sz w:val="18"/>
              </w:rPr>
              <w:t>Licensed real-time feeds, provenance, freshness SLAs, and data-quality monitoring</w:t>
            </w:r>
          </w:p>
        </w:tc>
      </w:tr>
      <w:tr>
        <w:tc>
          <w:tcPr>
            <w:tcW w:type="dxa" w:w="330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Rule-based NLP</w:t>
            </w:r>
          </w:p>
        </w:tc>
        <w:tc>
          <w:tcPr>
            <w:tcW w:type="dxa" w:w="606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Calibrated classifiers, multilingual support, entity resolution, and historical evaluation</w:t>
            </w:r>
          </w:p>
        </w:tc>
      </w:tr>
      <w:tr>
        <w:tc>
          <w:tcPr>
            <w:tcW w:type="dxa" w:w="3300"/>
            <w:vAlign w:val="center"/>
            <w:tcMar>
              <w:top w:w="100" w:type="dxa"/>
              <w:start w:w="120" w:type="dxa"/>
              <w:bottom w:w="100" w:type="dxa"/>
              <w:end w:w="120" w:type="dxa"/>
            </w:tcMar>
          </w:tcPr>
          <w:p>
            <w:pPr>
              <w:spacing w:after="0" w:line="252" w:lineRule="auto"/>
            </w:pPr>
            <w:r>
              <w:rPr>
                <w:rFonts w:ascii="Calibri" w:hAnsi="Calibri"/>
                <w:b w:val="0"/>
                <w:i w:val="0"/>
                <w:color w:val="17212B"/>
                <w:sz w:val="18"/>
              </w:rPr>
              <w:t>Static event coefficients</w:t>
            </w:r>
          </w:p>
        </w:tc>
        <w:tc>
          <w:tcPr>
            <w:tcW w:type="dxa" w:w="6060"/>
            <w:vAlign w:val="center"/>
            <w:tcMar>
              <w:top w:w="100" w:type="dxa"/>
              <w:start w:w="120" w:type="dxa"/>
              <w:bottom w:w="100" w:type="dxa"/>
              <w:end w:w="120" w:type="dxa"/>
            </w:tcMar>
          </w:tcPr>
          <w:p>
            <w:pPr>
              <w:spacing w:after="0" w:line="252" w:lineRule="auto"/>
            </w:pPr>
            <w:r>
              <w:rPr>
                <w:rFonts w:ascii="Calibri" w:hAnsi="Calibri"/>
                <w:b w:val="0"/>
                <w:i w:val="0"/>
                <w:color w:val="17212B"/>
                <w:sz w:val="18"/>
              </w:rPr>
              <w:t>Probabilistic simulation validated against historical disruptions</w:t>
            </w:r>
          </w:p>
        </w:tc>
      </w:tr>
      <w:tr>
        <w:tc>
          <w:tcPr>
            <w:tcW w:type="dxa" w:w="330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Simplified supplier graph</w:t>
            </w:r>
          </w:p>
        </w:tc>
        <w:tc>
          <w:tcPr>
            <w:tcW w:type="dxa" w:w="606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Contracts, terminal compatibility, grades, capacity, freight, emissions, and sanctions screening</w:t>
            </w:r>
          </w:p>
        </w:tc>
      </w:tr>
      <w:tr>
        <w:tc>
          <w:tcPr>
            <w:tcW w:type="dxa" w:w="3300"/>
            <w:vAlign w:val="center"/>
            <w:tcMar>
              <w:top w:w="100" w:type="dxa"/>
              <w:start w:w="120" w:type="dxa"/>
              <w:bottom w:w="100" w:type="dxa"/>
              <w:end w:w="120" w:type="dxa"/>
            </w:tcMar>
          </w:tcPr>
          <w:p>
            <w:pPr>
              <w:spacing w:after="0" w:line="252" w:lineRule="auto"/>
            </w:pPr>
            <w:r>
              <w:rPr>
                <w:rFonts w:ascii="Calibri" w:hAnsi="Calibri"/>
                <w:b w:val="0"/>
                <w:i w:val="0"/>
                <w:color w:val="17212B"/>
                <w:sz w:val="18"/>
              </w:rPr>
              <w:t>Illustrative map</w:t>
            </w:r>
          </w:p>
        </w:tc>
        <w:tc>
          <w:tcPr>
            <w:tcW w:type="dxa" w:w="6060"/>
            <w:vAlign w:val="center"/>
            <w:tcMar>
              <w:top w:w="100" w:type="dxa"/>
              <w:start w:w="120" w:type="dxa"/>
              <w:bottom w:w="100" w:type="dxa"/>
              <w:end w:w="120" w:type="dxa"/>
            </w:tcMar>
          </w:tcPr>
          <w:p>
            <w:pPr>
              <w:spacing w:after="0" w:line="252" w:lineRule="auto"/>
            </w:pPr>
            <w:r>
              <w:rPr>
                <w:rFonts w:ascii="Calibri" w:hAnsi="Calibri"/>
                <w:b w:val="0"/>
                <w:i w:val="0"/>
                <w:color w:val="17212B"/>
                <w:sz w:val="18"/>
              </w:rPr>
              <w:t>Geospatial route engine and vessel-level AIS monitoring</w:t>
            </w:r>
          </w:p>
        </w:tc>
      </w:tr>
      <w:tr>
        <w:tc>
          <w:tcPr>
            <w:tcW w:type="dxa" w:w="330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Local browser chat</w:t>
            </w:r>
          </w:p>
        </w:tc>
        <w:tc>
          <w:tcPr>
            <w:tcW w:type="dxa" w:w="606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Grounded conversational layer with citations and approval controls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EAF3F6"/>
          </w:tcPr>
          <w:p>
            <w:pPr>
              <w:spacing w:after="40"/>
            </w:pPr>
            <w:r>
              <w:rPr>
                <w:rFonts w:ascii="Calibri" w:hAnsi="Calibri"/>
                <w:b/>
                <w:i w:val="0"/>
                <w:color w:val="A63D40"/>
                <w:sz w:val="18"/>
              </w:rPr>
              <w:t xml:space="preserve">RESPONSIBLE-USE NOTE  </w:t>
            </w:r>
            <w:r>
              <w:rPr>
                <w:rFonts w:ascii="Calibri" w:hAnsi="Calibri"/>
                <w:b w:val="0"/>
                <w:i w:val="0"/>
                <w:color w:val="0B2545"/>
                <w:sz w:val="21"/>
              </w:rPr>
              <w:t>Outputs should be reviewed by qualified geopolitical, logistics, procurement, finance, and compliance professionals before operational use.</w:t>
            </w:r>
          </w:p>
        </w:tc>
      </w:tr>
    </w:tbl>
    <w:p>
      <w:pPr>
        <w:spacing w:after="20"/>
      </w:pPr>
    </w:p>
    <w:p>
      <w:pPr>
        <w:pStyle w:val="Heading1"/>
        <w:keepNext/>
      </w:pPr>
      <w:r>
        <w:t>12. Production Roadmap</w:t>
      </w:r>
    </w:p>
    <w:tbl>
      <w:tblPr>
        <w:tblStyle w:val="TableGrid"/>
        <w:tblW w:type="dxa" w:w="9360"/>
        <w:tblLayout w:type="fixed"/>
        <w:tblLook w:firstColumn="1" w:firstRow="1" w:lastColumn="0" w:lastRow="0" w:noHBand="0" w:noVBand="1" w:val="04A0"/>
        <w:jc w:val="left"/>
        <w:tblInd w:w="120" w:type="dxa"/>
      </w:tblPr>
      <w:tblGrid>
        <w:gridCol w:w="1450"/>
        <w:gridCol w:w="2450"/>
        <w:gridCol w:w="5460"/>
      </w:tblGrid>
      <w:tr>
        <w:trPr>
          <w:tblHeader w:val="true"/>
        </w:trPr>
        <w:tc>
          <w:tcPr>
            <w:tcW w:type="dxa" w:w="1450"/>
            <w:vAlign w:val="center"/>
            <w:tcMar>
              <w:top w:w="100" w:type="dxa"/>
              <w:start w:w="120" w:type="dxa"/>
              <w:bottom w:w="100" w:type="dxa"/>
              <w:end w:w="120" w:type="dxa"/>
            </w:tcMar>
            <w:shd w:fill="0B2545"/>
          </w:tcPr>
          <w:p>
            <w:pPr>
              <w:spacing w:after="0"/>
            </w:pPr>
            <w:r>
              <w:rPr>
                <w:rFonts w:ascii="Calibri" w:hAnsi="Calibri"/>
                <w:b/>
                <w:i w:val="0"/>
                <w:color w:val="FFFFFF"/>
                <w:sz w:val="18"/>
              </w:rPr>
              <w:t>Phase</w:t>
            </w:r>
          </w:p>
        </w:tc>
        <w:tc>
          <w:tcPr>
            <w:tcW w:type="dxa" w:w="2450"/>
            <w:vAlign w:val="center"/>
            <w:tcMar>
              <w:top w:w="100" w:type="dxa"/>
              <w:start w:w="120" w:type="dxa"/>
              <w:bottom w:w="100" w:type="dxa"/>
              <w:end w:w="120" w:type="dxa"/>
            </w:tcMar>
            <w:shd w:fill="0B2545"/>
          </w:tcPr>
          <w:p>
            <w:pPr>
              <w:spacing w:after="0"/>
            </w:pPr>
            <w:r>
              <w:rPr>
                <w:rFonts w:ascii="Calibri" w:hAnsi="Calibri"/>
                <w:b/>
                <w:i w:val="0"/>
                <w:color w:val="FFFFFF"/>
                <w:sz w:val="18"/>
              </w:rPr>
              <w:t>Focus</w:t>
            </w:r>
          </w:p>
        </w:tc>
        <w:tc>
          <w:tcPr>
            <w:tcW w:type="dxa" w:w="5460"/>
            <w:vAlign w:val="center"/>
            <w:tcMar>
              <w:top w:w="100" w:type="dxa"/>
              <w:start w:w="120" w:type="dxa"/>
              <w:bottom w:w="100" w:type="dxa"/>
              <w:end w:w="120" w:type="dxa"/>
            </w:tcMar>
            <w:shd w:fill="0B2545"/>
          </w:tcPr>
          <w:p>
            <w:pPr>
              <w:spacing w:after="0"/>
            </w:pPr>
            <w:r>
              <w:rPr>
                <w:rFonts w:ascii="Calibri" w:hAnsi="Calibri"/>
                <w:b/>
                <w:i w:val="0"/>
                <w:color w:val="FFFFFF"/>
                <w:sz w:val="18"/>
              </w:rPr>
              <w:t>Representative improvements</w:t>
            </w:r>
          </w:p>
        </w:tc>
      </w:tr>
      <w:tr>
        <w:tc>
          <w:tcPr>
            <w:tcW w:type="dxa" w:w="1450"/>
            <w:vAlign w:val="center"/>
            <w:tcMar>
              <w:top w:w="100" w:type="dxa"/>
              <w:start w:w="120" w:type="dxa"/>
              <w:bottom w:w="100" w:type="dxa"/>
              <w:end w:w="120" w:type="dxa"/>
            </w:tcMar>
          </w:tcPr>
          <w:p>
            <w:pPr>
              <w:spacing w:after="0" w:line="252" w:lineRule="auto"/>
            </w:pPr>
            <w:r>
              <w:rPr>
                <w:rFonts w:ascii="Calibri" w:hAnsi="Calibri"/>
                <w:b w:val="0"/>
                <w:i w:val="0"/>
                <w:color w:val="17212B"/>
                <w:sz w:val="18"/>
              </w:rPr>
              <w:t>1 — Data</w:t>
            </w:r>
          </w:p>
        </w:tc>
        <w:tc>
          <w:tcPr>
            <w:tcW w:type="dxa" w:w="2450"/>
            <w:vAlign w:val="center"/>
            <w:tcMar>
              <w:top w:w="100" w:type="dxa"/>
              <w:start w:w="120" w:type="dxa"/>
              <w:bottom w:w="100" w:type="dxa"/>
              <w:end w:w="120" w:type="dxa"/>
            </w:tcMar>
          </w:tcPr>
          <w:p>
            <w:pPr>
              <w:spacing w:after="0" w:line="252" w:lineRule="auto"/>
            </w:pPr>
            <w:r>
              <w:rPr>
                <w:rFonts w:ascii="Calibri" w:hAnsi="Calibri"/>
                <w:b w:val="0"/>
                <w:i w:val="0"/>
                <w:color w:val="17212B"/>
                <w:sz w:val="18"/>
              </w:rPr>
              <w:t>Reliable signals</w:t>
            </w:r>
          </w:p>
        </w:tc>
        <w:tc>
          <w:tcPr>
            <w:tcW w:type="dxa" w:w="5460"/>
            <w:vAlign w:val="center"/>
            <w:tcMar>
              <w:top w:w="100" w:type="dxa"/>
              <w:start w:w="120" w:type="dxa"/>
              <w:bottom w:w="100" w:type="dxa"/>
              <w:end w:w="120" w:type="dxa"/>
            </w:tcMar>
          </w:tcPr>
          <w:p>
            <w:pPr>
              <w:spacing w:after="0" w:line="252" w:lineRule="auto"/>
            </w:pPr>
            <w:r>
              <w:rPr>
                <w:rFonts w:ascii="Calibri" w:hAnsi="Calibri"/>
                <w:b w:val="0"/>
                <w:i w:val="0"/>
                <w:color w:val="17212B"/>
                <w:sz w:val="18"/>
              </w:rPr>
              <w:t>Streaming ingestion, caching, entity resolution, data-quality scoring</w:t>
            </w:r>
          </w:p>
        </w:tc>
      </w:tr>
      <w:tr>
        <w:tc>
          <w:tcPr>
            <w:tcW w:type="dxa" w:w="145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2 — Models</w:t>
            </w:r>
          </w:p>
        </w:tc>
        <w:tc>
          <w:tcPr>
            <w:tcW w:type="dxa" w:w="245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Calibrated prediction</w:t>
            </w:r>
          </w:p>
        </w:tc>
        <w:tc>
          <w:tcPr>
            <w:tcW w:type="dxa" w:w="546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Historical backtesting, uncertainty calibration, anomaly detection</w:t>
            </w:r>
          </w:p>
        </w:tc>
      </w:tr>
      <w:tr>
        <w:tc>
          <w:tcPr>
            <w:tcW w:type="dxa" w:w="1450"/>
            <w:vAlign w:val="center"/>
            <w:tcMar>
              <w:top w:w="100" w:type="dxa"/>
              <w:start w:w="120" w:type="dxa"/>
              <w:bottom w:w="100" w:type="dxa"/>
              <w:end w:w="120" w:type="dxa"/>
            </w:tcMar>
          </w:tcPr>
          <w:p>
            <w:pPr>
              <w:spacing w:after="0" w:line="252" w:lineRule="auto"/>
            </w:pPr>
            <w:r>
              <w:rPr>
                <w:rFonts w:ascii="Calibri" w:hAnsi="Calibri"/>
                <w:b w:val="0"/>
                <w:i w:val="0"/>
                <w:color w:val="17212B"/>
                <w:sz w:val="18"/>
              </w:rPr>
              <w:t>3 — Optimization</w:t>
            </w:r>
          </w:p>
        </w:tc>
        <w:tc>
          <w:tcPr>
            <w:tcW w:type="dxa" w:w="2450"/>
            <w:vAlign w:val="center"/>
            <w:tcMar>
              <w:top w:w="100" w:type="dxa"/>
              <w:start w:w="120" w:type="dxa"/>
              <w:bottom w:w="100" w:type="dxa"/>
              <w:end w:w="120" w:type="dxa"/>
            </w:tcMar>
          </w:tcPr>
          <w:p>
            <w:pPr>
              <w:spacing w:after="0" w:line="252" w:lineRule="auto"/>
            </w:pPr>
            <w:r>
              <w:rPr>
                <w:rFonts w:ascii="Calibri" w:hAnsi="Calibri"/>
                <w:b w:val="0"/>
                <w:i w:val="0"/>
                <w:color w:val="17212B"/>
                <w:sz w:val="18"/>
              </w:rPr>
              <w:t>Enterprise constraints</w:t>
            </w:r>
          </w:p>
        </w:tc>
        <w:tc>
          <w:tcPr>
            <w:tcW w:type="dxa" w:w="5460"/>
            <w:vAlign w:val="center"/>
            <w:tcMar>
              <w:top w:w="100" w:type="dxa"/>
              <w:start w:w="120" w:type="dxa"/>
              <w:bottom w:w="100" w:type="dxa"/>
              <w:end w:w="120" w:type="dxa"/>
            </w:tcMar>
          </w:tcPr>
          <w:p>
            <w:pPr>
              <w:spacing w:after="0" w:line="252" w:lineRule="auto"/>
            </w:pPr>
            <w:r>
              <w:rPr>
                <w:rFonts w:ascii="Calibri" w:hAnsi="Calibri"/>
                <w:b w:val="0"/>
                <w:i w:val="0"/>
                <w:color w:val="17212B"/>
                <w:sz w:val="18"/>
              </w:rPr>
              <w:t>Contracts, grades, capacity, costs, sanctions, emissions</w:t>
            </w:r>
          </w:p>
        </w:tc>
      </w:tr>
      <w:tr>
        <w:tc>
          <w:tcPr>
            <w:tcW w:type="dxa" w:w="145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4 — Operations</w:t>
            </w:r>
          </w:p>
        </w:tc>
        <w:tc>
          <w:tcPr>
            <w:tcW w:type="dxa" w:w="245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Governance</w:t>
            </w:r>
          </w:p>
        </w:tc>
        <w:tc>
          <w:tcPr>
            <w:tcW w:type="dxa" w:w="5460"/>
            <w:shd w:fill="F3F7F9"/>
            <w:vAlign w:val="center"/>
            <w:tcMar>
              <w:top w:w="100" w:type="dxa"/>
              <w:start w:w="120" w:type="dxa"/>
              <w:bottom w:w="100" w:type="dxa"/>
              <w:end w:w="120" w:type="dxa"/>
            </w:tcMar>
          </w:tcPr>
          <w:p>
            <w:pPr>
              <w:spacing w:after="0" w:line="252" w:lineRule="auto"/>
            </w:pPr>
            <w:r>
              <w:rPr>
                <w:rFonts w:ascii="Calibri" w:hAnsi="Calibri"/>
                <w:b w:val="0"/>
                <w:i w:val="0"/>
                <w:color w:val="17212B"/>
                <w:sz w:val="18"/>
              </w:rPr>
              <w:t>Authentication, audit logs, approvals, observability, model registry</w:t>
            </w:r>
          </w:p>
        </w:tc>
      </w:tr>
      <w:tr>
        <w:tc>
          <w:tcPr>
            <w:tcW w:type="dxa" w:w="1450"/>
            <w:vAlign w:val="center"/>
            <w:tcMar>
              <w:top w:w="100" w:type="dxa"/>
              <w:start w:w="120" w:type="dxa"/>
              <w:bottom w:w="100" w:type="dxa"/>
              <w:end w:w="120" w:type="dxa"/>
            </w:tcMar>
          </w:tcPr>
          <w:p>
            <w:pPr>
              <w:spacing w:after="0" w:line="252" w:lineRule="auto"/>
            </w:pPr>
            <w:r>
              <w:rPr>
                <w:rFonts w:ascii="Calibri" w:hAnsi="Calibri"/>
                <w:b w:val="0"/>
                <w:i w:val="0"/>
                <w:color w:val="17212B"/>
                <w:sz w:val="18"/>
              </w:rPr>
              <w:t>5 — Scale</w:t>
            </w:r>
          </w:p>
        </w:tc>
        <w:tc>
          <w:tcPr>
            <w:tcW w:type="dxa" w:w="2450"/>
            <w:vAlign w:val="center"/>
            <w:tcMar>
              <w:top w:w="100" w:type="dxa"/>
              <w:start w:w="120" w:type="dxa"/>
              <w:bottom w:w="100" w:type="dxa"/>
              <w:end w:w="120" w:type="dxa"/>
            </w:tcMar>
          </w:tcPr>
          <w:p>
            <w:pPr>
              <w:spacing w:after="0" w:line="252" w:lineRule="auto"/>
            </w:pPr>
            <w:r>
              <w:rPr>
                <w:rFonts w:ascii="Calibri" w:hAnsi="Calibri"/>
                <w:b w:val="0"/>
                <w:i w:val="0"/>
                <w:color w:val="17212B"/>
                <w:sz w:val="18"/>
              </w:rPr>
              <w:t>Deployment</w:t>
            </w:r>
          </w:p>
        </w:tc>
        <w:tc>
          <w:tcPr>
            <w:tcW w:type="dxa" w:w="5460"/>
            <w:vAlign w:val="center"/>
            <w:tcMar>
              <w:top w:w="100" w:type="dxa"/>
              <w:start w:w="120" w:type="dxa"/>
              <w:bottom w:w="100" w:type="dxa"/>
              <w:end w:w="120" w:type="dxa"/>
            </w:tcMar>
          </w:tcPr>
          <w:p>
            <w:pPr>
              <w:spacing w:after="0" w:line="252" w:lineRule="auto"/>
            </w:pPr>
            <w:r>
              <w:rPr>
                <w:rFonts w:ascii="Calibri" w:hAnsi="Calibri"/>
                <w:b w:val="0"/>
                <w:i w:val="0"/>
                <w:color w:val="17212B"/>
                <w:sz w:val="18"/>
              </w:rPr>
              <w:t>Event streaming, managed database, container orchestration, regional redundancy</w:t>
            </w:r>
          </w:p>
        </w:tc>
      </w:tr>
    </w:tbl>
    <w:p>
      <w:pPr>
        <w:spacing w:after="40"/>
      </w:pPr>
    </w:p>
    <w:p>
      <w:pPr>
        <w:pStyle w:val="Heading1"/>
        <w:keepNext/>
      </w:pPr>
      <w:r>
        <w:t>13. Conclusion</w:t>
      </w:r>
    </w:p>
    <w:p>
      <w:pPr>
        <w:spacing w:after="120" w:line="264" w:lineRule="auto"/>
      </w:pPr>
      <w:r>
        <w:rPr>
          <w:rFonts w:ascii="Calibri" w:hAnsi="Calibri"/>
          <w:b w:val="0"/>
          <w:i w:val="0"/>
          <w:color w:val="17212B"/>
          <w:sz w:val="22"/>
        </w:rPr>
        <w:t>Aegis demonstrates a complete chain from external risk signal to operational response. Its innovation is not any single model; it is the integration of explainable risk intelligence, disruption simulation, adaptive procurement, reserve planning, and executive communication in one offline-ready system.</w:t>
      </w:r>
    </w:p>
    <w:p>
      <w:pPr>
        <w:spacing w:after="120" w:line="264" w:lineRule="auto"/>
      </w:pPr>
      <w:r>
        <w:rPr>
          <w:rFonts w:ascii="Calibri" w:hAnsi="Calibri"/>
          <w:b w:val="0"/>
          <w:i w:val="0"/>
          <w:color w:val="17212B"/>
          <w:sz w:val="22"/>
        </w:rPr>
        <w:t>The prototype is intentionally optimized for technical clarity and a reliable hackathon demonstration. Its modular FastAPI services and replaceable data adapters create a credible path from deterministic demo to production-grade energy resilience platform.</w:t>
      </w:r>
    </w:p>
    <w:p>
      <w:pPr>
        <w:pStyle w:val="Heading1"/>
        <w:keepNext/>
      </w:pPr>
      <w:r>
        <w:t>Reference Links</w:t>
      </w:r>
    </w:p>
    <w:p>
      <w:pPr>
        <w:pStyle w:val="ListBullet"/>
        <w:spacing w:after="100" w:line="264" w:lineRule="auto"/>
        <w:ind w:left="720" w:hanging="360"/>
      </w:pPr>
      <w:r>
        <w:rPr>
          <w:rFonts w:ascii="Calibri" w:hAnsi="Calibri"/>
          <w:b w:val="0"/>
          <w:i w:val="0"/>
          <w:color w:val="17212B"/>
          <w:sz w:val="21"/>
        </w:rPr>
        <w:t>Project repository: https://github.com/MoteeshA/AEGIS</w:t>
      </w:r>
    </w:p>
    <w:p>
      <w:pPr>
        <w:pStyle w:val="ListBullet"/>
        <w:spacing w:after="100" w:line="264" w:lineRule="auto"/>
        <w:ind w:left="720" w:hanging="360"/>
      </w:pPr>
      <w:r>
        <w:rPr>
          <w:rFonts w:ascii="Calibri" w:hAnsi="Calibri"/>
          <w:b w:val="0"/>
          <w:i w:val="0"/>
          <w:color w:val="17212B"/>
          <w:sz w:val="21"/>
        </w:rPr>
        <w:t>GDELT DOC 2.0: https://blog.gdeltproject.org/gdelt-doc-2-0-api-debuts/</w:t>
      </w:r>
    </w:p>
    <w:p>
      <w:pPr>
        <w:pStyle w:val="ListBullet"/>
        <w:spacing w:after="100" w:line="264" w:lineRule="auto"/>
        <w:ind w:left="720" w:hanging="360"/>
      </w:pPr>
      <w:r>
        <w:rPr>
          <w:rFonts w:ascii="Calibri" w:hAnsi="Calibri"/>
          <w:b w:val="0"/>
          <w:i w:val="0"/>
          <w:color w:val="17212B"/>
          <w:sz w:val="21"/>
        </w:rPr>
        <w:t>NOAA/USCG AIS information: https://www.navcen.uscg.gov/ais-frequently-asked-questions</w:t>
      </w:r>
    </w:p>
    <w:p>
      <w:pPr>
        <w:pStyle w:val="ListBullet"/>
        <w:spacing w:after="100" w:line="264" w:lineRule="auto"/>
        <w:ind w:left="720" w:hanging="360"/>
      </w:pPr>
      <w:r>
        <w:rPr>
          <w:rFonts w:ascii="Calibri" w:hAnsi="Calibri"/>
          <w:b w:val="0"/>
          <w:i w:val="0"/>
          <w:color w:val="17212B"/>
          <w:sz w:val="21"/>
        </w:rPr>
        <w:t>World Bank Commodity Markets: https://www.worldbank.org/en/research/commodity-markets</w:t>
      </w:r>
    </w:p>
    <w:p>
      <w:pPr>
        <w:pStyle w:val="ListBullet"/>
        <w:spacing w:after="100" w:line="264" w:lineRule="auto"/>
        <w:ind w:left="720" w:hanging="360"/>
      </w:pPr>
      <w:r>
        <w:rPr>
          <w:rFonts w:ascii="Calibri" w:hAnsi="Calibri"/>
          <w:b w:val="0"/>
          <w:i w:val="0"/>
          <w:color w:val="17212B"/>
          <w:sz w:val="21"/>
        </w:rPr>
        <w:t>UN Comtrade API: https://uncomtrade.org/docs/un-comtrade-api/</w:t>
      </w:r>
    </w:p>
    <w:sectPr w:rsidR="00FC693F" w:rsidRPr="0006063C" w:rsidSect="00034616">
      <w:headerReference w:type="default" r:id="rId9"/>
      <w:footerReference w:type="default" r:id="rId10"/>
      <w:pgSz w:w="12240" w:h="15840"/>
      <w:pgMar w:top="1152" w:right="1440" w:bottom="1152"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86B7A"/>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86B7A"/>
        <w:sz w:val="17"/>
      </w:rPr>
      <w:t>AEGIS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67D9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tectureCode">
    <w:name w:val="Architecture Code"/>
    <w:pPr>
      <w:spacing w:after="0" w:line="240" w:lineRule="auto"/>
    </w:pPr>
    <w:rPr>
      <w:rFonts w:ascii="Courier New" w:hAnsi="Courier New"/>
      <w:color w:val="0B254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 Project Documentation</dc:title>
  <dc:subject>AI-Driven Energy Supply Chain Resilience System</dc:subject>
  <dc:creator>AEGIS Project Team</dc:creator>
  <cp:keywords>AI, energy, supply chain, geopolitical risk, FastAPI, React</cp:keywords>
  <dc:description>generated by python-docx</dc:description>
  <cp:lastModifiedBy/>
  <cp:revision>1</cp:revision>
  <dcterms:created xsi:type="dcterms:W3CDTF">2013-12-23T23:15:00Z</dcterms:created>
  <dcterms:modified xsi:type="dcterms:W3CDTF">2013-12-23T23:15:00Z</dcterms:modified>
  <cp:category/>
</cp:coreProperties>
</file>