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Results for all attempts</w:t>
      </w:r>
    </w:p>
    <w:p>
      <w:pPr>
        <w:pStyle w:val="Heading2"/>
      </w:pPr>
      <w:r>
        <w:t>Quantitative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Repetitions</w:t>
            </w:r>
          </w:p>
        </w:tc>
        <w:tc>
          <w:tcPr>
            <w:tcW w:type="dxa" w:w="4320"/>
          </w:tcPr>
          <w:p>
            <w:r>
              <w:t>Duration</w:t>
            </w:r>
          </w:p>
        </w:tc>
      </w:tr>
    </w:tbl>
    <w:p>
      <w:pPr>
        <w:pStyle w:val="Heading2"/>
      </w:pPr>
      <w:r>
        <w:t>Qualitative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Accuracy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