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analyze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(via DataSHIELD).</w:t>
      </w:r>
      <w:r>
        <w:t xml:space="preserve"> </w:t>
      </w:r>
      <w:r>
        <w:t xml:space="preserve">After harmonising the data, piecewise regression models will be applied to identify thresholds where screen time use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between screen use and outcomes vary by different types of screen use (e.g., content or type of device)?</w:t>
      </w:r>
    </w:p>
    <w:p>
      <w:pPr>
        <w:pStyle w:val="Compact"/>
        <w:numPr>
          <w:ilvl w:val="0"/>
          <w:numId w:val="1001"/>
        </w:numPr>
      </w:pPr>
      <w:r>
        <w:t xml:space="preserve">Is there a specific screen use duration at which notable harm/benefit becomes apparent, and does it vary by type of screen use?</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 (i.e., age, gender, socioeconomic status)?</w:t>
      </w:r>
    </w:p>
    <w:bookmarkEnd w:id="22"/>
    <w:bookmarkStart w:id="23" w:name="hypotheses"/>
    <w:p>
      <w:pPr>
        <w:pStyle w:val="Heading2"/>
      </w:pPr>
      <w:r>
        <w:t xml:space="preserve">Hypotheses</w:t>
      </w:r>
    </w:p>
    <w:p>
      <w:pPr>
        <w:pStyle w:val="FirstParagraph"/>
      </w:pPr>
      <w:r>
        <w:t xml:space="preserve">We hypothesise the following:</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 with children’s learning and cognitive abilities, but no association with mental health, wellbeing, or behaviour.</w:t>
      </w:r>
    </w:p>
    <w:p>
      <w:pPr>
        <w:pStyle w:val="Compact"/>
        <w:numPr>
          <w:ilvl w:val="1"/>
          <w:numId w:val="1003"/>
        </w:numPr>
      </w:pPr>
      <w:r>
        <w:t xml:space="preserve">Non-interactive entertainment content (e.g., television/streaming)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1"/>
          <w:numId w:val="1003"/>
        </w:numPr>
      </w:pPr>
      <w:r>
        <w:t xml:space="preserve">Social media will have a small to moderate negative association with children’s mental health and wellbeing, but no association with learning, cognitive abilities, or behaviour.</w:t>
      </w:r>
    </w:p>
    <w:p>
      <w:pPr>
        <w:pStyle w:val="Compact"/>
        <w:numPr>
          <w:ilvl w:val="0"/>
          <w:numId w:val="1002"/>
        </w:numPr>
      </w:pPr>
      <w:r>
        <w:t xml:space="preserve">[RQ3] There will be a threshold of screen time at which notable harm/benefit becomes apparent, and this threshold will vary by the type of content.</w:t>
      </w:r>
    </w:p>
    <w:p>
      <w:pPr>
        <w:pStyle w:val="Compact"/>
        <w:numPr>
          <w:ilvl w:val="0"/>
          <w:numId w:val="1002"/>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2"/>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w:t>
      </w:r>
      <w:r>
        <w:t xml:space="preserve"> </w:t>
      </w:r>
      <w:r>
        <w:t xml:space="preserve">However, given the inconsistency in previous findings on this relationship, we do not make a specific prediction about the direction of this moderation.</w:t>
      </w:r>
      <w:r>
        <w:t xml:space="preserve"> </w:t>
      </w:r>
      <w:r>
        <w:t xml:space="preserve">Instead, this hypothesis will be considered exploratory.</w:t>
      </w:r>
    </w:p>
    <w:p>
      <w:pPr>
        <w:pStyle w:val="Compact"/>
        <w:numPr>
          <w:ilvl w:val="1"/>
          <w:numId w:val="1004"/>
        </w:numPr>
      </w:pPr>
      <w:r>
        <w:t xml:space="preserve">Child gender will moderate the relationship between some forms of screen time and children’s outcomes: for social media, there will be stronger negative effects for girls’ mental health and wellbeing outcomes than boys.</w:t>
      </w:r>
    </w:p>
    <w:p>
      <w:pPr>
        <w:pStyle w:val="Compact"/>
        <w:numPr>
          <w:ilvl w:val="1"/>
          <w:numId w:val="1004"/>
        </w:numPr>
      </w:pPr>
      <w:r>
        <w:t xml:space="preserve">Socioeconomic status will moderate the relationship between screen time and children’s outcomes, with children from lower socioeconomic backgrounds experiencing stronger negative effects of screen time on educational, mental health, and behaviour outcomes.</w:t>
      </w:r>
    </w:p>
    <w:bookmarkEnd w:id="23"/>
    <w:bookmarkEnd w:id="24"/>
    <w:bookmarkStart w:id="29" w:name="design-plan"/>
    <w:p>
      <w:pPr>
        <w:pStyle w:val="Heading1"/>
      </w:pPr>
      <w:r>
        <w:t xml:space="preserve">Design Plan</w:t>
      </w:r>
    </w:p>
    <w:bookmarkStart w:id="25" w:name="study-type"/>
    <w:p>
      <w:pPr>
        <w:pStyle w:val="Heading2"/>
      </w:pPr>
      <w:r>
        <w:t xml:space="preserve">Study type</w:t>
      </w:r>
    </w:p>
    <w:p>
      <w:pPr>
        <w:pStyle w:val="FirstParagraph"/>
      </w:pPr>
      <w:r>
        <w:rPr>
          <w:b/>
          <w:bCs/>
        </w:rPr>
        <w:t xml:space="preserve">Other</w:t>
      </w:r>
      <w:r>
        <w:t xml:space="preserve"> </w:t>
      </w:r>
      <w:commentRangeStart w:id="0"/>
      <w:r>
        <w:t xml:space="preserve"> </w:t>
      </w:r>
      <w:commentRangeEnd w:id="0"/>
      <w:r>
        <w:rPr>
          <w:rStyle w:val="CommentReference"/>
        </w:rPr>
        <w:commentReference w:id="0"/>
      </w:r>
    </w:p>
    <w:p>
      <w:pPr>
        <w:pStyle w:val="BodyText"/>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
    <w:p>
      <w:pPr>
        <w:pStyle w:val="Heading2"/>
      </w:pPr>
      <w:r>
        <w:t xml:space="preserve">Existing data</w:t>
      </w:r>
    </w:p>
    <w:p>
      <w:pPr>
        <w:pStyle w:val="FirstParagraph"/>
      </w:pPr>
      <w:r>
        <w:rPr>
          <w:b/>
          <w:bCs/>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r>
        <w:t xml:space="preserve"> </w:t>
      </w:r>
      <w:commentRangeStart w:id="1"/>
      <w:r>
        <w:t xml:space="preserve"> </w:t>
      </w:r>
      <w:commentRangeEnd w:id="1"/>
      <w:r>
        <w:rPr>
          <w:rStyle w:val="CommentReference"/>
        </w:rPr>
        <w:commentReference w:id="1"/>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 and outcomes of interest.</w:t>
      </w:r>
      <w:r>
        <w:t xml:space="preserve"> </w:t>
      </w:r>
      <w:r>
        <w:t xml:space="preserve">The data will be de-identified, and shared with the research team either through secure transfer of data files or through secure remote analysis (using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r>
        <w:t xml:space="preserve"> </w:t>
      </w:r>
      <w:r>
        <w:t xml:space="preserve">We will include a sensitivity analysis that excludes these datasets to ensure that the results are robust to this prior knowledge.</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5"/>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5"/>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6"/>
        </w:numPr>
      </w:pPr>
      <w:r>
        <w:t xml:space="preserve">Have quantitatively measured screen time exposure.</w:t>
      </w:r>
      <w:r>
        <w:t xml:space="preserve"> </w:t>
      </w:r>
      <w:r>
        <w:t xml:space="preserve">Given the increasing evidence that the content of screen time is an important factor in determining impact, we will only include studies that have a disaggregate measure of screen time (i.e., they have measured the content [e.g., social media], or the type as a proxy for content[e.g., TV as</w:t>
      </w:r>
      <w:r>
        <w:t xml:space="preserve"> </w:t>
      </w:r>
      <w:r>
        <w:t xml:space="preserve">‘video’</w:t>
      </w:r>
      <w:r>
        <w:t xml:space="preserve">]).</w:t>
      </w:r>
    </w:p>
    <w:p>
      <w:pPr>
        <w:pStyle w:val="Compact"/>
        <w:numPr>
          <w:ilvl w:val="0"/>
          <w:numId w:val="1006"/>
        </w:numPr>
      </w:pPr>
      <w:r>
        <w:t xml:space="preserve">Have quantitatively measured at least one outcome related to children’s learning, cognitive abilities, mental health, wellbeing, or behaviour.</w:t>
      </w:r>
      <w:r>
        <w:t xml:space="preserve"> </w:t>
      </w:r>
      <w:commentRangeStart w:id="2"/>
      <w:r>
        <w:t xml:space="preserve"> </w:t>
      </w:r>
      <w:commentRangeEnd w:id="2"/>
      <w:r>
        <w:rPr>
          <w:rStyle w:val="CommentReference"/>
        </w:rPr>
        <w:commentReference w:id="2"/>
      </w:r>
    </w:p>
    <w:p>
      <w:pPr>
        <w:pStyle w:val="Compact"/>
        <w:numPr>
          <w:ilvl w:val="0"/>
          <w:numId w:val="1006"/>
        </w:numPr>
      </w:pPr>
      <w:r>
        <w:t xml:space="preserve">Have a mean sample age younger than 18 years.</w:t>
      </w:r>
      <w:r>
        <w:t xml:space="preserve"> </w:t>
      </w:r>
      <w:r>
        <w:t xml:space="preserve">That is, a sample who are predominantly pre-school or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7"/>
        </w:numPr>
      </w:pPr>
      <w:r>
        <w:t xml:space="preserve">The size of the sample.</w:t>
      </w:r>
    </w:p>
    <w:p>
      <w:pPr>
        <w:pStyle w:val="Compact"/>
        <w:numPr>
          <w:ilvl w:val="0"/>
          <w:numId w:val="1007"/>
        </w:numPr>
      </w:pPr>
      <w:r>
        <w:t xml:space="preserve">The extent to which the dataset provides underrepresented outcomes.</w:t>
      </w:r>
    </w:p>
    <w:p>
      <w:pPr>
        <w:pStyle w:val="Compact"/>
        <w:numPr>
          <w:ilvl w:val="0"/>
          <w:numId w:val="1007"/>
        </w:numPr>
      </w:pPr>
      <w:r>
        <w:t xml:space="preserve">The extent to which the dataset provides underrepresented age groups.</w:t>
      </w:r>
    </w:p>
    <w:p>
      <w:pPr>
        <w:pStyle w:val="Compact"/>
        <w:numPr>
          <w:ilvl w:val="0"/>
          <w:numId w:val="1007"/>
        </w:numPr>
      </w:pPr>
      <w:r>
        <w:t xml:space="preserve">The recency of the dataset, with more recent data considered more valuable.</w:t>
      </w:r>
    </w:p>
    <w:p>
      <w:pPr>
        <w:pStyle w:val="FirstParagraph"/>
      </w:pPr>
      <w:r>
        <w:t xml:space="preserve">We will calculate the value of each dataset (</w:t>
      </w:r>
      <m:oMath>
        <m:r>
          <m:t>i</m:t>
        </m:r>
      </m:oMath>
      <w:r>
        <w:t xml:space="preserve">) as:</w:t>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sepChr m:val=""/>
                      <m:endChr m:val=")"/>
                      <m:grow/>
                    </m:dPr>
                    <m:e>
                      <m:sSub>
                        <m:e>
                          <m:r>
                            <m:t>N</m:t>
                          </m:r>
                        </m:e>
                        <m:sub>
                          <m:r>
                            <m:t>i</m:t>
                          </m:r>
                        </m:sub>
                      </m:sSub>
                      <m:r>
                        <m:rPr>
                          <m:sty m:val="p"/>
                        </m:rPr>
                        <m:t>+</m:t>
                      </m:r>
                      <m:r>
                        <m:t>1</m:t>
                      </m:r>
                    </m:e>
                  </m:d>
                </m:e>
                <m:lim>
                  <m:r>
                    <m:rPr>
                      <m:sty m:val="p"/>
                    </m:rPr>
                    <m:t>⏟</m:t>
                  </m:r>
                </m:lim>
              </m:limLow>
            </m:e>
            <m:lim>
              <m:r>
                <m:rPr>
                  <m:nor/>
                  <m:sty m:val="p"/>
                </m:rPr>
                <m:t>sample size</m:t>
              </m:r>
            </m:lim>
          </m:limLow>
          <m:r>
            <m:t> </m:t>
          </m:r>
          <m:r>
            <m:rPr>
              <m:sty m:val="p"/>
            </m:rPr>
            <m:t>+</m:t>
          </m:r>
          <m:r>
            <m:t> </m:t>
          </m:r>
          <m:limLow>
            <m:e>
              <m:limLow>
                <m:e>
                  <m:r>
                    <m:t>β</m:t>
                  </m:r>
                  <m:r>
                    <m:t> </m:t>
                  </m:r>
                  <m:sSub>
                    <m:e>
                      <m:r>
                        <m:t>O</m:t>
                      </m:r>
                    </m:e>
                    <m:sub>
                      <m:r>
                        <m:t>i</m:t>
                      </m:r>
                    </m:sub>
                  </m:sSub>
                </m:e>
                <m:lim>
                  <m:r>
                    <m:rPr>
                      <m:sty m:val="p"/>
                    </m:rPr>
                    <m:t>⏟</m:t>
                  </m:r>
                </m:lim>
              </m:limLow>
            </m:e>
            <m:lim>
              <m:r>
                <m:rPr>
                  <m:nor/>
                  <m:sty m:val="p"/>
                </m:rPr>
                <m:t>outcome need</m:t>
              </m:r>
            </m:lim>
          </m:limLow>
          <m:r>
            <m:t> </m:t>
          </m:r>
          <m:r>
            <m:rPr>
              <m:sty m:val="p"/>
            </m:rPr>
            <m:t>+</m:t>
          </m:r>
          <m:r>
            <m:t> </m:t>
          </m:r>
          <m:limLow>
            <m:e>
              <m:limLow>
                <m:e>
                  <m:r>
                    <m:t>γ</m:t>
                  </m:r>
                  <m:r>
                    <m:t> </m:t>
                  </m:r>
                  <m:sSub>
                    <m:e>
                      <m:r>
                        <m:t>A</m:t>
                      </m:r>
                    </m:e>
                    <m:sub>
                      <m:r>
                        <m:t>i</m:t>
                      </m:r>
                    </m:sub>
                  </m:sSub>
                </m:e>
                <m:lim>
                  <m:r>
                    <m:rPr>
                      <m:sty m:val="p"/>
                    </m:rPr>
                    <m:t>⏟</m:t>
                  </m:r>
                </m:lim>
              </m:limLow>
            </m:e>
            <m:lim>
              <m:r>
                <m:rPr>
                  <m:nor/>
                  <m:sty m:val="p"/>
                </m:rPr>
                <m:t>age need</m:t>
              </m:r>
            </m:lim>
          </m:limLow>
          <m:r>
            <m:t> </m:t>
          </m:r>
          <m:r>
            <m:rPr>
              <m:sty m:val="p"/>
            </m:rPr>
            <m:t>+</m:t>
          </m:r>
          <m:r>
            <m:t> </m:t>
          </m:r>
          <m:limLow>
            <m:e>
              <m:limLow>
                <m:e>
                  <m:r>
                    <m:t>δ</m:t>
                  </m:r>
                  <m:r>
                    <m:t> </m:t>
                  </m:r>
                  <m:sSub>
                    <m:e>
                      <m:r>
                        <m:t>S</m:t>
                      </m:r>
                    </m:e>
                    <m:sub>
                      <m:r>
                        <m:t>i</m:t>
                      </m:r>
                    </m:sub>
                  </m:sSub>
                </m:e>
                <m:lim>
                  <m:r>
                    <m:rPr>
                      <m:sty m:val="p"/>
                    </m:rPr>
                    <m:t>⏟</m:t>
                  </m:r>
                </m:lim>
              </m:limLow>
            </m:e>
            <m:lim>
              <m:r>
                <m:rPr>
                  <m:nor/>
                  <m:sty m:val="p"/>
                </m:rPr>
                <m:t>synergy</m:t>
              </m:r>
            </m:lim>
          </m:limLow>
          <m:r>
            <m:t> </m:t>
          </m:r>
          <m:r>
            <m:rPr>
              <m:sty m:val="p"/>
            </m:rPr>
            <m:t>+</m:t>
          </m:r>
          <m:r>
            <m:t> </m:t>
          </m:r>
          <m:limLow>
            <m:e>
              <m:limLow>
                <m:e>
                  <m:r>
                    <m:t>ε</m:t>
                  </m:r>
                  <m:r>
                    <m:t> </m:t>
                  </m:r>
                  <m:sSub>
                    <m:e>
                      <m:r>
                        <m:t>R</m:t>
                      </m:r>
                    </m:e>
                    <m:sub>
                      <m:r>
                        <m:t>i</m:t>
                      </m:r>
                    </m:sub>
                  </m:sSub>
                </m:e>
                <m:lim>
                  <m:r>
                    <m:rPr>
                      <m:sty m:val="p"/>
                    </m:rPr>
                    <m:t>⏟</m:t>
                  </m:r>
                </m:lim>
              </m:limLow>
            </m:e>
            <m:lim>
              <m:r>
                <m:rPr>
                  <m:nor/>
                  <m:sty m:val="p"/>
                </m:rPr>
                <m:t>recency</m:t>
              </m:r>
            </m:lim>
          </m:limLow>
          <m:r>
            <m:rPr>
              <m:sty m:val="p"/>
            </m:rPr>
            <m:t>,</m:t>
          </m:r>
        </m:oMath>
      </m:oMathPara>
    </w:p>
    <w:p>
      <w:pPr>
        <w:pStyle w:val="FirstParagraph"/>
      </w:pPr>
      <w:r>
        <w:t xml:space="preserve">where:</w:t>
      </w:r>
    </w:p>
    <w:p>
      <w:pPr>
        <w:numPr>
          <w:ilvl w:val="0"/>
          <w:numId w:val="1008"/>
        </w:numPr>
      </w:pPr>
      <m:oMath>
        <m:sSub>
          <m:e>
            <m:r>
              <m:t>N</m:t>
            </m:r>
          </m:e>
          <m:sub>
            <m:r>
              <m:t>i</m:t>
            </m:r>
          </m:sub>
        </m:sSub>
      </m:oMath>
      <w:r>
        <w:t xml:space="preserve"> </w:t>
      </w:r>
      <w:r>
        <w:t xml:space="preserve">is the sample size of dataset</w:t>
      </w:r>
      <w:r>
        <w:t xml:space="preserve"> </w:t>
      </w:r>
      <m:oMath>
        <m:r>
          <m:t>i</m:t>
        </m:r>
      </m:oMath>
      <w:r>
        <w:t xml:space="preserve">, with a logarithmic transformation to dampen the influence of very large samples.</w:t>
      </w:r>
    </w:p>
    <w:p>
      <w:pPr>
        <w:numPr>
          <w:ilvl w:val="0"/>
          <w:numId w:val="1008"/>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sepChr m:val=""/>
                  <m:end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sepChr m:val=""/>
            <m:end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08"/>
        </w:numPr>
      </w:pPr>
      <m:oMath>
        <m:sSub>
          <m:e>
            <m:r>
              <m:t>A</m:t>
            </m:r>
          </m:e>
          <m:sub>
            <m:r>
              <m:t>i</m:t>
            </m:r>
          </m:sub>
        </m:sSub>
      </m:oMath>
      <w:r>
        <w:t xml:space="preserve"> </w:t>
      </w:r>
      <w:r>
        <w:t xml:space="preserve">(</w:t>
      </w:r>
      <w:r>
        <w:rPr>
          <w:b/>
          <w:bCs/>
        </w:rPr>
        <w:t xml:space="preserve">Age Need</w:t>
      </w:r>
      <w:r>
        <w:t xml:space="preserve">) captures how underrepresented the dataset’s age distribution is in set of included datasets.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09"/>
        </w:numPr>
      </w:pPr>
      <w:r>
        <w:t xml:space="preserve">Maintain a coverage table,</w:t>
      </w:r>
      <w:r>
        <w:t xml:space="preserve"> </w:t>
      </w:r>
      <m:oMath>
        <m:r>
          <m:rPr>
            <m:nor/>
            <m:sty m:val="p"/>
          </m:rPr>
          <m:t>Cov</m:t>
        </m:r>
        <m:d>
          <m:dPr>
            <m:begChr m:val="("/>
            <m:sepChr m:val=""/>
            <m:end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09"/>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09"/>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sepChr m:val=""/>
              <m:endChr m:val=")"/>
              <m:grow/>
            </m:dPr>
            <m:e>
              <m:r>
                <m:t>a</m:t>
              </m:r>
            </m:e>
          </m:d>
          <m:r>
            <m:t> </m:t>
          </m:r>
          <m:sSub>
            <m:e>
              <m:r>
                <m:t>w</m:t>
              </m:r>
            </m:e>
            <m:sub>
              <m:r>
                <m:t>i</m:t>
              </m:r>
            </m:sub>
          </m:sSub>
          <m:d>
            <m:dPr>
              <m:begChr m:val="("/>
              <m:sepChr m:val=""/>
              <m:end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sepChr m:val=""/>
              <m:endChr m:val=")"/>
              <m:grow/>
            </m:dPr>
            <m:e>
              <m:r>
                <m:t>a</m:t>
              </m:r>
            </m:e>
          </m:d>
          <m:r>
            <m:rPr>
              <m:sty m:val="p"/>
            </m:rPr>
            <m:t>=</m:t>
          </m:r>
          <m:f>
            <m:fPr>
              <m:type m:val="bar"/>
            </m:fPr>
            <m:num>
              <m:r>
                <m:rPr>
                  <m:sty m:val="p"/>
                </m:rPr>
                <m:t>exp</m:t>
              </m:r>
              <m:r>
                <m:t>​</m:t>
              </m:r>
              <m:d>
                <m:dPr>
                  <m:begChr m:val="("/>
                  <m:sepChr m:val=""/>
                  <m:endChr m:val=")"/>
                  <m:grow/>
                </m:dPr>
                <m:e>
                  <m:r>
                    <m:rPr>
                      <m:sty m:val="p"/>
                    </m:rPr>
                    <m:t>−</m:t>
                  </m:r>
                  <m:f>
                    <m:fPr>
                      <m:type m:val="bar"/>
                    </m:fPr>
                    <m:num>
                      <m:sSup>
                        <m:e>
                          <m:d>
                            <m:dPr>
                              <m:begChr m:val="("/>
                              <m:sepChr m:val=""/>
                              <m:end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sepChr m:val=""/>
                  <m:endChr m:val=")"/>
                  <m:grow/>
                </m:dPr>
                <m:e>
                  <m:r>
                    <m:rPr>
                      <m:sty m:val="p"/>
                    </m:rPr>
                    <m:t>−</m:t>
                  </m:r>
                  <m:f>
                    <m:fPr>
                      <m:type m:val="bar"/>
                    </m:fPr>
                    <m:num>
                      <m:sSup>
                        <m:e>
                          <m:d>
                            <m:dPr>
                              <m:begChr m:val="("/>
                              <m:sepChr m:val=""/>
                              <m:end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09"/>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08"/>
        </w:numPr>
      </w:pPr>
      <m:oMath>
        <m:sSub>
          <m:e>
            <m:r>
              <m:t>S</m:t>
            </m:r>
          </m:e>
          <m:sub>
            <m:r>
              <m:t>i</m:t>
            </m:r>
          </m:sub>
        </m:sSub>
      </m:oMath>
      <w:r>
        <w:t xml:space="preserve"> </w:t>
      </w:r>
      <w:r>
        <w:t xml:space="preserve">(</w:t>
      </w:r>
      <w:r>
        <w:rPr>
          <w:b/>
          <w:bCs/>
        </w:rPr>
        <w:t xml:space="preserve">Synergy</w:t>
      </w:r>
      <w:r>
        <w:t xml:space="preserve">) captures the additional value when a dataset contributes</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group.</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08"/>
        </w:numPr>
      </w:pPr>
      <m:oMath>
        <m:sSub>
          <m:e>
            <m:r>
              <m:t>R</m:t>
            </m:r>
          </m:e>
          <m:sub>
            <m:r>
              <m:t>i</m:t>
            </m:r>
          </m:sub>
        </m:sSub>
      </m:oMath>
      <w:r>
        <w:t xml:space="preserve"> </w:t>
      </w:r>
      <w:r>
        <w:t xml:space="preserve">(</w:t>
      </w:r>
      <w:r>
        <w:rPr>
          <w:b/>
          <w:bCs/>
        </w:rPr>
        <w:t xml:space="preserve">Recency</w:t>
      </w:r>
      <w:r>
        <w:t xml:space="preserve">) quantifies the fact that we consider newer data to be more valuable value added by more recent data. We define</w:t>
      </w:r>
      <w:r>
        <w:t xml:space="preserve"> </w:t>
      </w:r>
      <m:oMath>
        <m:sSub>
          <m:e>
            <m:r>
              <m:t>R</m:t>
            </m:r>
          </m:e>
          <m:sub>
            <m:r>
              <m:t>i</m:t>
            </m:r>
          </m:sub>
        </m:sSub>
      </m:oMath>
      <w:r>
        <w:t xml:space="preserve"> </w:t>
      </w:r>
      <w:r>
        <w:t xml:space="preserve">as:</w:t>
      </w:r>
    </w:p>
    <w:p>
      <w:pPr>
        <w:pStyle w:val="BodyText"/>
      </w:pPr>
      <m:oMathPara>
        <m:oMathParaPr>
          <m:jc m:val="center"/>
        </m:oMathParaPr>
        <m:oMath>
          <m:sSub>
            <m:e>
              <m:r>
                <m:t>R</m:t>
              </m:r>
            </m:e>
            <m:sub>
              <m:r>
                <m:t>i</m:t>
              </m:r>
            </m:sub>
          </m:sSub>
          <m:r>
            <m:rPr>
              <m:sty m:val="p"/>
            </m:rPr>
            <m:t>=</m:t>
          </m:r>
          <m:f>
            <m:fPr>
              <m:type m:val="bar"/>
            </m:fPr>
            <m:num>
              <m:sSub>
                <m:e>
                  <m:r>
                    <m:rPr>
                      <m:nor/>
                      <m:sty m:val="p"/>
                    </m:rPr>
                    <m:t>year</m:t>
                  </m:r>
                </m:e>
                <m:sub>
                  <m:r>
                    <m:t>i</m:t>
                  </m:r>
                </m:sub>
              </m:sSub>
              <m:r>
                <m:rPr>
                  <m:sty m:val="p"/>
                </m:rPr>
                <m:t>−</m:t>
              </m:r>
              <m:sSub>
                <m:e>
                  <m:r>
                    <m:rPr>
                      <m:nor/>
                      <m:sty m:val="p"/>
                    </m:rPr>
                    <m:t>year</m:t>
                  </m:r>
                </m:e>
                <m:sub>
                  <m:r>
                    <m:rPr>
                      <m:nor/>
                      <m:sty m:val="p"/>
                    </m:rPr>
                    <m:t>min</m:t>
                  </m:r>
                </m:sub>
              </m:sSub>
            </m:num>
            <m:den>
              <m:sSub>
                <m:e>
                  <m:r>
                    <m:rPr>
                      <m:nor/>
                      <m:sty m:val="p"/>
                    </m:rPr>
                    <m:t>year</m:t>
                  </m:r>
                </m:e>
                <m:sub>
                  <m:r>
                    <m:rPr>
                      <m:nor/>
                      <m:sty m:val="p"/>
                    </m:rPr>
                    <m:t>max</m:t>
                  </m:r>
                </m:sub>
              </m:sSub>
              <m:r>
                <m:rPr>
                  <m:sty m:val="p"/>
                </m:rPr>
                <m:t>−</m:t>
              </m:r>
              <m:sSub>
                <m:e>
                  <m:r>
                    <m:rPr>
                      <m:nor/>
                      <m:sty m:val="p"/>
                    </m:rPr>
                    <m:t>year</m:t>
                  </m:r>
                </m:e>
                <m:sub>
                  <m:r>
                    <m:rPr>
                      <m:nor/>
                      <m:sty m:val="p"/>
                    </m:rPr>
                    <m:t>min</m:t>
                  </m:r>
                </m:sub>
              </m:sSub>
            </m:den>
          </m:f>
          <m:r>
            <m:rPr>
              <m:sty m:val="p"/>
            </m:rPr>
            <m:t>,</m:t>
          </m:r>
        </m:oMath>
      </m:oMathPara>
    </w:p>
    <w:p>
      <w:pPr>
        <w:numPr>
          <w:ilvl w:val="0"/>
          <w:numId w:val="1000"/>
        </w:numPr>
      </w:pPr>
      <w:r>
        <w:t xml:space="preserve">where</w:t>
      </w:r>
      <w:r>
        <w:t xml:space="preserve"> </w:t>
      </w:r>
      <m:oMath>
        <m:sSub>
          <m:e>
            <m:r>
              <m:rPr>
                <m:nor/>
                <m:sty m:val="p"/>
              </m:rPr>
              <m:t>year</m:t>
            </m:r>
          </m:e>
          <m:sub>
            <m:r>
              <m:t>i</m:t>
            </m:r>
          </m:sub>
        </m:sSub>
      </m:oMath>
      <w:r>
        <w:t xml:space="preserve"> </w:t>
      </w:r>
      <w:r>
        <w:t xml:space="preserve">is the data collection year of dataset</w:t>
      </w:r>
      <w:r>
        <w:t xml:space="preserve"> </w:t>
      </w:r>
      <m:oMath>
        <m:r>
          <m:t>i</m:t>
        </m:r>
      </m:oMath>
      <w:r>
        <w:t xml:space="preserve">, and</w:t>
      </w:r>
      <w:r>
        <w:t xml:space="preserve"> </w:t>
      </w:r>
      <m:oMath>
        <m:sSub>
          <m:e>
            <m:r>
              <m:rPr>
                <m:nor/>
                <m:sty m:val="p"/>
              </m:rPr>
              <m:t>year</m:t>
            </m:r>
          </m:e>
          <m:sub>
            <m:r>
              <m:rPr>
                <m:nor/>
                <m:sty m:val="p"/>
              </m:rPr>
              <m:t>min</m:t>
            </m:r>
          </m:sub>
        </m:sSub>
      </m:oMath>
      <w:r>
        <w:t xml:space="preserve"> </w:t>
      </w:r>
      <w:r>
        <w:t xml:space="preserve">and</w:t>
      </w:r>
      <w:r>
        <w:t xml:space="preserve"> </w:t>
      </w:r>
      <m:oMath>
        <m:sSub>
          <m:e>
            <m:r>
              <m:rPr>
                <m:nor/>
                <m:sty m:val="p"/>
              </m:rPr>
              <m:t>year</m:t>
            </m:r>
          </m:e>
          <m:sub>
            <m:r>
              <m:rPr>
                <m:nor/>
                <m:sty m:val="p"/>
              </m:rPr>
              <m:t>max</m:t>
            </m:r>
          </m:sub>
        </m:sSub>
      </m:oMath>
      <w:r>
        <w:t xml:space="preserve"> </w:t>
      </w:r>
      <w:r>
        <w:t xml:space="preserve">are the earliest and most recent data collection years, respectively, in our pool of candidate datasets. This scales</w:t>
      </w:r>
      <w:r>
        <w:t xml:space="preserve"> </w:t>
      </w:r>
      <m:oMath>
        <m:sSub>
          <m:e>
            <m:r>
              <m:t>R</m:t>
            </m:r>
          </m:e>
          <m:sub>
            <m:r>
              <m:t>i</m:t>
            </m:r>
          </m:sub>
        </m:sSub>
      </m:oMath>
      <w:r>
        <w:t xml:space="preserve"> </w:t>
      </w:r>
      <w:r>
        <w:t xml:space="preserve">between 0 (oldest) and 1 (newest).</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ε</m:t>
        </m:r>
      </m:oMath>
      <w:r>
        <w:t xml:space="preserve"> </w:t>
      </w:r>
      <w:r>
        <w:t xml:space="preserve">are weights reflecting how strongly we prioritise each component:</w:t>
      </w:r>
    </w:p>
    <w:p>
      <w:pPr>
        <w:pStyle w:val="Compact"/>
        <w:numPr>
          <w:ilvl w:val="0"/>
          <w:numId w:val="1010"/>
        </w:numPr>
      </w:pPr>
      <m:oMath>
        <m:r>
          <m:t>α</m:t>
        </m:r>
      </m:oMath>
      <w:r>
        <w:t xml:space="preserve"> </w:t>
      </w:r>
      <w:r>
        <w:t xml:space="preserve">emphasises sample size,</w:t>
      </w:r>
    </w:p>
    <w:p>
      <w:pPr>
        <w:pStyle w:val="Compact"/>
        <w:numPr>
          <w:ilvl w:val="0"/>
          <w:numId w:val="1010"/>
        </w:numPr>
      </w:pPr>
      <m:oMath>
        <m:r>
          <m:t>β</m:t>
        </m:r>
      </m:oMath>
      <w:r>
        <w:t xml:space="preserve"> </w:t>
      </w:r>
      <w:r>
        <w:t xml:space="preserve">underrepresented outcomes,</w:t>
      </w:r>
    </w:p>
    <w:p>
      <w:pPr>
        <w:pStyle w:val="Compact"/>
        <w:numPr>
          <w:ilvl w:val="0"/>
          <w:numId w:val="1010"/>
        </w:numPr>
      </w:pPr>
      <m:oMath>
        <m:r>
          <m:t>γ</m:t>
        </m:r>
      </m:oMath>
      <w:r>
        <w:t xml:space="preserve"> </w:t>
      </w:r>
      <w:r>
        <w:t xml:space="preserve">underrepresented age groups,</w:t>
      </w:r>
    </w:p>
    <w:p>
      <w:pPr>
        <w:pStyle w:val="Compact"/>
        <w:numPr>
          <w:ilvl w:val="0"/>
          <w:numId w:val="1010"/>
        </w:numPr>
      </w:pPr>
      <m:oMath>
        <m:r>
          <m:t>δ</m:t>
        </m:r>
      </m:oMath>
      <w:r>
        <w:t xml:space="preserve"> </w:t>
      </w:r>
      <w:r>
        <w:t xml:space="preserve">the synergy between outcome and age coverage,</w:t>
      </w:r>
    </w:p>
    <w:p>
      <w:pPr>
        <w:pStyle w:val="Compact"/>
        <w:numPr>
          <w:ilvl w:val="0"/>
          <w:numId w:val="1010"/>
        </w:numPr>
      </w:pPr>
      <m:oMath>
        <m:r>
          <m:t>ε</m:t>
        </m:r>
      </m:oMath>
      <w:r>
        <w:t xml:space="preserve"> </w:t>
      </w:r>
      <w:r>
        <w:t xml:space="preserve">dataset recency.</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w:t>
      </w:r>
      <w:r>
        <w:t xml:space="preserve"> </w:t>
      </w:r>
      <m:oMath>
        <m:r>
          <m:t>δ</m:t>
        </m:r>
        <m:r>
          <m:rPr>
            <m:sty m:val="p"/>
          </m:rPr>
          <m:t>=</m:t>
        </m:r>
        <m:r>
          <m:t>2</m:t>
        </m:r>
      </m:oMath>
      <w:r>
        <w:t xml:space="preserve">, and</w:t>
      </w:r>
      <w:r>
        <w:t xml:space="preserve"> </w:t>
      </w:r>
      <m:oMath>
        <m:r>
          <m:t>ε</m:t>
        </m:r>
        <m:r>
          <m:rPr>
            <m:sty m:val="p"/>
          </m:rPr>
          <m:t>=</m:t>
        </m:r>
        <m:r>
          <m:t>1</m:t>
        </m:r>
      </m:oMath>
      <w:r>
        <w:t xml:space="preserve">, but may adjust these based on relative importance as data is collected.</w:t>
      </w:r>
    </w:p>
    <w:p>
      <w:pPr>
        <w:pStyle w:val="BodyText"/>
      </w:pPr>
      <w:r>
        <w:t xml:space="preserve">Note that since</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undefined in the initial state (as there are no included datasets), our initial calculation for value will leave out these terms and only be based on</w:t>
      </w:r>
      <w:r>
        <w:t xml:space="preserve"> </w:t>
      </w:r>
      <m:oMath>
        <m:sSub>
          <m:e>
            <m:r>
              <m:t>N</m:t>
            </m:r>
          </m:e>
          <m:sub>
            <m:r>
              <m:t>i</m:t>
            </m:r>
          </m:sub>
        </m:sSub>
      </m:oMath>
      <w:r>
        <w:t xml:space="preserve"> </w:t>
      </w:r>
      <w:r>
        <w:t xml:space="preserve">and</w:t>
      </w:r>
      <w:r>
        <w:t xml:space="preserve"> </w:t>
      </w:r>
      <m:oMath>
        <m:sSub>
          <m:e>
            <m:r>
              <m:t>R</m:t>
            </m:r>
          </m:e>
          <m:sub>
            <m:r>
              <m:t>i</m:t>
            </m:r>
          </m:sub>
        </m:sSub>
      </m:oMath>
      <w:r>
        <w:t xml:space="preserve">. We will then rank-order datasets based on their value, and work through the list in order of value, updating the values each time a new dataset is added. We will continue this process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1"/>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1"/>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To ensure that the process is feasible and that the data can be harmonised in a meaningful way, we will pilot the harmonisation process on a subset of datasets that we can directly access.</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(&gt;10,000 participants),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commentRangeStart w:id="3"/>
      <w:r>
        <w:t xml:space="preserve"> </w:t>
      </w:r>
      <w:commentRangeEnd w:id="3"/>
      <w:r>
        <w:rPr>
          <w:rStyle w:val="CommentReference"/>
        </w:rPr>
        <w:commentReference w:id="3"/>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2"/>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2"/>
        </w:numPr>
      </w:pPr>
      <w:r>
        <w:rPr>
          <w:b/>
          <w:bCs/>
        </w:rPr>
        <w:t xml:space="preserve">Video/e-games</w:t>
      </w:r>
      <w:r>
        <w:t xml:space="preserve">: Time spent playing video/e-games.</w:t>
      </w:r>
    </w:p>
    <w:p>
      <w:pPr>
        <w:pStyle w:val="Compact"/>
        <w:numPr>
          <w:ilvl w:val="0"/>
          <w:numId w:val="1012"/>
        </w:numPr>
      </w:pPr>
      <w:r>
        <w:rPr>
          <w:b/>
          <w:bCs/>
        </w:rPr>
        <w:t xml:space="preserve">Television</w:t>
      </w:r>
      <w:r>
        <w:t xml:space="preserve">: Time spent watching television.</w:t>
      </w:r>
    </w:p>
    <w:p>
      <w:pPr>
        <w:pStyle w:val="Compact"/>
        <w:numPr>
          <w:ilvl w:val="0"/>
          <w:numId w:val="1012"/>
        </w:numPr>
      </w:pPr>
      <w:r>
        <w:rPr>
          <w:b/>
          <w:bCs/>
        </w:rPr>
        <w:t xml:space="preserve">Mobile device</w:t>
      </w:r>
      <w:r>
        <w:t xml:space="preserve">: Time spent on mobile devices, such as smartphones and tablets.</w:t>
      </w:r>
    </w:p>
    <w:p>
      <w:pPr>
        <w:pStyle w:val="Compact"/>
        <w:numPr>
          <w:ilvl w:val="0"/>
          <w:numId w:val="1012"/>
        </w:numPr>
      </w:pPr>
      <w:r>
        <w:rPr>
          <w:b/>
          <w:bCs/>
        </w:rPr>
        <w:t xml:space="preserve">Social media</w:t>
      </w:r>
      <w:r>
        <w:t xml:space="preserve">: Time spent on social media.</w:t>
      </w:r>
    </w:p>
    <w:p>
      <w:pPr>
        <w:pStyle w:val="Compact"/>
        <w:numPr>
          <w:ilvl w:val="0"/>
          <w:numId w:val="1012"/>
        </w:numPr>
      </w:pPr>
      <w:r>
        <w:rPr>
          <w:b/>
          <w:bCs/>
        </w:rPr>
        <w:t xml:space="preserve">Computer</w:t>
      </w:r>
      <w:r>
        <w:t xml:space="preserve">: Time spent on laptop or desktop general-purpose computers.</w:t>
      </w:r>
    </w:p>
    <w:p>
      <w:pPr>
        <w:pStyle w:val="Compact"/>
        <w:numPr>
          <w:ilvl w:val="0"/>
          <w:numId w:val="1012"/>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tool used and include it as a covariate to adjust for any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commentRangeStart w:id="4"/>
      <w:r>
        <w:t xml:space="preserve"> </w:t>
      </w:r>
      <w:commentRangeEnd w:id="4"/>
      <w:r>
        <w:rPr>
          <w:rStyle w:val="CommentReference"/>
        </w:rPr>
        <w:commentReference w:id="4"/>
      </w:r>
      <w:r>
        <w:t xml:space="preserve"> </w:t>
      </w: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tbl>
      <w:tblPr>
        <w:tblStyle w:val="Table"/>
        <w:tblW w:type="pct" w:w="5000"/>
        <w:tblLayout w:type="fixed"/>
        <w:tblLook w:firstRow="1" w:lastRow="0" w:firstColumn="0" w:lastColumn="0" w:noHBand="0" w:noVBand="0" w:val="0020"/>
      </w:tblPr>
      <w:tblGrid>
        <w:gridCol w:w="2132"/>
        <w:gridCol w:w="3046"/>
        <w:gridCol w:w="2741"/>
      </w:tblGrid>
      <w:tr>
        <w:trPr>
          <w:tblHeader w:val="on"/>
        </w:trPr>
        <w:tc>
          <w:tcPr/>
          <w:p>
            <w:pPr>
              <w:pStyle w:val="Compact"/>
            </w:pPr>
            <w:r>
              <w:rPr>
                <w:b/>
                <w:bCs/>
              </w:rPr>
              <w:t xml:space="preserve">Main Outcome</w:t>
            </w:r>
          </w:p>
        </w:tc>
        <w:tc>
          <w:tcPr/>
          <w:p>
            <w:pPr>
              <w:pStyle w:val="Compact"/>
            </w:pPr>
            <w:r>
              <w:rPr>
                <w:b/>
                <w:bCs/>
              </w:rPr>
              <w:t xml:space="preserve">Specific Outcomes</w:t>
            </w:r>
          </w:p>
        </w:tc>
        <w:tc>
          <w:tcPr/>
          <w:p>
            <w:pPr>
              <w:pStyle w:val="Compact"/>
            </w:pPr>
            <w:r>
              <w:rPr>
                <w:b/>
                <w:bCs/>
              </w:rPr>
              <w:t xml:space="preserve">Example Measures</w:t>
            </w:r>
          </w:p>
        </w:tc>
      </w:tr>
      <w:tr>
        <w:tc>
          <w:tcPr/>
          <w:p>
            <w:pPr>
              <w:pStyle w:val="Compact"/>
            </w:pPr>
            <w:r>
              <w:rPr>
                <w:b/>
                <w:bCs/>
              </w:rPr>
              <w:t xml:space="preserve">Learning</w:t>
            </w:r>
          </w:p>
        </w:tc>
        <w:tc>
          <w:tcPr/>
          <w:p>
            <w:pPr>
              <w:pStyle w:val="Compact"/>
            </w:pPr>
            <w:r>
              <w:t xml:space="preserve">General education</w:t>
            </w:r>
          </w:p>
        </w:tc>
        <w:tc>
          <w:tcPr/>
          <w:p>
            <w:pPr>
              <w:pStyle w:val="Compact"/>
            </w:pPr>
            <w:r>
              <w:t xml:space="preserve">Standardised test scores</w:t>
            </w:r>
          </w:p>
        </w:tc>
      </w:tr>
      <w:tr>
        <w:tc>
          <w:tcPr/>
          <w:p>
            <w:pPr>
              <w:pStyle w:val="Compact"/>
            </w:pPr>
          </w:p>
        </w:tc>
        <w:tc>
          <w:tcPr/>
          <w:p>
            <w:pPr>
              <w:pStyle w:val="Compact"/>
            </w:pPr>
            <w:r>
              <w:t xml:space="preserve">Numeracy</w:t>
            </w:r>
          </w:p>
        </w:tc>
        <w:tc>
          <w:tcPr/>
          <w:p>
            <w:pPr>
              <w:pStyle w:val="Compact"/>
            </w:pPr>
            <w:r>
              <w:t xml:space="preserve">Grades</w:t>
            </w:r>
          </w:p>
        </w:tc>
      </w:tr>
      <w:tr>
        <w:tc>
          <w:tcPr/>
          <w:p>
            <w:pPr>
              <w:pStyle w:val="Compact"/>
            </w:pPr>
          </w:p>
        </w:tc>
        <w:tc>
          <w:tcPr/>
          <w:p>
            <w:pPr>
              <w:pStyle w:val="Compact"/>
            </w:pPr>
            <w:r>
              <w:t xml:space="preserve">Literacy</w:t>
            </w:r>
          </w:p>
        </w:tc>
        <w:tc>
          <w:tcPr/>
          <w:p>
            <w:pPr>
              <w:pStyle w:val="Compact"/>
            </w:pPr>
            <w:r>
              <w:t xml:space="preserve">Reading comprehension</w:t>
            </w:r>
          </w:p>
        </w:tc>
      </w:tr>
      <w:tr>
        <w:tc>
          <w:tcPr/>
          <w:p>
            <w:pPr>
              <w:pStyle w:val="Compact"/>
            </w:pPr>
            <w:r>
              <w:rPr>
                <w:b/>
                <w:bCs/>
              </w:rPr>
              <w:t xml:space="preserve">Cognitive abilities</w:t>
            </w:r>
          </w:p>
        </w:tc>
        <w:tc>
          <w:tcPr/>
          <w:p>
            <w:pPr>
              <w:pStyle w:val="Compact"/>
            </w:pPr>
            <w:r>
              <w:t xml:space="preserve">Executive function</w:t>
            </w:r>
          </w:p>
        </w:tc>
        <w:tc>
          <w:tcPr/>
          <w:p>
            <w:pPr>
              <w:pStyle w:val="Compact"/>
            </w:pPr>
            <w:r>
              <w:t xml:space="preserve">Inhibitory control</w:t>
            </w:r>
          </w:p>
        </w:tc>
      </w:tr>
      <w:tr>
        <w:tc>
          <w:tcPr/>
          <w:p>
            <w:pPr>
              <w:pStyle w:val="Compact"/>
            </w:pPr>
          </w:p>
        </w:tc>
        <w:tc>
          <w:tcPr/>
          <w:p>
            <w:pPr>
              <w:pStyle w:val="Compact"/>
            </w:pPr>
            <w:r>
              <w:t xml:space="preserve">Cognitive function</w:t>
            </w:r>
          </w:p>
        </w:tc>
        <w:tc>
          <w:tcPr/>
          <w:p>
            <w:pPr>
              <w:pStyle w:val="Compact"/>
            </w:pPr>
            <w:r>
              <w:t xml:space="preserve">Working memory</w:t>
            </w:r>
          </w:p>
        </w:tc>
      </w:tr>
      <w:tr>
        <w:tc>
          <w:tcPr/>
          <w:p>
            <w:pPr>
              <w:pStyle w:val="Compact"/>
            </w:pPr>
          </w:p>
        </w:tc>
        <w:tc>
          <w:tcPr/>
          <w:p>
            <w:pPr>
              <w:pStyle w:val="Compact"/>
            </w:pPr>
          </w:p>
        </w:tc>
        <w:tc>
          <w:tcPr/>
          <w:p>
            <w:pPr>
              <w:pStyle w:val="Compact"/>
            </w:pPr>
            <w:r>
              <w:t xml:space="preserve">Cognitive flexibility</w:t>
            </w:r>
          </w:p>
        </w:tc>
      </w:tr>
      <w:tr>
        <w:tc>
          <w:tcPr/>
          <w:p>
            <w:pPr>
              <w:pStyle w:val="Compact"/>
            </w:pPr>
          </w:p>
        </w:tc>
        <w:tc>
          <w:tcPr/>
          <w:p>
            <w:pPr>
              <w:pStyle w:val="Compact"/>
            </w:pPr>
          </w:p>
        </w:tc>
        <w:tc>
          <w:tcPr/>
          <w:p>
            <w:pPr>
              <w:pStyle w:val="Compact"/>
            </w:pPr>
            <w:r>
              <w:t xml:space="preserve">Attention</w:t>
            </w:r>
          </w:p>
        </w:tc>
      </w:tr>
      <w:tr>
        <w:tc>
          <w:tcPr/>
          <w:p>
            <w:pPr>
              <w:pStyle w:val="Compact"/>
            </w:pPr>
            <w:r>
              <w:rPr>
                <w:b/>
                <w:bCs/>
              </w:rPr>
              <w:t xml:space="preserve">Mental health</w:t>
            </w:r>
          </w:p>
        </w:tc>
        <w:tc>
          <w:tcPr/>
          <w:p>
            <w:pPr>
              <w:pStyle w:val="Compact"/>
            </w:pPr>
            <w:r>
              <w:t xml:space="preserve">Anxiety</w:t>
            </w:r>
          </w:p>
        </w:tc>
        <w:tc>
          <w:tcPr/>
          <w:p>
            <w:pPr>
              <w:pStyle w:val="Compact"/>
            </w:pPr>
            <w:r>
              <w:t xml:space="preserve">Multidimensional Anxiety Scale for Children</w:t>
            </w:r>
          </w:p>
        </w:tc>
      </w:tr>
      <w:tr>
        <w:tc>
          <w:tcPr/>
          <w:p>
            <w:pPr>
              <w:pStyle w:val="Compact"/>
            </w:pPr>
          </w:p>
        </w:tc>
        <w:tc>
          <w:tcPr/>
          <w:p>
            <w:pPr>
              <w:pStyle w:val="Compact"/>
            </w:pPr>
            <w:r>
              <w:t xml:space="preserve">Depression</w:t>
            </w:r>
          </w:p>
        </w:tc>
        <w:tc>
          <w:tcPr/>
          <w:p>
            <w:pPr>
              <w:pStyle w:val="Compact"/>
            </w:pPr>
            <w:r>
              <w:t xml:space="preserve">Children’s Depression Inventory</w:t>
            </w:r>
          </w:p>
        </w:tc>
      </w:tr>
      <w:tr>
        <w:tc>
          <w:tcPr/>
          <w:p>
            <w:pPr>
              <w:pStyle w:val="Compact"/>
            </w:pPr>
          </w:p>
        </w:tc>
        <w:tc>
          <w:tcPr/>
          <w:p>
            <w:pPr>
              <w:pStyle w:val="Compact"/>
            </w:pPr>
            <w:r>
              <w:t xml:space="preserve">Emotions</w:t>
            </w:r>
          </w:p>
        </w:tc>
        <w:tc>
          <w:tcPr/>
          <w:p>
            <w:pPr>
              <w:pStyle w:val="Compact"/>
            </w:pPr>
            <w:r>
              <w:t xml:space="preserve">Emotion Regulation Questionnaire for Children and Adolescents</w:t>
            </w:r>
          </w:p>
        </w:tc>
      </w:tr>
      <w:tr>
        <w:tc>
          <w:tcPr/>
          <w:p>
            <w:pPr>
              <w:pStyle w:val="Compact"/>
            </w:pPr>
            <w:r>
              <w:rPr>
                <w:b/>
                <w:bCs/>
              </w:rPr>
              <w:t xml:space="preserve">Behaviour</w:t>
            </w:r>
          </w:p>
        </w:tc>
        <w:tc>
          <w:tcPr/>
          <w:p>
            <w:pPr>
              <w:pStyle w:val="Compact"/>
            </w:pPr>
            <w:r>
              <w:t xml:space="preserve">Aggression</w:t>
            </w:r>
          </w:p>
        </w:tc>
        <w:tc>
          <w:tcPr/>
          <w:p>
            <w:pPr>
              <w:pStyle w:val="Compact"/>
            </w:pPr>
            <w:r>
              <w:t xml:space="preserve">Child Behaviour Checklist</w:t>
            </w:r>
          </w:p>
        </w:tc>
      </w:tr>
      <w:tr>
        <w:tc>
          <w:tcPr/>
          <w:p>
            <w:pPr>
              <w:pStyle w:val="Compact"/>
            </w:pPr>
          </w:p>
        </w:tc>
        <w:tc>
          <w:tcPr/>
          <w:p>
            <w:pPr>
              <w:pStyle w:val="Compact"/>
            </w:pPr>
            <w:r>
              <w:t xml:space="preserve">Self-regulation</w:t>
            </w:r>
          </w:p>
        </w:tc>
        <w:tc>
          <w:tcPr/>
          <w:p>
            <w:pPr>
              <w:pStyle w:val="Compact"/>
            </w:pPr>
            <w:r>
              <w:t xml:space="preserve">Strengths and Difficulties Questionnaire</w:t>
            </w:r>
          </w:p>
        </w:tc>
      </w:tr>
      <w:tr>
        <w:tc>
          <w:tcPr/>
          <w:p>
            <w:pPr>
              <w:pStyle w:val="Compact"/>
            </w:pPr>
          </w:p>
        </w:tc>
        <w:tc>
          <w:tcPr/>
          <w:p>
            <w:pPr>
              <w:pStyle w:val="Compact"/>
            </w:pPr>
            <w:r>
              <w:t xml:space="preserve">Prosocial behaviour</w:t>
            </w:r>
          </w:p>
        </w:tc>
        <w:tc>
          <w:tcPr/>
          <w:p>
            <w:pPr>
              <w:pStyle w:val="Compact"/>
            </w:pPr>
            <w:r>
              <w:t xml:space="preserve">Behavior Rating Inventory of Executive Function</w:t>
            </w:r>
          </w:p>
        </w:tc>
      </w:tr>
      <w:tr>
        <w:tc>
          <w:tcPr/>
          <w:p>
            <w:pPr>
              <w:pStyle w:val="Compact"/>
            </w:pPr>
            <w:r>
              <w:rPr>
                <w:b/>
                <w:bCs/>
              </w:rPr>
              <w:t xml:space="preserve">Wellbeing</w:t>
            </w:r>
          </w:p>
        </w:tc>
        <w:tc>
          <w:tcPr/>
          <w:p>
            <w:pPr>
              <w:pStyle w:val="Compact"/>
            </w:pPr>
            <w:r>
              <w:t xml:space="preserve">Self-perceptions</w:t>
            </w:r>
          </w:p>
        </w:tc>
        <w:tc>
          <w:tcPr/>
          <w:p>
            <w:pPr>
              <w:pStyle w:val="Compact"/>
            </w:pPr>
            <w:r>
              <w:t xml:space="preserve">General Self-Efficacy Scale</w:t>
            </w:r>
          </w:p>
        </w:tc>
      </w:tr>
      <w:tr>
        <w:tc>
          <w:tcPr/>
          <w:p>
            <w:pPr>
              <w:pStyle w:val="Compact"/>
            </w:pPr>
          </w:p>
        </w:tc>
        <w:tc>
          <w:tcPr/>
          <w:p>
            <w:pPr>
              <w:pStyle w:val="Compact"/>
            </w:pPr>
            <w:r>
              <w:t xml:space="preserve">Positive mental health</w:t>
            </w:r>
          </w:p>
        </w:tc>
        <w:tc>
          <w:tcPr/>
          <w:p>
            <w:pPr>
              <w:pStyle w:val="Compact"/>
            </w:pPr>
            <w:r>
              <w:t xml:space="preserve">Students’ Life Satisfaction Scale</w:t>
            </w:r>
          </w:p>
        </w:tc>
      </w:tr>
      <w:tr>
        <w:tc>
          <w:tcPr/>
          <w:p>
            <w:pPr>
              <w:pStyle w:val="Compact"/>
            </w:pPr>
          </w:p>
        </w:tc>
        <w:tc>
          <w:tcPr/>
          <w:p>
            <w:pPr>
              <w:pStyle w:val="Compact"/>
            </w:pPr>
          </w:p>
        </w:tc>
        <w:tc>
          <w:tcPr/>
          <w:p>
            <w:pPr>
              <w:pStyle w:val="Compact"/>
            </w:pPr>
            <w:r>
              <w:t xml:space="preserve">Pediatric Quality of Life Inventory TM</w:t>
            </w:r>
          </w:p>
        </w:tc>
      </w:tr>
    </w:tbl>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3"/>
        </w:numPr>
      </w:pPr>
      <w:r>
        <w:t xml:space="preserve">Child demographics, such as age, gender, and ethnicity.</w:t>
      </w:r>
    </w:p>
    <w:p>
      <w:pPr>
        <w:pStyle w:val="Compact"/>
        <w:numPr>
          <w:ilvl w:val="0"/>
          <w:numId w:val="1013"/>
        </w:numPr>
      </w:pPr>
      <w:r>
        <w:t xml:space="preserve">Socioeconomic status, such as parental education and income.</w:t>
      </w:r>
    </w:p>
    <w:p>
      <w:pPr>
        <w:pStyle w:val="Compact"/>
        <w:numPr>
          <w:ilvl w:val="0"/>
          <w:numId w:val="1013"/>
        </w:numPr>
      </w:pPr>
      <w:r>
        <w:t xml:space="preserve">The regional location of the child, such as urban or rural.</w:t>
      </w:r>
    </w:p>
    <w:p>
      <w:pPr>
        <w:pStyle w:val="Compact"/>
        <w:numPr>
          <w:ilvl w:val="0"/>
          <w:numId w:val="1013"/>
        </w:numPr>
      </w:pPr>
      <w:r>
        <w:t xml:space="preserve">Location of screen time, such as home or school.</w:t>
      </w:r>
    </w:p>
    <w:p>
      <w:pPr>
        <w:pStyle w:val="Compact"/>
        <w:numPr>
          <w:ilvl w:val="0"/>
          <w:numId w:val="1013"/>
        </w:numPr>
      </w:pPr>
      <w:r>
        <w:t xml:space="preserve">The country of data collection.</w:t>
      </w:r>
    </w:p>
    <w:p>
      <w:pPr>
        <w:pStyle w:val="Compact"/>
        <w:numPr>
          <w:ilvl w:val="0"/>
          <w:numId w:val="1013"/>
        </w:numPr>
      </w:pPr>
      <w:r>
        <w:t xml:space="preserve">The year of data collection.</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where data collection is outside of our control, makes it hard to predict which measures and what transformations or re-codes will be necessary for harmonisation.</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Given the large number of outcomes, exposures, and potential moderators in this IPD meta-analysis, we will control the risk of false discoveries using a tiered false discovery rate (FDR) adjustment procedure.</w:t>
      </w:r>
    </w:p>
    <w:p>
      <w:pPr>
        <w:pStyle w:val="BodyText"/>
      </w:pPr>
      <w:r>
        <w:t xml:space="preserve">Following the approach outlined in</w:t>
      </w:r>
      <w:r>
        <w:t xml:space="preserve"> </w:t>
      </w:r>
      <w:r>
        <w:t xml:space="preserve">Bartik et al. (2024)</w:t>
      </w:r>
      <w:r>
        <w:t xml:space="preserve"> </w:t>
      </w:r>
      <w:r>
        <w:t xml:space="preserve">and</w:t>
      </w:r>
      <w:r>
        <w:t xml:space="preserve"> </w:t>
      </w:r>
      <w:r>
        <w:t xml:space="preserve">Guess et al. (2023)</w:t>
      </w:r>
      <w:r>
        <w:t xml:space="preserve">, we will organize hypotheses into nested tiers based on conceptual importance and relatedness.</w:t>
      </w:r>
      <w:r>
        <w:t xml:space="preserve"> </w:t>
      </w:r>
      <w:r>
        <w:t xml:space="preserve">We will apply the FDR adjustment described by</w:t>
      </w:r>
      <w:r>
        <w:t xml:space="preserve"> </w:t>
      </w:r>
      <w:r>
        <w:t xml:space="preserve">Benjamini and Hochberg (1995)</w:t>
      </w:r>
      <w:r>
        <w:t xml:space="preserve"> </w:t>
      </w:r>
      <w:r>
        <w:t xml:space="preserve">cumulatively at each level by accounting not only for the number of comparisons within a tier but also for the number of higher-level comparisons leading into it.</w:t>
      </w:r>
    </w:p>
    <w:p>
      <w:pPr>
        <w:pStyle w:val="BodyText"/>
      </w:pPr>
      <w:r>
        <w:t xml:space="preserve">For each individual hypothesis, the total number of comparisons (</w:t>
      </w:r>
      <m:oMath>
        <m:sSub>
          <m:e>
            <m:r>
              <m:t>k</m:t>
            </m:r>
          </m:e>
          <m:sub>
            <m:r>
              <m:t>t</m:t>
            </m:r>
            <m:r>
              <m:t>o</m:t>
            </m:r>
            <m:r>
              <m:t>t</m:t>
            </m:r>
            <m:r>
              <m:t>a</m:t>
            </m:r>
            <m:r>
              <m:t>l</m:t>
            </m:r>
          </m:sub>
        </m:sSub>
      </m:oMath>
      <w:r>
        <w:t xml:space="preserve">) used to compute the adjusted q-value will reflect:</w:t>
      </w:r>
    </w:p>
    <w:p>
      <w:pPr>
        <w:pStyle w:val="Compact"/>
        <w:numPr>
          <w:ilvl w:val="0"/>
          <w:numId w:val="1014"/>
        </w:numPr>
      </w:pPr>
      <m:oMath>
        <m:sSub>
          <m:e>
            <m:r>
              <m:t>k</m:t>
            </m:r>
          </m:e>
          <m:sub>
            <m:r>
              <m:t>0</m:t>
            </m:r>
          </m:sub>
        </m:sSub>
      </m:oMath>
      <w:r>
        <w:t xml:space="preserve">: the number of primary outcome families tested,</w:t>
      </w:r>
    </w:p>
    <w:p>
      <w:pPr>
        <w:pStyle w:val="Compact"/>
        <w:numPr>
          <w:ilvl w:val="0"/>
          <w:numId w:val="1014"/>
        </w:numPr>
      </w:pPr>
      <m:oMath>
        <m:sSub>
          <m:e>
            <m:r>
              <m:t>k</m:t>
            </m:r>
          </m:e>
          <m:sub>
            <m:r>
              <m:t>1</m:t>
            </m:r>
            <m:r>
              <m:rPr>
                <m:sty m:val="p"/>
              </m:rPr>
              <m:t>,</m:t>
            </m:r>
            <m:r>
              <m:t>f</m:t>
            </m:r>
          </m:sub>
        </m:sSub>
      </m:oMath>
      <w:r>
        <w:t xml:space="preserve">: the number of content or moderator components within the relevant family,</w:t>
      </w:r>
    </w:p>
    <w:p>
      <w:pPr>
        <w:pStyle w:val="Compact"/>
        <w:numPr>
          <w:ilvl w:val="0"/>
          <w:numId w:val="1014"/>
        </w:numPr>
      </w:pPr>
      <m:oMath>
        <m:sSub>
          <m:e>
            <m:r>
              <m:t>k</m:t>
            </m:r>
          </m:e>
          <m:sub>
            <m:r>
              <m:t>2</m:t>
            </m:r>
            <m:r>
              <m:rPr>
                <m:sty m:val="p"/>
              </m:rPr>
              <m:t>,</m:t>
            </m:r>
            <m:r>
              <m:t>f</m:t>
            </m:r>
          </m:sub>
        </m:sSub>
      </m:oMath>
      <w:r>
        <w:t xml:space="preserve">: the number of specific items or interaction terms within that component.</w:t>
      </w:r>
    </w:p>
    <w:p>
      <w:pPr>
        <w:pStyle w:val="FirstParagraph"/>
      </w:pPr>
      <w:r>
        <w:t xml:space="preserve">Thus, each q-value reflects the</w:t>
      </w:r>
      <w:r>
        <w:t xml:space="preserve"> </w:t>
      </w:r>
      <w:r>
        <w:rPr>
          <w:b/>
          <w:bCs/>
        </w:rPr>
        <w:t xml:space="preserve">full testing burden up to that point</w:t>
      </w:r>
      <w:r>
        <w:t xml:space="preserve">, not just the number of tests in the immediate family.</w:t>
      </w:r>
    </w:p>
    <w:p>
      <w:pPr>
        <w:pStyle w:val="BodyText"/>
      </w:pPr>
      <w:r>
        <w:t xml:space="preserve">The tiered structure of hypotheses is as follows:</w:t>
      </w:r>
    </w:p>
    <w:tbl>
      <w:tblPr>
        <w:tblStyle w:val="Table"/>
        <w:tblW w:type="pct" w:w="5000"/>
        <w:tblLayout w:type="fixed"/>
        <w:tblLook w:firstRow="1" w:lastRow="0" w:firstColumn="0" w:lastColumn="0" w:noHBand="0" w:noVBand="0" w:val="0020"/>
      </w:tblPr>
      <w:tblGrid>
        <w:gridCol w:w="1485"/>
        <w:gridCol w:w="2475"/>
        <w:gridCol w:w="2475"/>
        <w:gridCol w:w="1485"/>
      </w:tblGrid>
      <w:tr>
        <w:trPr>
          <w:tblHeader w:val="on"/>
        </w:trPr>
        <w:tc>
          <w:tcPr/>
          <w:p>
            <w:pPr>
              <w:pStyle w:val="Compact"/>
            </w:pPr>
            <w:r>
              <w:rPr>
                <w:b/>
                <w:bCs/>
              </w:rPr>
              <w:t xml:space="preserve">Tier</w:t>
            </w:r>
          </w:p>
        </w:tc>
        <w:tc>
          <w:tcPr/>
          <w:p>
            <w:pPr>
              <w:pStyle w:val="Compact"/>
            </w:pPr>
            <w:r>
              <w:rPr>
                <w:b/>
                <w:bCs/>
              </w:rPr>
              <w:t xml:space="preserve">Description</w:t>
            </w:r>
          </w:p>
        </w:tc>
        <w:tc>
          <w:tcPr/>
          <w:p>
            <w:pPr>
              <w:pStyle w:val="Compact"/>
            </w:pPr>
            <w:r>
              <w:rPr>
                <w:b/>
                <w:bCs/>
              </w:rPr>
              <w:t xml:space="preserve">Examples</w:t>
            </w:r>
          </w:p>
        </w:tc>
        <w:tc>
          <w:tcPr/>
          <w:p>
            <w:pPr>
              <w:pStyle w:val="Compact"/>
            </w:pPr>
            <w:r>
              <w:rPr>
                <w:b/>
                <w:bCs/>
              </w:rPr>
              <w:t xml:space="preserve">Correction from</w:t>
            </w:r>
          </w:p>
        </w:tc>
      </w:tr>
      <w:tr>
        <w:tc>
          <w:tcPr/>
          <w:p>
            <w:pPr>
              <w:pStyle w:val="Compact"/>
            </w:pPr>
            <w:r>
              <w:rPr>
                <w:b/>
                <w:bCs/>
              </w:rPr>
              <w:t xml:space="preserve">Tier 1: Primary Outcomes</w:t>
            </w:r>
          </w:p>
        </w:tc>
        <w:tc>
          <w:tcPr/>
          <w:p>
            <w:pPr>
              <w:pStyle w:val="Compact"/>
            </w:pPr>
            <w:r>
              <w:t xml:space="preserve">Main effects of total screen time on key outcomes</w:t>
            </w:r>
          </w:p>
        </w:tc>
        <w:tc>
          <w:tcPr/>
          <w:p>
            <w:pPr>
              <w:pStyle w:val="Compact"/>
            </w:pPr>
            <w:r>
              <w:t xml:space="preserve">Learning, mental health, wellbeing, cognitive ability, behaviour</w:t>
            </w:r>
          </w:p>
        </w:tc>
        <w:tc>
          <w:tcPr/>
          <w:p>
            <w:pPr>
              <w:pStyle w:val="Compact"/>
            </w:pPr>
            <w:r>
              <w:t xml:space="preserve">Tier 1 only</w:t>
            </w:r>
          </w:p>
        </w:tc>
      </w:tr>
      <w:tr>
        <w:tc>
          <w:tcPr/>
          <w:p>
            <w:pPr>
              <w:pStyle w:val="Compact"/>
            </w:pPr>
            <w:r>
              <w:rPr>
                <w:b/>
                <w:bCs/>
              </w:rPr>
              <w:t xml:space="preserve">Tier 2: Content-Specific Effects</w:t>
            </w:r>
          </w:p>
        </w:tc>
        <w:tc>
          <w:tcPr/>
          <w:p>
            <w:pPr>
              <w:pStyle w:val="Compact"/>
            </w:pPr>
            <w:r>
              <w:t xml:space="preserve">Effects of screen content/type on each outcome</w:t>
            </w:r>
          </w:p>
        </w:tc>
        <w:tc>
          <w:tcPr/>
          <w:p>
            <w:pPr>
              <w:pStyle w:val="Compact"/>
            </w:pPr>
            <w:r>
              <w:t xml:space="preserve">Educational content, Social media, Video games, Non-interactive entertainment</w:t>
            </w:r>
          </w:p>
        </w:tc>
        <w:tc>
          <w:tcPr/>
          <w:p>
            <w:pPr>
              <w:pStyle w:val="Compact"/>
            </w:pPr>
            <w:r>
              <w:t xml:space="preserve">Tier 1 + Tier 2</w:t>
            </w:r>
          </w:p>
        </w:tc>
      </w:tr>
      <w:tr>
        <w:tc>
          <w:tcPr/>
          <w:p>
            <w:pPr>
              <w:pStyle w:val="Compact"/>
            </w:pPr>
            <w:r>
              <w:rPr>
                <w:b/>
                <w:bCs/>
              </w:rPr>
              <w:t xml:space="preserve">Tier 3: Dose-Response / Thresholds</w:t>
            </w:r>
          </w:p>
        </w:tc>
        <w:tc>
          <w:tcPr/>
          <w:p>
            <w:pPr>
              <w:pStyle w:val="Compact"/>
            </w:pPr>
            <w:r>
              <w:t xml:space="preserve">Identification of thresholds where screen time effects change</w:t>
            </w:r>
          </w:p>
        </w:tc>
        <w:tc>
          <w:tcPr/>
          <w:p>
            <w:pPr>
              <w:pStyle w:val="Compact"/>
            </w:pPr>
            <w:r>
              <w:t xml:space="preserve">Piecewise regression estimating turning points per outcome/content</w:t>
            </w:r>
          </w:p>
        </w:tc>
        <w:tc>
          <w:tcPr/>
          <w:p>
            <w:pPr>
              <w:pStyle w:val="Compact"/>
            </w:pPr>
            <w:r>
              <w:t xml:space="preserve">Tier 1 + Tier 2 + Tier 3</w:t>
            </w:r>
          </w:p>
        </w:tc>
      </w:tr>
      <w:tr>
        <w:tc>
          <w:tcPr/>
          <w:p>
            <w:pPr>
              <w:pStyle w:val="Compact"/>
            </w:pPr>
            <w:r>
              <w:rPr>
                <w:b/>
                <w:bCs/>
              </w:rPr>
              <w:t xml:space="preserve">Tier 4: Moderation Analyses</w:t>
            </w:r>
          </w:p>
        </w:tc>
        <w:tc>
          <w:tcPr/>
          <w:p>
            <w:pPr>
              <w:pStyle w:val="Compact"/>
            </w:pPr>
            <w:r>
              <w:t xml:space="preserve">Moderation by child characteristics or context</w:t>
            </w:r>
          </w:p>
        </w:tc>
        <w:tc>
          <w:tcPr/>
          <w:p>
            <w:pPr>
              <w:pStyle w:val="Compact"/>
            </w:pPr>
            <w:r>
              <w:t xml:space="preserve">Age, Gender, SES, Home vs School</w:t>
            </w:r>
          </w:p>
        </w:tc>
        <w:tc>
          <w:tcPr/>
          <w:p>
            <w:pPr>
              <w:pStyle w:val="Compact"/>
            </w:pPr>
            <w:r>
              <w:t xml:space="preserve">Tier 1 + Tier 2 + Tier 4</w:t>
            </w:r>
          </w:p>
        </w:tc>
      </w:tr>
      <w:tr>
        <w:tc>
          <w:tcPr/>
          <w:p>
            <w:pPr>
              <w:pStyle w:val="Compact"/>
            </w:pPr>
            <w:r>
              <w:rPr>
                <w:b/>
                <w:bCs/>
              </w:rPr>
              <w:t xml:space="preserve">Tier 5: Exploratory / Secondary</w:t>
            </w:r>
          </w:p>
        </w:tc>
        <w:tc>
          <w:tcPr/>
          <w:p>
            <w:pPr>
              <w:pStyle w:val="Compact"/>
            </w:pPr>
            <w:r>
              <w:t xml:space="preserve">Additional exploratory analyses, interactions, sensitivity tests</w:t>
            </w:r>
          </w:p>
        </w:tc>
        <w:tc>
          <w:tcPr/>
          <w:p>
            <w:pPr>
              <w:pStyle w:val="Compact"/>
            </w:pPr>
            <w:r>
              <w:t xml:space="preserve">3-way interactions, less theory-driven tests</w:t>
            </w:r>
          </w:p>
        </w:tc>
        <w:tc>
          <w:tcPr/>
          <w:p>
            <w:pPr>
              <w:pStyle w:val="Compact"/>
            </w:pPr>
            <w:r>
              <w:t xml:space="preserve">Tier 1 + Tier 2 + Tier 5</w:t>
            </w:r>
          </w:p>
        </w:tc>
      </w:tr>
    </w:tbl>
    <w:p>
      <w:pPr>
        <w:pStyle w:val="BodyText"/>
      </w:pPr>
      <w:r>
        <w:t xml:space="preserve">For each hypothesis test, we will compute FDR-adjusted q-values using the</w:t>
      </w:r>
      <w:r>
        <w:t xml:space="preserve"> </w:t>
      </w:r>
      <w:r>
        <w:t xml:space="preserve">Benjamini and Hochberg (1995)</w:t>
      </w:r>
      <w:r>
        <w:t xml:space="preserve">, adjusting for the cumulative number of comparisons.</w:t>
      </w:r>
      <w:r>
        <w:t xml:space="preserve"> </w:t>
      </w:r>
      <w:r>
        <w:t xml:space="preserve">This ensures that finer-grained or exploratory analyses are appropriately penalised for preceding layers of multiple testing.</w:t>
      </w:r>
      <w:r>
        <w:t xml:space="preserve"> </w:t>
      </w:r>
      <w:r>
        <w:t xml:space="preserve">We will report both the original p-values and the adjusted q-values.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6" w:name="references"/>
    <w:p>
      <w:pPr>
        <w:pStyle w:val="Heading1"/>
      </w:pPr>
      <w:r>
        <w:t xml:space="preserve">References</w:t>
      </w:r>
    </w:p>
    <w:bookmarkStart w:id="75" w:name="section"/>
    <w:p>
      <w:pPr>
        <w:pStyle w:val="Heading2"/>
      </w:pPr>
    </w:p>
    <w:p>
      <w:pPr>
        <w:pStyle w:val="FirstParagraph"/>
      </w:pPr>
    </w:p>
    <w:bookmarkStart w:id="74" w:name="refs"/>
    <w:bookmarkStart w:id="58" w:name="ref-bartik2024impact"/>
    <w:p>
      <w:pPr>
        <w:pStyle w:val="Bibliography"/>
      </w:pPr>
      <w:r>
        <w:t xml:space="preserve">Bartik, Alexander W, Elizabeth Rhodes, David E Broockman, Patrick K Krause, Sarah Miller, and Eva Vivalt. 2024.</w:t>
      </w:r>
      <w:r>
        <w:t xml:space="preserve"> </w:t>
      </w:r>
      <w:r>
        <w:t xml:space="preserve">“The Impact of Unconditional Cash Transfers on Consumption and Household Balance Sheets:</w:t>
      </w:r>
      <w:r>
        <w:t xml:space="preserve"> </w:t>
      </w:r>
      <w:r>
        <w:t xml:space="preserve">Experimental</w:t>
      </w:r>
      <w:r>
        <w:t xml:space="preserve"> </w:t>
      </w:r>
      <w:r>
        <w:t xml:space="preserve">Evidence from Two</w:t>
      </w:r>
      <w:r>
        <w:t xml:space="preserve"> </w:t>
      </w:r>
      <w:r>
        <w:t xml:space="preserve">US</w:t>
      </w:r>
      <w:r>
        <w:t xml:space="preserve"> </w:t>
      </w:r>
      <w:r>
        <w:t xml:space="preserve">States.”</w:t>
      </w:r>
      <w:r>
        <w:t xml:space="preserve"> </w:t>
      </w:r>
      <w:r>
        <w:t xml:space="preserve">National Bureau of Economic Research.</w:t>
      </w:r>
    </w:p>
    <w:bookmarkEnd w:id="58"/>
    <w:bookmarkStart w:id="59"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
          <w:iCs/>
        </w:rPr>
        <w:t xml:space="preserve">Journal of the Royal Statistical Society: Series B (Methodological)</w:t>
      </w:r>
      <w:r>
        <w:t xml:space="preserve"> </w:t>
      </w:r>
      <w:r>
        <w:t xml:space="preserve">57 (1): 289–300.</w:t>
      </w:r>
    </w:p>
    <w:bookmarkEnd w:id="59"/>
    <w:bookmarkStart w:id="61" w:name="ref-guessResharesSocialMedia2023"/>
    <w:p>
      <w:pPr>
        <w:pStyle w:val="Bibliography"/>
      </w:pPr>
      <w:r>
        <w:t xml:space="preserve">Guess, Andrew M., Neil Malhotra, Jennifer Pan, Pablo Barberá, Hunt Allcott, Taylor Brown, Adriana Crespo-Tenorio, et al. 2023.</w:t>
      </w:r>
      <w:r>
        <w:t xml:space="preserve"> </w:t>
      </w:r>
      <w:r>
        <w:t xml:space="preserve">“Reshares on Social Media Amplify Political News but Do Not Detectably Affect Beliefs or Opinions.”</w:t>
      </w:r>
      <w:r>
        <w:t xml:space="preserve"> </w:t>
      </w:r>
      <w:r>
        <w:rPr>
          <w:i/>
          <w:iCs/>
        </w:rPr>
        <w:t xml:space="preserve">Science</w:t>
      </w:r>
      <w:r>
        <w:t xml:space="preserve"> </w:t>
      </w:r>
      <w:r>
        <w:t xml:space="preserve">381 (6656): 404–8.</w:t>
      </w:r>
      <w:r>
        <w:t xml:space="preserve"> </w:t>
      </w:r>
      <w:hyperlink r:id="rId60">
        <w:r>
          <w:rPr>
            <w:rStyle w:val="Hyperlink"/>
          </w:rPr>
          <w:t xml:space="preserve">https://doi.org/10.1126/science.add8424</w:t>
        </w:r>
      </w:hyperlink>
      <w:r>
        <w:t xml:space="preserve">.</w:t>
      </w:r>
    </w:p>
    <w:bookmarkEnd w:id="61"/>
    <w:bookmarkStart w:id="63"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2">
        <w:r>
          <w:rPr>
            <w:rStyle w:val="Hyperlink"/>
          </w:rPr>
          <w:t xml:space="preserve">https://doi.org/10.1186/1471-2458-15-5</w:t>
        </w:r>
      </w:hyperlink>
      <w:r>
        <w:t xml:space="preserve">.</w:t>
      </w:r>
    </w:p>
    <w:bookmarkEnd w:id="63"/>
    <w:bookmarkStart w:id="65"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4">
        <w:r>
          <w:rPr>
            <w:rStyle w:val="Hyperlink"/>
          </w:rPr>
          <w:t xml:space="preserve">https://doi.org/10.1016/j.jesp.2013.03.013</w:t>
        </w:r>
      </w:hyperlink>
      <w:r>
        <w:t xml:space="preserve">.</w:t>
      </w:r>
    </w:p>
    <w:bookmarkEnd w:id="65"/>
    <w:bookmarkStart w:id="67"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6">
        <w:r>
          <w:rPr>
            <w:rStyle w:val="Hyperlink"/>
          </w:rPr>
          <w:t xml:space="preserve">https://doi.org/10.1007/s10654-021-00733-9</w:t>
        </w:r>
      </w:hyperlink>
      <w:r>
        <w:t xml:space="preserve">.</w:t>
      </w:r>
    </w:p>
    <w:bookmarkEnd w:id="67"/>
    <w:bookmarkStart w:id="69"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8">
        <w:r>
          <w:rPr>
            <w:rStyle w:val="Hyperlink"/>
          </w:rPr>
          <w:t xml:space="preserve">https://doi.org/10.1186/1479-5868-3-10</w:t>
        </w:r>
      </w:hyperlink>
      <w:r>
        <w:t xml:space="preserve">.</w:t>
      </w:r>
    </w:p>
    <w:bookmarkEnd w:id="69"/>
    <w:bookmarkStart w:id="71"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70">
        <w:r>
          <w:rPr>
            <w:rStyle w:val="Hyperlink"/>
          </w:rPr>
          <w:t xml:space="preserve">https://doi.org/10.1038/s41562-023-01712-8</w:t>
        </w:r>
      </w:hyperlink>
      <w:r>
        <w:t xml:space="preserve">.</w:t>
      </w:r>
    </w:p>
    <w:bookmarkEnd w:id="71"/>
    <w:bookmarkStart w:id="73"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2">
        <w:r>
          <w:rPr>
            <w:rStyle w:val="Hyperlink"/>
          </w:rPr>
          <w:t xml:space="preserve">https://doi.org/10.1111/j.1746-1561.2004.tb06632.x</w:t>
        </w:r>
      </w:hyperlink>
      <w:r>
        <w:t xml:space="preserve">.</w:t>
      </w:r>
    </w:p>
    <w:bookmarkEnd w:id="73"/>
    <w:bookmarkEnd w:id="74"/>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aren Sanders" w:date="2025-03-20T09:17:22Z">
    <w:p>
      <w:pPr>
        <w:pStyle w:val="CommentText"/>
      </w:pPr>
      <w:r>
        <w:rPr>
          <w:rStyle w:val="CommentReference"/>
        </w:rPr>
        <w:annotationRef/>
      </w:r>
      <w:r>
        <w:t xml:space="preserve">Note: this is a dropdown</w:t>
      </w:r>
    </w:p>
  </w:comment>
  <w:comment w:id="1" w:author="Taren Sanders" w:date="2025-03-20T09:17:22Z">
    <w:p>
      <w:pPr>
        <w:pStyle w:val="CommentText"/>
      </w:pPr>
      <w:r>
        <w:rPr>
          <w:rStyle w:val="CommentReference"/>
        </w:rPr>
        <w:annotationRef/>
      </w:r>
      <w:r>
        <w:t xml:space="preserve">Note: This is a dropdown</w:t>
      </w:r>
    </w:p>
  </w:comment>
  <w:comment w:id="2" w:author="Taren Sanders" w:date="2025-03-20T09:17:22Z">
    <w:p>
      <w:pPr>
        <w:pStyle w:val="CommentText"/>
      </w:pPr>
      <w:r>
        <w:rPr>
          <w:rStyle w:val="CommentReference"/>
        </w:rPr>
        <w:annotationRef/>
      </w:r>
      <w:r>
        <w:t xml:space="preserve">This is probably too broad. Do we want to a priori pick outcomes for these?</w:t>
      </w:r>
    </w:p>
  </w:comment>
  <w:comment w:id="3" w:author="Taren Sanders" w:date="2025-03-20T09:17:22Z">
    <w:p>
      <w:pPr>
        <w:pStyle w:val="CommentText"/>
      </w:pPr>
      <w:r>
        <w:rPr>
          <w:rStyle w:val="CommentReference"/>
        </w:rPr>
        <w:annotationRef/>
      </w:r>
      <w:r>
        <w:t xml:space="preserve">For team to consider: should we be including studies that use time use diaries? This would make harmonising more difficult, but lots of studies have used MARCA etc as their measure.</w:t>
      </w:r>
    </w:p>
  </w:comment>
  <w:comment w:id="4" w:author="Taren Sanders" w:date="2025-03-20T09:17:22Z">
    <w:p>
      <w:pPr>
        <w:pStyle w:val="CommentText"/>
      </w:pPr>
      <w:r>
        <w:rPr>
          <w:rStyle w:val="CommentReference"/>
        </w:rPr>
        <w:annotationRef/>
      </w:r>
      <w:r>
        <w:t xml:space="preserve">Outcomes are the part of this I am most concerned about. We need to balance the extent to which we can meaningfully combine measures, with the extent to which we can reasonably expect to find datasets. E.g., if we limit</w:t>
      </w:r>
      <w:r>
        <w:t xml:space="preserve"> </w:t>
      </w:r>
      <w:r>
        <w:t xml:space="preserve">‘beahviour’</w:t>
      </w:r>
      <w:r>
        <w:t xml:space="preserve"> </w:t>
      </w:r>
      <w:r>
        <w:t xml:space="preserve">to the SDQ, we may not find enough datasets. But if we include all measures of behaviour, we may not be able to meaningfully combine them. Thoughts on how we address this are welcome.</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2025-03-20T09:17:23Z</dcterms:created>
  <dcterms:modified xsi:type="dcterms:W3CDTF">2025-03-20T09:17:23Z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