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Body Image Trajectories and Parenting — Working Notes</w:t>
      </w:r>
    </w:p>
    <w:p>
      <w:pPr>
        <w:pStyle w:val="Subtitle"/>
      </w:pPr>
      <w:r>
        <w:t xml:space="preserve">Analysis notes</w:t>
      </w:r>
    </w:p>
    <w:p>
      <w:pPr>
        <w:pStyle w:val="Author"/>
      </w:pPr>
      <w:r>
        <w:t xml:space="preserve">Taren Sanders</w:t>
      </w:r>
    </w:p>
    <w:p>
      <w:pPr>
        <w:pStyle w:val="Date"/>
      </w:pPr>
      <w:r>
        <w:t xml:space="preserve">2026-07-23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sample-overview"/>
    <w:p>
      <w:pPr>
        <w:pStyle w:val="Heading1"/>
      </w:pPr>
      <w:r>
        <w:t xml:space="preserve">1. Sample overview</w:t>
      </w:r>
    </w:p>
    <w:p>
      <w:pPr>
        <w:pStyle w:val="FirstParagraph"/>
      </w:pPr>
      <w:r>
        <w:t xml:space="preserve">The analysis dataset contains 23,686 observations</w:t>
      </w:r>
      <w:r>
        <w:t xml:space="preserve"> </w:t>
      </w:r>
      <w:r>
        <w:t xml:space="preserve">from 8,660 children across the B and K</w:t>
      </w:r>
      <w:r>
        <w:t xml:space="preserve"> </w:t>
      </w:r>
      <w:r>
        <w:t xml:space="preserve">cohorts, measured at ages 8, 10, 12.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Two cohorts (B and K) are pooled on a common</w:t>
            </w:r>
            <w:r>
              <w:t xml:space="preserve"> </w:t>
            </w:r>
            <w:r>
              <w:rPr>
                <w:b/>
                <w:bCs/>
              </w:rPr>
              <w:t xml:space="preserve">age</w:t>
            </w:r>
            <w:r>
              <w:t xml:space="preserve"> </w:t>
            </w:r>
            <w:r>
              <w:t xml:space="preserve">axis (8/10/12).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Cell sizes are large at every age, so age-stratified estimates are stable.</w:t>
            </w:r>
          </w:p>
          <w:p/>
        </w:tc>
      </w:tr>
    </w:tbl>
    <w:bookmarkEnd w:id="12"/>
    <w:bookmarkStart w:id="25" w:name="descriptive-statistics"/>
    <w:p>
      <w:pPr>
        <w:pStyle w:val="Heading1"/>
      </w:pPr>
      <w:r>
        <w:t xml:space="preserve">2. Descriptive statistics</w:t>
      </w:r>
    </w:p>
    <w:bookmarkStart w:id="16" w:name="by-cohort-within-age-group"/>
    <w:p>
      <w:pPr>
        <w:pStyle w:val="Heading2"/>
      </w:pPr>
      <w:r>
        <w:t xml:space="preserve">2.1 By cohort within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by-cohort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Descriptive statistics by cohort within age group.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09"/>
              <w:gridCol w:w="768"/>
              <w:gridCol w:w="768"/>
              <w:gridCol w:w="768"/>
              <w:gridCol w:w="768"/>
              <w:gridCol w:w="768"/>
              <w:gridCol w:w="76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1989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2120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1835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2037 (48.9)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1647 (48.7)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1936 (48.9)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8.39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8.26 (0.44)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10.42 (0.49)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12.48 (0.51)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12.41 (0.49)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17.58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18.85 (3.55)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18.98 (3.87)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20.40 (3.80)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20.49 (3.88)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 (1.00)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(1.02)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96 (2.4)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337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152 (4.2)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179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 (3.1)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151 (3.9)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(29.6)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1111 (26.2)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800 (22.3)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999 (24.5)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669 (21.0)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932 (24.3)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1836 (45.9)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2034 (47.9)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1811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1476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1751 (45.6)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493 (12.3)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577 (13.6)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694 (19.4)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784 (19.2)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779 (24.4)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844 (22.0)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51 (1.2)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145 (3.8)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260 (6.5)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295 (7.0)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 (0.6)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654 (16.4)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569 (13.4)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249 (6.9)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308 (7.5)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149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236 (6.1)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1538 (38.5)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1470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1214 (33.9)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(35.7)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971 (30.4)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1315 (34.2)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1386 (34.7)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1678 (39.6)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1886 (52.6)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2079 (50.8)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1803 (56.5)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2059 (53.6)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143 (3.6)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216 (5.1)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171 (4.8)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165 (4.0)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231 (7.2)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 (5.1)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 (0.88)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 (8.6)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547 (12.9)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243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 (7.6)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205 (6.4)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275 (7.2)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1977 (49.5)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1905 (44.9)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2226 (54.5)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1779 (55.8)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2153 (56.1)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1674 (41.9)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1788 (42.2)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1319 (36.9)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1549 (37.9)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1412 (36.8)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2016 (50.5)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2335 (55.1)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1562 (43.7)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1858 (45.5)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1410 (44.2)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1687 (43.9)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4.35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4.27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4.44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4.33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4.36 (0.57)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4.28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4.22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2.12 (0.67)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2.15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4.05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4.03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3.98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3.93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3.82 (0.69)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3.79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2.08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(0.65)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 and K cohorts look very similar at matched ages.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Suggests that it is reasonable to pool the cohorts for the main analysis.</w:t>
            </w:r>
          </w:p>
          <w:p/>
        </w:tc>
      </w:tr>
    </w:tbl>
    <w:bookmarkEnd w:id="16"/>
    <w:bookmarkStart w:id="20" w:name="by-age-group"/>
    <w:p>
      <w:pPr>
        <w:pStyle w:val="Heading2"/>
      </w:pPr>
      <w:r>
        <w:t xml:space="preserve">2.2 By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by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Descriptive statistics by age group (cohorts pooled).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668"/>
              <w:gridCol w:w="1083"/>
              <w:gridCol w:w="1083"/>
              <w:gridCol w:w="108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8416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7933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7337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= Female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4109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3872 (48.8)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3583 (48.8)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8.33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12.44 (0.50)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17.60 (2.84)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18.92 (3.73)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20.45 (3.85)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 (1.02)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 (1.01)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213 (2.6)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52 (0.7)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679 (8.2)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331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251 (3.6)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2293 (27.8)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1799 (23.5)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1601 (22.8)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3870 (46.9)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3779 (49.3)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3227 (45.9)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1070 (13.0)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1478 (19.3)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1623 (23.1)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 (2.6)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281 (4.0)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(0.4)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555 (6.7)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117 (1.5)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44 (0.6)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1223 (14.8)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557 (7.3)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385 (5.5)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3008 (36.5)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2674 (34.9)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2286 (32.5)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3064 (37.2)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3965 (51.7)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3862 (54.9)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359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336 (4.4)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427 (6.1)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 (1.04)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0.40 (0.82)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889 (10.8)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552 (7.2)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480 (6.8)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3882 (47.2)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4242 (55.4)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3932 (55.9)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3462 (42.1)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2868 (37.4)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2617 (37.2)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4351 (52.8)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3420 (44.6)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3097 (44.1)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4.18 (0.63)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3.95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3.80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4.19 (0.62)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2.14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4.04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3.96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3.81 (0.70)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2.16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2.13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2.11 (0.65)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All the means look about what you would expect, and the standard deviations are reasonable.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direction-agnostic dissatisfaction indicator (</w:t>
            </w:r>
            <w:r>
              <w:t xml:space="preserve">“Any Direction”</w:t>
            </w:r>
            <w:r>
              <w:t xml:space="preserve">) shows just under half of children pick an ideal different from their current figure at every age.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dissatisfaction also looks broadly like you would expect: most children either pick an ideal the same as their current, or a smaller one, with a smaller share picking a larger ideal.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Body dissatisfaction actually seems to fall slightly with age, counter to what I would have expected (might need to check if this has anything to do with non-response bias?)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BMI rises with age as expected, but the z-score is consistent.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Parental warmth drifts down (but barely) and parental anger is broadly flat across age.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Parent 1 is clearly the mother in most cases, and parent 2 is the father in most cases, given the match of means.</w:t>
            </w:r>
          </w:p>
          <w:p/>
        </w:tc>
      </w:tr>
    </w:tbl>
    <w:bookmarkEnd w:id="20"/>
    <w:bookmarkStart w:id="24" w:name="by-sex-within-age-group"/>
    <w:p>
      <w:pPr>
        <w:pStyle w:val="Heading2"/>
      </w:pPr>
      <w:r>
        <w:t xml:space="preserve">2.3 By sex within age group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by-sex-a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Descriptive statistics by sex within age group (cohorts pooled).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61"/>
              <w:gridCol w:w="757"/>
              <w:gridCol w:w="757"/>
              <w:gridCol w:w="757"/>
              <w:gridCol w:w="815"/>
              <w:gridCol w:w="757"/>
              <w:gridCol w:w="81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Male:Age 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Female:Age 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4307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3583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8.32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8.33 (0.47)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10.37 (0.48)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12.44 (0.50)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12.45 (0.50)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 (0.98)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 (0.97)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 (1.00)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17.59 (2.86)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17.62 (2.81)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18.90 (3.57)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18.94 (3.89)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20.19 (3.88)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20.72 (3.79)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 (0.99)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0.36 (0.96)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(1.03)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(0.95)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(Current)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137 (3.3)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 (1.9)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 (0.8)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 (0.6)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340 (8.1)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339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 (3.9)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 (4.7)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133 (3.7)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 (3.4)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1375 (32.6)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918 (22.8)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1059 (27.1)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740 (19.7)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955 (26.6)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646 (18.8)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1843 (43.7)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2027 (50.3)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1807 (46.2)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1972 (52.5)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1552 (43.3)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1675 (48.6)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462 (11.0)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608 (15.1)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736 (18.8)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742 (19.8)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765 (21.3)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858 (24.9)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48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46 (1.1)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109 (2.8)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88 (2.3)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154 (4.3)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127 (3.7)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 (0.3)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Image (Ideal)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300 (7.1)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255 (6.3)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67 (1.7)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(1.3)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(0.5)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(0.8)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611 (14.5)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612 (15.2)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266 (6.8)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291 (7.8)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185 (5.2)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 (5.8)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1646 (39.1)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1362 (33.8)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1469 (37.5)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1205 (32.1)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1182 (33.0)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1104 (32.0)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1422 (33.8)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1642 (40.8)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1889 (48.2)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2076 (55.3)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1878 (52.4)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1984 (57.6)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209 (5.0)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 (3.7)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211 (5.4)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125 (3.3)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302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125 (3.6)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 (0.4)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(0.2)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Picture 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(0.0)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 (0.1)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(0.2)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(0.0)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(Perceived - Ideal)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0.39 (1.06)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 (1.01)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 (0.89)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0.43 (0.80)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0.31 (0.82)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 (0.81)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Thinner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555 (13.2)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334 (8.3)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330 (8.4)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222 (5.9)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321 (9.0)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159 (4.6)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 (46.5)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1924 (47.8)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2172 (55.5)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2070 (55.2)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2112 (58.9)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1820 (52.8)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Larger than ideal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1694 (40.3)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1768 (43.9)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1408 (36.0)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1460 (38.9)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1151 (32.1)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1466 (42.6)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Dissatisfaction (Any Direction) = Dissatisfied (%)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2249 (53.5)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2102 (52.2)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1738 (44.5)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1682 (44.8)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1472 (41.1)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1625 (47.2)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4.37 (0.55)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4.39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4.30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4.16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1)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4.01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3.92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3.99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(Parent 2)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2.23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2.10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2.05 (0.64)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4.38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4.39 (0.54)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4.31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4.32 (0.58)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4.17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4.21 (0.63)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(Mother)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2.20 (0.66)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2.09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2.20 (0.68)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4.00 (0.64)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4.08 (0.62)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3.92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4.00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3.78 (0.71)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3.83 (0.69)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 (Father) (mean (SD))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2.22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2.10 (0.59)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2.19 (0.63)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2.07 (0.61)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2.17 (0.65)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2.06 (0.63)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decline in dissatisfaction with age noted above is mostly a boys’ pattern: any-direction dissatisfaction falls steadily for boys (53.5% → 44.5% → 41.1%), while for girls it drops from 8 to 10 (52.2% → 44.8%) and then rises again at 12 (47.2%).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rebound for girls at 12 is driven by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(38.9% → 42.6%), whereas for boys</w:t>
            </w:r>
            <w:r>
              <w:t xml:space="preserve"> </w:t>
            </w:r>
            <w:r>
              <w:t xml:space="preserve">“larger than ideal”</w:t>
            </w:r>
            <w:r>
              <w:t xml:space="preserve"> </w:t>
            </w:r>
            <w:r>
              <w:t xml:space="preserve">keeps falling (40.3% → 36.0% → 32.1%) — plausibly early-puberty timing for girls.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“Thinner than ideal”</w:t>
            </w:r>
            <w:r>
              <w:t xml:space="preserve"> </w:t>
            </w:r>
            <w:r>
              <w:t xml:space="preserve">declines with age in both sexes but is roughly twice as common in boys at every age.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Together this suggests both the level (at older ages) and especially the direction of dissatisfaction are sex-related, so models should be sex-stratified.</w:t>
            </w:r>
          </w:p>
          <w:p/>
        </w:tc>
      </w:tr>
    </w:tbl>
    <w:bookmarkEnd w:id="24"/>
    <w:bookmarkEnd w:id="25"/>
    <w:bookmarkStart w:id="31" w:name="preliminary-plots"/>
    <w:p>
      <w:pPr>
        <w:pStyle w:val="Heading1"/>
      </w:pPr>
      <w:r>
        <w:t xml:space="preserve">3. Preliminary plots</w:t>
      </w:r>
    </w:p>
    <w:p>
      <w:pPr>
        <w:pStyle w:val="CaptionedFigure"/>
      </w:pPr>
      <w:r>
        <w:drawing>
          <wp:inline>
            <wp:extent cx="5334000" cy="3048000"/>
            <wp:effectExtent b="0" l="0" r="0" t="0"/>
            <wp:docPr descr="Body dissatisfaction category proportions by age and cohort." title="" id="27" name="Picture"/>
            <a:graphic>
              <a:graphicData uri="http://schemas.openxmlformats.org/drawingml/2006/picture">
                <pic:pic>
                  <pic:nvPicPr>
                    <pic:cNvPr descr="report_files/figure-docx/plot-body-dissa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Body dissatisfaction category proportions by age and cohort.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“Larger than ideal”</w:t>
            </w:r>
            <w:r>
              <w:t xml:space="preserve"> </w:t>
            </w:r>
            <w:r>
              <w:t xml:space="preserve">is the dominant form of dissatisfaction at every 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pattern is consistent across the B and K cohorts at matched ages.</w:t>
            </w:r>
          </w:p>
          <w:p/>
        </w:tc>
      </w:tr>
    </w:tbl>
    <w:bookmarkEnd w:id="31"/>
    <w:bookmarkStart w:id="36" w:name="analysis-sample"/>
    <w:p>
      <w:pPr>
        <w:pStyle w:val="Heading1"/>
      </w:pPr>
      <w:r>
        <w:t xml:space="preserve">4. Analysis sample</w:t>
      </w:r>
    </w:p>
    <w:p>
      <w:pPr>
        <w:pStyle w:val="FirstParagraph"/>
      </w:pPr>
      <w:r>
        <w:t xml:space="preserve">The trajectory analyses use children with a CBIS body dissatisfaction score at</w:t>
      </w:r>
      <w:r>
        <w:t xml:space="preserve"> </w:t>
      </w:r>
      <w:r>
        <w:t xml:space="preserve">two or more of the three ages (N = 7,843).</w:t>
      </w:r>
      <w:r>
        <w:t xml:space="preserve"> </w:t>
      </w:r>
      <w:r>
        <w:t xml:space="preserve">The primary class-membership regressions additionally require complete baseline</w:t>
      </w:r>
      <w:r>
        <w:t xml:space="preserve"> </w:t>
      </w:r>
      <w:r>
        <w:t xml:space="preserve">(age 8) covariates — sex, SES, BMI z-score, and Parent 1 warmth and anger</w:t>
      </w:r>
      <w:r>
        <w:t xml:space="preserve"> </w:t>
      </w:r>
      <w:r>
        <w:t xml:space="preserve">(N = 7,090). A sensitivity model adding</w:t>
      </w:r>
      <w:r>
        <w:t xml:space="preserve"> </w:t>
      </w:r>
      <w:r>
        <w:t xml:space="preserve">Parent 2 warmth and anger uses the subset with second-carer data</w:t>
      </w:r>
      <w:r>
        <w:t xml:space="preserve"> </w:t>
      </w:r>
      <w:r>
        <w:t xml:space="preserve">(N = 4,780).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ample-flo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Sample flow from the cleaned data to the analysis samples.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17"/>
              <w:gridCol w:w="1001"/>
              <w:gridCol w:w="100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children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of 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Children in cleaned data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8660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1 wave with a CBIS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2 waves with a CBIS score (trajectory sample)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7843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All 3 waves with a CBIS 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6509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75.2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Complete baseline covariates, Parent 1 model (regression sample)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81.9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Complete baseline covariates incl. Parent 2 (sensitivity sample)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55.2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baseline-missing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Baseline (age 8) covariate missingness in the trajectory sample.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missing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missing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 z-score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warmth, Parent 1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warmth, Parent 2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anger, Parent 1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anger, Parent 2 (z)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38.0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Attrition on the outcome is modest: 91% of children contribute at least two</w:t>
            </w:r>
            <w:r>
              <w:t xml:space="preserve"> </w:t>
            </w:r>
            <w:r>
              <w:t xml:space="preserve">CBIS waves, and 75% contribute all three, so the trajectory sample retains</w:t>
            </w:r>
            <w:r>
              <w:t xml:space="preserve"> </w:t>
            </w:r>
            <w:r>
              <w:t xml:space="preserve">most of the cohort.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Parent 2 warmth/anger are missing for ~38% of the trajectory sample —</w:t>
            </w:r>
            <w:r>
              <w:t xml:space="preserve"> </w:t>
            </w:r>
            <w:r>
              <w:t xml:space="preserve">largely single-parent households or no second-carer questionnaire — while</w:t>
            </w:r>
            <w:r>
              <w:t xml:space="preserve"> </w:t>
            </w:r>
            <w:r>
              <w:t xml:space="preserve">every other covariate is missing for under 9%. Requiring Parent 2 scores</w:t>
            </w:r>
            <w:r>
              <w:t xml:space="preserve"> </w:t>
            </w:r>
            <w:r>
              <w:t xml:space="preserve">would cost ~2,300 children.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Decision (2026-07-23):</w:t>
            </w:r>
            <w:r>
              <w:t xml:space="preserve"> </w:t>
            </w:r>
            <w:r>
              <w:t xml:space="preserve">the primary regressions therefore use Parent 1</w:t>
            </w:r>
            <w:r>
              <w:t xml:space="preserve"> </w:t>
            </w:r>
            <w:r>
              <w:t xml:space="preserve">parenting only, keeping the larger sample; the both-parent model (all four</w:t>
            </w:r>
            <w:r>
              <w:t xml:space="preserve"> </w:t>
            </w:r>
            <w:r>
              <w:t xml:space="preserve">parenting variables jointly, as in the original proposal) becomes a</w:t>
            </w:r>
            <w:r>
              <w:t xml:space="preserve"> </w:t>
            </w:r>
            <w:r>
              <w:t xml:space="preserve">sensitivity analysis on the subset with second-carer data. Note the</w:t>
            </w:r>
            <w:r>
              <w:t xml:space="preserve"> </w:t>
            </w:r>
            <w:r>
              <w:t xml:space="preserve">sensitivity subset is also selectively two-parent households, so any</w:t>
            </w:r>
            <w:r>
              <w:t xml:space="preserve"> </w:t>
            </w:r>
            <w:r>
              <w:t xml:space="preserve">differences may reflect the sample as much as mutual adjustment.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129 children</w:t>
            </w:r>
            <w:r>
              <w:t xml:space="preserve"> </w:t>
            </w:r>
            <w:r>
              <w:t xml:space="preserve">“missing”</w:t>
            </w:r>
            <w:r>
              <w:t xml:space="preserve"> </w:t>
            </w:r>
            <w:r>
              <w:t xml:space="preserve">sex are those with no age-8 record at all (their</w:t>
            </w:r>
            <w:r>
              <w:t xml:space="preserve"> </w:t>
            </w:r>
            <w:r>
              <w:t xml:space="preserve">baselines are taken from the age-8 wave); they are excluded from the</w:t>
            </w:r>
            <w:r>
              <w:t xml:space="preserve"> </w:t>
            </w:r>
            <w:r>
              <w:t xml:space="preserve">regressions anyway by their other missing baselines.</w:t>
            </w:r>
          </w:p>
          <w:p/>
        </w:tc>
      </w:tr>
    </w:tbl>
    <w:bookmarkEnd w:id="36"/>
    <w:bookmarkStart w:id="37" w:name="results"/>
    <w:p>
      <w:pPr>
        <w:pStyle w:val="Heading1"/>
      </w:pPr>
      <w:r>
        <w:t xml:space="preserve">5. Results</w:t>
      </w:r>
    </w:p>
    <w:p>
      <w:pPr>
        <w:pStyle w:val="FirstParagraph"/>
      </w:pPr>
      <w:r>
        <w:rPr>
          <w:i/>
          <w:iCs/>
        </w:rPr>
        <w:t xml:space="preserve">Placeholder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Body Image Trajectories and Parenting — Working Notes</dc:title>
  <dc:creator>Taren Sanders</dc:creator>
  <cp:keywords/>
  <dcterms:created xsi:type="dcterms:W3CDTF">2026-07-23T04:45:29Z</dcterms:created>
  <dcterms:modified xsi:type="dcterms:W3CDTF">2026-07-23T04:45:29Z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2026-07-23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Analysis notes</vt:lpwstr>
  </property>
  <property fmtid="{D5CDD505-2E9C-101B-9397-08002B2CF9AE}" pid="13" name="toc-title">
    <vt:lpwstr>Table of contents</vt:lpwstr>
  </property>
</Properties>
</file>