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.png" ContentType="image/png"/>
  <Override PartName="/word/media/rId26.png" ContentType="image/png"/>
  <Override PartName="/word/media/rId54.png" ContentType="image/png"/>
  <Override PartName="/word/media/rId4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Body Image Trajectories and Parenting — Working Notes</w:t>
      </w:r>
    </w:p>
    <w:p>
      <w:pPr>
        <w:pStyle w:val="Subtitle"/>
      </w:pPr>
      <w:r>
        <w:t xml:space="preserve">Analysis notes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2026-07-23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sample-overview"/>
    <w:p>
      <w:pPr>
        <w:pStyle w:val="Heading1"/>
      </w:pPr>
      <w:r>
        <w:t xml:space="preserve">1. Sample overview</w:t>
      </w:r>
    </w:p>
    <w:p>
      <w:pPr>
        <w:pStyle w:val="FirstParagraph"/>
      </w:pPr>
      <w:r>
        <w:t xml:space="preserve">The analysis dataset contains 23,686 observations</w:t>
      </w:r>
      <w:r>
        <w:t xml:space="preserve"> </w:t>
      </w:r>
      <w:r>
        <w:t xml:space="preserve">from 8,660 children across the B and K</w:t>
      </w:r>
      <w:r>
        <w:t xml:space="preserve"> </w:t>
      </w:r>
      <w:r>
        <w:t xml:space="preserve">cohorts, measured at ages 8, 10, 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Two cohorts (B and K) are pooled on a common</w:t>
            </w:r>
            <w:r>
              <w:t xml:space="preserve"> </w:t>
            </w:r>
            <w:r>
              <w:rPr>
                <w:b/>
                <w:bCs/>
              </w:rPr>
              <w:t xml:space="preserve">age</w:t>
            </w:r>
            <w:r>
              <w:t xml:space="preserve"> </w:t>
            </w:r>
            <w:r>
              <w:t xml:space="preserve">axis (8/10/12).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Cell sizes are large at every age, so age-stratified estimates are stable.</w:t>
            </w:r>
          </w:p>
          <w:p/>
        </w:tc>
      </w:tr>
    </w:tbl>
    <w:bookmarkEnd w:id="12"/>
    <w:bookmarkStart w:id="25" w:name="descriptive-statistics"/>
    <w:p>
      <w:pPr>
        <w:pStyle w:val="Heading1"/>
      </w:pPr>
      <w:r>
        <w:t xml:space="preserve">2. Descriptive statistics</w:t>
      </w:r>
    </w:p>
    <w:bookmarkStart w:id="16" w:name="by-cohort-within-age-group"/>
    <w:p>
      <w:pPr>
        <w:pStyle w:val="Heading2"/>
      </w:pPr>
      <w:r>
        <w:t xml:space="preserve">2.1 By cohort within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by-cohort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Descriptive statistics by cohort within age group.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9"/>
              <w:gridCol w:w="768"/>
              <w:gridCol w:w="768"/>
              <w:gridCol w:w="768"/>
              <w:gridCol w:w="768"/>
              <w:gridCol w:w="768"/>
              <w:gridCol w:w="7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1989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2120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1835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2037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1647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1936 (48.9)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8.39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8.26 (0.44)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12.41 (0.49)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17.58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18.85 (3.55)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18.98 (3.87)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20.40 (3.80)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20.49 (3.88)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96 (2.4)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337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152 (4.2)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 (3.1)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151 (3.9)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(29.6)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1111 (26.2)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 (22.3)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999 (24.5)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669 (21.0)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932 (24.3)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1836 (45.9)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2034 (47.9)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1811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1476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1751 (45.6)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493 (12.3)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577 (13.6)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694 (19.4)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784 (19.2)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779 (24.4)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844 (22.0)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 (1.2)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 (3.8)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260 (6.5)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 (7.0)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654 (16.4)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569 (13.4)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249 (6.9)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 (7.5)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236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1538 (38.5)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1470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1214 (33.9)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(35.7)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971 (30.4)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1315 (34.2)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1386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1678 (39.6)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1886 (52.6)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2079 (50.8)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1803 (56.5)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2059 (53.6)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143 (3.6)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 (5.1)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 (4.8)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165 (4.0)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231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 (5.1)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 (0.88)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 (12.9)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243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 (7.6)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 (6.4)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275 (7.2)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1977 (49.5)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1905 (44.9)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2226 (54.5)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1779 (55.8)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2153 (56.1)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1674 (41.9)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1788 (42.2)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1319 (36.9)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1549 (37.9)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1412 (36.8)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2335 (55.1)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1562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1858 (45.5)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1410 (44.2)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1687 (43.9)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4.27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4.44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4.36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4.28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4.22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3.79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 and K cohorts look very similar at matched ages.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Suggests that it is reasonable to pool the cohorts for the main analysis.</w:t>
            </w:r>
          </w:p>
          <w:p/>
        </w:tc>
      </w:tr>
    </w:tbl>
    <w:bookmarkEnd w:id="16"/>
    <w:bookmarkStart w:id="20" w:name="by-age-group"/>
    <w:p>
      <w:pPr>
        <w:pStyle w:val="Heading2"/>
      </w:pPr>
      <w:r>
        <w:t xml:space="preserve">2.2 By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by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Descriptive statistics by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668"/>
              <w:gridCol w:w="1083"/>
              <w:gridCol w:w="1083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 (48.8)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17.60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18.92 (3.73)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20.45 (3.85)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 (1.01)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213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679 (8.2)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331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251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2293 (27.8)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1799 (23.5)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1601 (22.8)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3870 (46.9)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3779 (49.3)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3227 (45.9)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1070 (13.0)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1478 (19.3)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1623 (23.1)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281 (4.0)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(6.7)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(1.5)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44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1223 (14.8)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557 (7.3)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385 (5.5)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3008 (36.5)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2674 (34.9)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2286 (32.5)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3064 (37.2)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3965 (51.7)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3862 (54.9)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336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 (1.04)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889 (10.8)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552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480 (6.8)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3882 (47.2)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4242 (55.4)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3932 (55.9)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3462 (42.1)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2868 (37.4)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2617 (37.2)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4351 (52.8)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3420 (44.6)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3097 (44.1)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4.18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3.95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3.80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4.19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3.96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3.81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All the means look about what you would expect, and the standard deviations are reasonable.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direction-agnostic dissatisfaction indicator (</w:t>
            </w:r>
            <w:r>
              <w:t xml:space="preserve">“Any Direction”</w:t>
            </w:r>
            <w:r>
              <w:t xml:space="preserve">) shows just under half of children pick an ideal different from their current figure at every age.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dissatisfaction also looks broadly like you would expect: most children either pick an ideal the same as their current, or a smaller one, with a smaller share picking a larger ideal.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Body dissatisfaction actually seems to fall slightly with age, counter to what I would have expected (might need to check if this has anything to do with non-response bias?)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BMI rises with age as expected, but the z-score is consistent.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Parental warmth drifts down (but barely) and parental anger is broadly flat across age.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 1 is clearly the mother in most cases, and parent 2 is the father in most cases, given the match of means.</w:t>
            </w:r>
          </w:p>
          <w:p/>
        </w:tc>
      </w:tr>
    </w:tbl>
    <w:bookmarkEnd w:id="20"/>
    <w:bookmarkStart w:id="24" w:name="by-sex-within-age-group"/>
    <w:p>
      <w:pPr>
        <w:pStyle w:val="Heading2"/>
      </w:pPr>
      <w:r>
        <w:t xml:space="preserve">2.3 By sex within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by-sex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Descriptive statistics by sex within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57"/>
              <w:gridCol w:w="757"/>
              <w:gridCol w:w="757"/>
              <w:gridCol w:w="815"/>
              <w:gridCol w:w="757"/>
              <w:gridCol w:w="8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12.45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17.59 (2.86)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18.90 (3.57)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18.94 (3.89)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20.19 (3.88)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20.72 (3.79)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 (1.9)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 (0.8)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340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339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133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 (3.4)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1375 (32.6)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918 (22.8)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1059 (27.1)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740 (19.7)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955 (26.6)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646 (18.8)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1843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2027 (50.3)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1807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1972 (52.5)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1552 (43.3)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1675 (48.6)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462 (11.0)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608 (15.1)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736 (18.8)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742 (19.8)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765 (21.3)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858 (24.9)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 (3.7)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 (7.1)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255 (6.3)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(0.8)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611 (14.5)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612 (15.2)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266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291 (7.8)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 (5.2)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 (5.8)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1646 (39.1)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1469 (37.5)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(33.0)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1104 (32.0)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1642 (40.8)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1889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2076 (55.3)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1878 (52.4)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1984 (57.6)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209 (5.0)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 (5.4)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302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 (0.81)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(13.2)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334 (8.3)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330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 (5.9)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321 (9.0)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159 (4.6)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 (46.5)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1924 (47.8)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2172 (55.5)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2070 (55.2)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2112 (58.9)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1820 (52.8)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1694 (40.3)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1768 (43.9)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1408 (36.0)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1151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1466 (42.6)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2249 (53.5)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2102 (52.2)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1738 (44.5)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1682 (44.8)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1472 (41.1)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1625 (47.2)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4.37 (0.55)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4.30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4.01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3.99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2.23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2.05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2.06 (0.63)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decline in dissatisfaction with age noted above is mostly a boys’ pattern: any-direction dissatisfaction falls steadily for boys (53.5% → 44.5% → 41.1%), while for girls it drops from 8 to 10 (52.2% → 44.8%) and then rises again at 12 (47.2%).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rebound for girls at 12 is driven by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(38.9% → 42.6%), whereas for boys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keeps falling (40.3% → 36.0% → 32.1%) — plausibly early-puberty timing for girls.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“Thinner than ideal”</w:t>
            </w:r>
            <w:r>
              <w:t xml:space="preserve"> </w:t>
            </w:r>
            <w:r>
              <w:t xml:space="preserve">declines with age in both sexes but is roughly twice as common in boys at every age.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Together this suggests both the level (at older ages) and especially the direction of dissatisfaction are sex-related, so models should be sex-stratified.</w:t>
            </w:r>
          </w:p>
          <w:p/>
        </w:tc>
      </w:tr>
    </w:tbl>
    <w:bookmarkEnd w:id="24"/>
    <w:bookmarkEnd w:id="25"/>
    <w:bookmarkStart w:id="31" w:name="preliminary-plots"/>
    <w:p>
      <w:pPr>
        <w:pStyle w:val="Heading1"/>
      </w:pPr>
      <w:r>
        <w:t xml:space="preserve">3. Preliminary plots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Body dissatisfaction category proportions by age and cohort." title="" id="27" name="Picture"/>
            <a:graphic>
              <a:graphicData uri="http://schemas.openxmlformats.org/drawingml/2006/picture">
                <pic:pic>
                  <pic:nvPicPr>
                    <pic:cNvPr descr="report_files/figure-docx/plot-body-dissa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Body dissatisfaction category proportions by age and cohort.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“Larger than ideal”</w:t>
            </w:r>
            <w:r>
              <w:t xml:space="preserve"> </w:t>
            </w:r>
            <w:r>
              <w:t xml:space="preserve">is the dominant form of dissatisfaction at every 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pattern is consistent across the B and K cohorts at matched ages.</w:t>
            </w:r>
          </w:p>
          <w:p/>
        </w:tc>
      </w:tr>
    </w:tbl>
    <w:bookmarkEnd w:id="31"/>
    <w:bookmarkStart w:id="36" w:name="analysis-sample"/>
    <w:p>
      <w:pPr>
        <w:pStyle w:val="Heading1"/>
      </w:pPr>
      <w:r>
        <w:t xml:space="preserve">4. Analysis sample</w:t>
      </w:r>
    </w:p>
    <w:p>
      <w:pPr>
        <w:pStyle w:val="FirstParagraph"/>
      </w:pPr>
      <w:r>
        <w:t xml:space="preserve">The trajectory analyses use children with a CBIS body dissatisfaction score at</w:t>
      </w:r>
      <w:r>
        <w:t xml:space="preserve"> </w:t>
      </w:r>
      <w:r>
        <w:t xml:space="preserve">two or more of the three ages (N = 7,843).</w:t>
      </w:r>
      <w:r>
        <w:t xml:space="preserve"> </w:t>
      </w:r>
      <w:r>
        <w:t xml:space="preserve">The primary class-membership regressions additionally require complete baseline</w:t>
      </w:r>
      <w:r>
        <w:t xml:space="preserve"> </w:t>
      </w:r>
      <w:r>
        <w:t xml:space="preserve">(age 8) covariates — sex, SES, BMI z-score, and Parent 1 warmth and anger</w:t>
      </w:r>
      <w:r>
        <w:t xml:space="preserve"> </w:t>
      </w:r>
      <w:r>
        <w:t xml:space="preserve">(N = 7,090). A sensitivity model adding</w:t>
      </w:r>
      <w:r>
        <w:t xml:space="preserve"> </w:t>
      </w:r>
      <w:r>
        <w:t xml:space="preserve">Parent 2 warmth and anger uses the subset with second-carer data</w:t>
      </w:r>
      <w:r>
        <w:t xml:space="preserve"> </w:t>
      </w:r>
      <w:r>
        <w:t xml:space="preserve">(N = 4,780).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ample-flo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Sample flow from the cleaned data to the analysis samples.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17"/>
              <w:gridCol w:w="1001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children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Children in cleaned 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1 wave with a CBIS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2 waves with a CBIS score (trajectory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3 waves with a CBIS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baseline covariates, Parent 1 model (regression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baseline covariates incl. Parent 2 (sensitivity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55.2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aseline-missing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Baseline (age 8) covariate missingness in the trajectory sample.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missing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1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2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1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2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38.0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Attrition on the outcome is modest: 91% of children contribute at least two</w:t>
            </w:r>
            <w:r>
              <w:t xml:space="preserve"> </w:t>
            </w:r>
            <w:r>
              <w:t xml:space="preserve">CBIS waves, and 75% contribute all three, so the trajectory sample retains</w:t>
            </w:r>
            <w:r>
              <w:t xml:space="preserve"> </w:t>
            </w:r>
            <w:r>
              <w:t xml:space="preserve">most of the cohort.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Parent 2 warmth/anger are missing for ~38% of the trajectory sample —</w:t>
            </w:r>
            <w:r>
              <w:t xml:space="preserve"> </w:t>
            </w:r>
            <w:r>
              <w:t xml:space="preserve">largely single-parent households or no second-carer questionnaire — while</w:t>
            </w:r>
            <w:r>
              <w:t xml:space="preserve"> </w:t>
            </w:r>
            <w:r>
              <w:t xml:space="preserve">every other covariate is missing for under 9%. Requiring Parent 2 scores</w:t>
            </w:r>
            <w:r>
              <w:t xml:space="preserve"> </w:t>
            </w:r>
            <w:r>
              <w:t xml:space="preserve">would cost ~2,300 children.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Decision (2026-07-23):</w:t>
            </w:r>
            <w:r>
              <w:t xml:space="preserve"> </w:t>
            </w:r>
            <w:r>
              <w:t xml:space="preserve">the primary regressions therefore use Parent 1</w:t>
            </w:r>
            <w:r>
              <w:t xml:space="preserve"> </w:t>
            </w:r>
            <w:r>
              <w:t xml:space="preserve">parenting only, keeping the larger sample; the both-parent model (all four</w:t>
            </w:r>
            <w:r>
              <w:t xml:space="preserve"> </w:t>
            </w:r>
            <w:r>
              <w:t xml:space="preserve">parenting variables jointly, as in the original proposal) becomes a</w:t>
            </w:r>
            <w:r>
              <w:t xml:space="preserve"> </w:t>
            </w:r>
            <w:r>
              <w:t xml:space="preserve">sensitivity analysis on the subset with second-carer data. Note the</w:t>
            </w:r>
            <w:r>
              <w:t xml:space="preserve"> </w:t>
            </w:r>
            <w:r>
              <w:t xml:space="preserve">sensitivity subset is also selectively two-parent households, so any</w:t>
            </w:r>
            <w:r>
              <w:t xml:space="preserve"> </w:t>
            </w:r>
            <w:r>
              <w:t xml:space="preserve">differences may reflect the sample as much as mutual adjustment.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129 children</w:t>
            </w:r>
            <w:r>
              <w:t xml:space="preserve"> </w:t>
            </w:r>
            <w:r>
              <w:t xml:space="preserve">“missing”</w:t>
            </w:r>
            <w:r>
              <w:t xml:space="preserve"> </w:t>
            </w:r>
            <w:r>
              <w:t xml:space="preserve">sex are those with no age-8 record at all (their</w:t>
            </w:r>
            <w:r>
              <w:t xml:space="preserve"> </w:t>
            </w:r>
            <w:r>
              <w:t xml:space="preserve">baselines are taken from the age-8 wave); they are excluded from the</w:t>
            </w:r>
            <w:r>
              <w:t xml:space="preserve"> </w:t>
            </w:r>
            <w:r>
              <w:t xml:space="preserve">regressions anyway by their other missing baselines.</w:t>
            </w:r>
          </w:p>
          <w:p/>
        </w:tc>
      </w:tr>
    </w:tbl>
    <w:bookmarkEnd w:id="36"/>
    <w:bookmarkStart w:id="53" w:name="trajectory-class-enumeration"/>
    <w:p>
      <w:pPr>
        <w:pStyle w:val="Heading1"/>
      </w:pPr>
      <w:r>
        <w:t xml:space="preserve">5. Trajectory class enumeration</w:t>
      </w:r>
    </w:p>
    <w:p>
      <w:pPr>
        <w:pStyle w:val="FirstParagraph"/>
      </w:pPr>
      <w:r>
        <w:t xml:space="preserve">Latent class growth analyses (linear class trajectories, no within-class</w:t>
      </w:r>
      <w:r>
        <w:t xml:space="preserve"> </w:t>
      </w:r>
      <w:r>
        <w:t xml:space="preserve">random effects, equal residual variance across classes) were fit for K = 1–5</w:t>
      </w:r>
      <w:r>
        <w:t xml:space="preserve"> </w:t>
      </w:r>
      <w:r>
        <w:t xml:space="preserve">classes with</w:t>
      </w:r>
      <w:r>
        <w:t xml:space="preserve"> </w:t>
      </w:r>
      <w:r>
        <w:rPr>
          <w:rStyle w:val="VerbatimChar"/>
        </w:rPr>
        <w:t xml:space="preserve">lcmm::hlme()</w:t>
      </w:r>
      <w:r>
        <w:t xml:space="preserve">, each multi-class model from 50 random starts</w:t>
      </w:r>
      <w:r>
        <w:t xml:space="preserve"> </w:t>
      </w:r>
      <w:r>
        <w:t xml:space="preserve">(gridsearch initialised from the one-class model).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cga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Fit statistics for K = 1-5 latent class growth models of body dissatisfaction.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0"/>
              <w:gridCol w:w="833"/>
              <w:gridCol w:w="1250"/>
              <w:gridCol w:w="917"/>
              <w:gridCol w:w="500"/>
              <w:gridCol w:w="500"/>
              <w:gridCol w:w="500"/>
              <w:gridCol w:w="666"/>
              <w:gridCol w:w="25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Converged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Log-likelihood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SABIC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% (largest → smallest)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-29234.7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-27805.2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55622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55645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84.7 / 15.3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-27407.3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83.8 / 13.5 / 2.8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-27142.6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72.1 / 22.6 / 2.7 / 2.6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-26950.2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72.2 / 19.1 / 4.4 / 2.8 / 1.6</w:t>
                  </w:r>
                </w:p>
              </w:tc>
            </w:tr>
          </w:tbl>
          <w:bookmarkEnd w:id="37"/>
          <w:p/>
        </w:tc>
      </w:tr>
    </w:tbl>
    <w:p>
      <w:pPr>
        <w:pStyle w:val="CaptionedFigure"/>
      </w:pPr>
      <w:r>
        <w:drawing>
          <wp:inline>
            <wp:extent cx="5334000" cy="1866900"/>
            <wp:effectExtent b="0" l="0" r="0" t="0"/>
            <wp:docPr descr="Predicted class trajectories (95% bands) by number of classes. Dashed line: observed overall means." title="" id="39" name="Picture"/>
            <a:graphic>
              <a:graphicData uri="http://schemas.openxmlformats.org/drawingml/2006/picture">
                <pic:pic>
                  <pic:nvPicPr>
                    <pic:cNvPr descr="report_files/figure-docx/plot-lcga-trajectories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class trajectories (95% bands) by number of classes. Dashed line: observed overall means.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All five models converged. As anticipated at this sample size (N = 7,843),</w:t>
            </w:r>
            <w:r>
              <w:t xml:space="preserve"> </w:t>
            </w:r>
            <w:r>
              <w:t xml:space="preserve">AIC/BIC/SABIC fall monotonically through K = 5, so information criteria</w:t>
            </w:r>
            <w:r>
              <w:t xml:space="preserve"> </w:t>
            </w:r>
            <w:r>
              <w:t xml:space="preserve">alone cannot settle enumeration — entropy, class sizes, and</w:t>
            </w:r>
            <w:r>
              <w:t xml:space="preserve"> </w:t>
            </w:r>
            <w:r>
              <w:t xml:space="preserve">interpretability carry more weight.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Entropy peaks at K = 3 (0.85)</w:t>
            </w:r>
            <w:r>
              <w:t xml:space="preserve"> </w:t>
            </w:r>
            <w:r>
              <w:t xml:space="preserve">and drops to ~0.81 at K = 4–5. All values</w:t>
            </w:r>
            <w:r>
              <w:t xml:space="preserve"> </w:t>
            </w:r>
            <w:r>
              <w:t xml:space="preserve">from K = 3 up clear the ≥0.8 bar for the proportional-weighting three-step</w:t>
            </w:r>
            <w:r>
              <w:t xml:space="preserve"> </w:t>
            </w:r>
            <w:r>
              <w:t xml:space="preserve">approach (Step 4 decision point).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K = 3 solution is highly interpretable: a satisfied majority tracking</w:t>
            </w:r>
            <w:r>
              <w:t xml:space="preserve"> </w:t>
            </w:r>
            <w:r>
              <w:t xml:space="preserve">close to zero discrepancy (~84%), a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class starting high</w:t>
            </w:r>
            <w:r>
              <w:t xml:space="preserve"> </w:t>
            </w:r>
            <w:r>
              <w:t xml:space="preserve">and declining (~13.5%), and a small</w:t>
            </w:r>
            <w:r>
              <w:t xml:space="preserve"> </w:t>
            </w:r>
            <w:r>
              <w:t xml:space="preserve">“thinner than ideal”</w:t>
            </w:r>
            <w:r>
              <w:t xml:space="preserve"> </w:t>
            </w:r>
            <w:r>
              <w:t xml:space="preserve">class converging</w:t>
            </w:r>
            <w:r>
              <w:t xml:space="preserve"> </w:t>
            </w:r>
            <w:r>
              <w:t xml:space="preserve">toward zero (~2.8%, ≈ 220 children).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K = 4 splits the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group into a moderate-stable class</w:t>
            </w:r>
            <w:r>
              <w:t xml:space="preserve"> </w:t>
            </w:r>
            <w:r>
              <w:t xml:space="preserve">(~23%) and a small extreme-declining class (~2.7%), at the cost of lower</w:t>
            </w:r>
            <w:r>
              <w:t xml:space="preserve"> </w:t>
            </w:r>
            <w:r>
              <w:t xml:space="preserve">entropy; K = 5 adds a 1.6% class with a steep crossing trajectory that looks</w:t>
            </w:r>
            <w:r>
              <w:t xml:space="preserve"> </w:t>
            </w:r>
            <w:r>
              <w:t xml:space="preserve">like a fringe pattern rather than a substantive group.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Classes below the 5% flag appear from K = 3 onward, but the 2.8% class at</w:t>
            </w:r>
            <w:r>
              <w:t xml:space="preserve"> </w:t>
            </w:r>
            <w:r>
              <w:t xml:space="preserve">K = 3 maps directly onto the</w:t>
            </w:r>
            <w:r>
              <w:t xml:space="preserve"> </w:t>
            </w:r>
            <w:r>
              <w:t xml:space="preserve">“thinner than ideal”</w:t>
            </w:r>
            <w:r>
              <w:t xml:space="preserve"> </w:t>
            </w:r>
            <w:r>
              <w:t xml:space="preserve">group visible in the</w:t>
            </w:r>
            <w:r>
              <w:t xml:space="preserve"> </w:t>
            </w:r>
            <w:r>
              <w:t xml:space="preserve">descriptives, which argues for keeping 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Tentative recommendation: K = 3</w:t>
            </w:r>
            <w:r>
              <w:t xml:space="preserve"> </w:t>
            </w:r>
            <w:r>
              <w:t xml:space="preserve">(best entropy, cleanly interpretable,</w:t>
            </w:r>
            <w:r>
              <w:t xml:space="preserve"> </w:t>
            </w:r>
            <w:r>
              <w:t xml:space="preserve">classes matching the descriptive patterns), with K = 4 the main alternative</w:t>
            </w:r>
            <w:r>
              <w:t xml:space="preserve"> </w:t>
            </w:r>
            <w:r>
              <w:t xml:space="preserve">if the moderate/extreme split among dissatisfied children is of substantive</w:t>
            </w:r>
            <w:r>
              <w:t xml:space="preserve"> </w:t>
            </w:r>
            <w:r>
              <w:t xml:space="preserve">interest.</w:t>
            </w:r>
            <w:r>
              <w:t xml:space="preserve"> </w:t>
            </w:r>
            <w:r>
              <w:rPr>
                <w:b/>
                <w:bCs/>
              </w:rPr>
              <w:t xml:space="preserve">Decision on K is yours</w:t>
            </w:r>
            <w:r>
              <w:t xml:space="preserve"> </w:t>
            </w:r>
            <w:r>
              <w:t xml:space="preserve">— it is set in one place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lcga_k_chosen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_targets.R</w:t>
            </w:r>
            <w:r>
              <w:t xml:space="preserve">) at Step 3b.</w:t>
            </w:r>
          </w:p>
          <w:p/>
        </w:tc>
      </w:tr>
    </w:tbl>
    <w:bookmarkStart w:id="52" w:name="sex-stratified-enumeration-check"/>
    <w:p>
      <w:pPr>
        <w:pStyle w:val="Heading2"/>
      </w:pPr>
      <w:r>
        <w:t xml:space="preserve">5.1 Sex-stratified enumeration check</w:t>
      </w:r>
    </w:p>
    <w:p>
      <w:pPr>
        <w:pStyle w:val="FirstParagraph"/>
      </w:pPr>
      <w:r>
        <w:t xml:space="preserve">The descriptive statistics showed sex-linked patterns in the level and</w:t>
      </w:r>
      <w:r>
        <w:t xml:space="preserve"> </w:t>
      </w:r>
      <w:r>
        <w:t xml:space="preserve">direction of body dissatisfaction, raising the question of whether trajectory</w:t>
      </w:r>
      <w:r>
        <w:t xml:space="preserve"> </w:t>
      </w:r>
      <w:r>
        <w:t xml:space="preserve">classes should be sex-stratified. As a diagnostic, the same K = 1–5</w:t>
      </w:r>
      <w:r>
        <w:t xml:space="preserve"> </w:t>
      </w:r>
      <w:r>
        <w:t xml:space="preserve">enumeration was repeated separately for boys and girls. If the stratified</w:t>
      </w:r>
      <w:r>
        <w:t xml:space="preserve"> </w:t>
      </w:r>
      <w:r>
        <w:t xml:space="preserve">class</w:t>
      </w:r>
      <w:r>
        <w:t xml:space="preserve"> </w:t>
      </w:r>
      <w:r>
        <w:rPr>
          <w:i/>
          <w:iCs/>
        </w:rPr>
        <w:t xml:space="preserve">shapes</w:t>
      </w:r>
      <w:r>
        <w:t xml:space="preserve"> </w:t>
      </w:r>
      <w:r>
        <w:t xml:space="preserve">mirror the pooled solution, sex differences are a matter of</w:t>
      </w:r>
      <w:r>
        <w:t xml:space="preserve"> </w:t>
      </w:r>
      <w:r>
        <w:t xml:space="preserve">class</w:t>
      </w:r>
      <w:r>
        <w:t xml:space="preserve"> </w:t>
      </w:r>
      <w:r>
        <w:rPr>
          <w:i/>
          <w:iCs/>
        </w:rPr>
        <w:t xml:space="preserve">prevalence</w:t>
      </w:r>
      <w:r>
        <w:t xml:space="preserve"> </w:t>
      </w:r>
      <w:r>
        <w:t xml:space="preserve">— handled by sex in the class-membership model and the</w:t>
      </w:r>
      <w:r>
        <w:t xml:space="preserve"> </w:t>
      </w:r>
      <w:r>
        <w:t xml:space="preserve">planned sex-moderation tests — and the pooled LCGA stands as the primary</w:t>
      </w:r>
      <w:r>
        <w:t xml:space="preserve"> </w:t>
      </w:r>
      <w:r>
        <w:t xml:space="preserve">specification.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lcga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Class enumeration in the pooled sample and stratified by sex.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792"/>
              <w:gridCol w:w="339"/>
              <w:gridCol w:w="1131"/>
              <w:gridCol w:w="678"/>
              <w:gridCol w:w="678"/>
              <w:gridCol w:w="905"/>
              <w:gridCol w:w="339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Sample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Converged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SABIC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Entropy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Class % (largest → smallest)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30310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28904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85.6 / 14.4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83.8 / 12.6 / 3.5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28198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74.8 / 20.6 / 2.9 / 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28130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75.7 / 11.7 / 7.2 / 3.5 / 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Girls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Girls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26658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84.7 / 15.3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Girls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26342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83.7 / 14.3 / 2.0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Girls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26092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26054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73.2 / 20.9 / 4.0 / 2.0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Girls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69.9 / 22.3 / 3.5 / 2.3 / 2.0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58487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55645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84.7 / 15.3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83.8 / 13.5 / 2.8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54393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72.1 / 22.6 / 2.7 / 2.6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72.2 / 19.1 / 4.4 / 2.8 / 1.6</w:t>
                  </w:r>
                </w:p>
              </w:tc>
            </w:tr>
          </w:tbl>
          <w:bookmarkEnd w:id="43"/>
          <w:p/>
        </w:tc>
      </w:tr>
    </w:tbl>
    <w:p>
      <w:pPr>
        <w:pStyle w:val="CaptionedFigure"/>
      </w:pPr>
      <w:r>
        <w:drawing>
          <wp:inline>
            <wp:extent cx="5334000" cy="4267200"/>
            <wp:effectExtent b="0" l="0" r="0" t="0"/>
            <wp:docPr descr="Predicted class trajectories by sample (pooled, boys, girls) and number of classes. Dashed lines: observed means within each sample." title="" id="45" name="Picture"/>
            <a:graphic>
              <a:graphicData uri="http://schemas.openxmlformats.org/drawingml/2006/picture">
                <pic:pic>
                  <pic:nvPicPr>
                    <pic:cNvPr descr="report_files/figure-docx/plot-lcga-sex-comparison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class trajectories by sample (pooled, boys, girls) and number of classes. Dashed lines: observed means within each sample.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All stratified models converged, and enumeration behaves the same way</w:t>
            </w:r>
            <w:r>
              <w:t xml:space="preserve"> </w:t>
            </w:r>
            <w:r>
              <w:t xml:space="preserve">within each sex as in the pooled sample: BIC falls monotonically, entropy</w:t>
            </w:r>
            <w:r>
              <w:t xml:space="preserve"> </w:t>
            </w:r>
            <w:r>
              <w:t xml:space="preserve">peaks at K = 3 (0.85 in boys, girls, and pooled alike).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At K = 3 the class shapes replicate almost exactly in both sexes</w:t>
            </w:r>
            <w:r>
              <w:t xml:space="preserve">: a</w:t>
            </w:r>
            <w:r>
              <w:t xml:space="preserve"> </w:t>
            </w:r>
            <w:r>
              <w:t xml:space="preserve">flat satisfied majority (~84% in both), a declining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class (boys 12.6%, girls 14.3%), and a rising</w:t>
            </w:r>
            <w:r>
              <w:t xml:space="preserve"> </w:t>
            </w:r>
            <w:r>
              <w:t xml:space="preserve">“thinner than ideal”</w:t>
            </w:r>
            <w:r>
              <w:t xml:space="preserve"> </w:t>
            </w:r>
            <w:r>
              <w:t xml:space="preserve">class</w:t>
            </w:r>
            <w:r>
              <w:t xml:space="preserve"> </w:t>
            </w:r>
            <w:r>
              <w:t xml:space="preserve">(boys 3.5%, girls 2.0%). The sexes differ in class</w:t>
            </w:r>
            <w:r>
              <w:t xml:space="preserve"> </w:t>
            </w:r>
            <w:r>
              <w:rPr>
                <w:i/>
                <w:iCs/>
              </w:rPr>
              <w:t xml:space="preserve">prevalence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thinner-than-ideal class is nearly twice as common in boys — not in class</w:t>
            </w:r>
            <w:r>
              <w:t xml:space="preserve"> </w:t>
            </w:r>
            <w:r>
              <w:rPr>
                <w:i/>
                <w:iCs/>
              </w:rPr>
              <w:t xml:space="preserve">shape</w:t>
            </w:r>
            <w:r>
              <w:t xml:space="preserve">. Prevalence differences are exactly what the class-membership</w:t>
            </w:r>
            <w:r>
              <w:t xml:space="preserve"> </w:t>
            </w:r>
            <w:r>
              <w:t xml:space="preserve">model with sex handles.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girls’ age-12 rebound in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seen in the descriptives</w:t>
            </w:r>
            <w:r>
              <w:t xml:space="preserve"> </w:t>
            </w:r>
            <w:r>
              <w:t xml:space="preserve">surfaces only at K = 4, and only as a slope difference: girls’ moderate</w:t>
            </w:r>
            <w:r>
              <w:t xml:space="preserve"> </w:t>
            </w:r>
            <w:r>
              <w:t xml:space="preserve">dissatisfied class drifts slightly upward from 10 to 12 while the boys’</w:t>
            </w:r>
            <w:r>
              <w:t xml:space="preserve"> </w:t>
            </w:r>
            <w:r>
              <w:t xml:space="preserve">equivalent drifts down. It is a modest divergence within one class, not a</w:t>
            </w:r>
            <w:r>
              <w:t xml:space="preserve"> </w:t>
            </w:r>
            <w:r>
              <w:t xml:space="preserve">distinct trajectory structure, and no rising-positive class exists in the</w:t>
            </w:r>
            <w:r>
              <w:t xml:space="preserve"> </w:t>
            </w:r>
            <w:r>
              <w:t xml:space="preserve">girls-only solutions at K = 3.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Conclusion: the pooled LCGA stands as the primary specification.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supports K = 3 specifically — its structure is reproducible within each</w:t>
            </w:r>
            <w:r>
              <w:t xml:space="preserve"> </w:t>
            </w:r>
            <w:r>
              <w:t xml:space="preserve">sex, whereas the K = 4 structures start to diverge across sexes. If the</w:t>
            </w:r>
            <w:r>
              <w:t xml:space="preserve"> </w:t>
            </w:r>
            <w:r>
              <w:t xml:space="preserve">moderate-class slope difference matters substantively, it is better</w:t>
            </w:r>
            <w:r>
              <w:t xml:space="preserve"> </w:t>
            </w:r>
            <w:r>
              <w:t xml:space="preserve">captured by the planned sex-moderation analysis than by stratified</w:t>
            </w:r>
            <w:r>
              <w:t xml:space="preserve"> </w:t>
            </w:r>
            <w:r>
              <w:t xml:space="preserve">classes.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Enumeration criteria &amp; limitations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Class enumeration rests on BIC/SABIC, entropy, smallest-class size (flag</w:t>
            </w:r>
            <w:r>
              <w:t xml:space="preserve"> </w:t>
            </w:r>
            <w:r>
              <w:t xml:space="preserve">&lt;5%), and interpretability.</w:t>
            </w:r>
            <w:r>
              <w:t xml:space="preserve"> </w:t>
            </w:r>
            <w:r>
              <w:rPr>
                <w:rStyle w:val="VerbatimChar"/>
              </w:rPr>
              <w:t xml:space="preserve">lcmm</w:t>
            </w:r>
            <w:r>
              <w:t xml:space="preserve"> </w:t>
            </w:r>
            <w:r>
              <w:t xml:space="preserve">provides no LMR-LRT or BLRT (Nylund et</w:t>
            </w:r>
            <w:r>
              <w:t xml:space="preserve"> </w:t>
            </w:r>
            <w:r>
              <w:t xml:space="preserve">al., 2007); a manual bootstrap LRT is a possible add-on if the picture is</w:t>
            </w:r>
            <w:r>
              <w:t xml:space="preserve"> </w:t>
            </w:r>
            <w:r>
              <w:t xml:space="preserve">ambiguous.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At this sample size BIC can keep falling as classes are added — where it</w:t>
            </w:r>
            <w:r>
              <w:t xml:space="preserve"> </w:t>
            </w:r>
            <w:r>
              <w:t xml:space="preserve">does, we lean on entropy, class sizes, and interpretability.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Never accept a solution with</w:t>
            </w:r>
            <w:r>
              <w:t xml:space="preserve"> </w:t>
            </w:r>
            <w:r>
              <w:rPr>
                <w:rStyle w:val="VerbatimChar"/>
              </w:rPr>
              <w:t xml:space="preserve">Converged = No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Linear class trajectories only: three timepoints saturate a quadratic.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Reporting follows the GRoLTS checklist (van de Schoot et al., 2017).</w:t>
            </w:r>
          </w:p>
          <w:p/>
        </w:tc>
      </w:tr>
    </w:tbl>
    <w:bookmarkEnd w:id="52"/>
    <w:bookmarkEnd w:id="53"/>
    <w:bookmarkStart w:id="60" w:name="trajectory-classes-final-model"/>
    <w:p>
      <w:pPr>
        <w:pStyle w:val="Heading1"/>
      </w:pPr>
      <w:r>
        <w:t xml:space="preserve">6. Trajectory classes (final model)</w:t>
      </w:r>
    </w:p>
    <w:p>
      <w:pPr>
        <w:pStyle w:val="FirstParagraph"/>
      </w:pPr>
      <w:r>
        <w:t xml:space="preserve">The three-class model was frozen as the final trajectory model (K = 3;</w:t>
      </w:r>
      <w:r>
        <w:t xml:space="preserve"> </w:t>
      </w:r>
      <w:r>
        <w:t xml:space="preserve">entropy 0.85), based on the enumeration statistics and the sex-stratified</w:t>
      </w:r>
      <w:r>
        <w:t xml:space="preserve"> </w:t>
      </w:r>
      <w:r>
        <w:t xml:space="preserve">check above. Classes are labelled in ascending order of their age-8</w:t>
      </w:r>
      <w:r>
        <w:t xml:space="preserve"> </w:t>
      </w:r>
      <w:r>
        <w:t xml:space="preserve">intercept, so numbering is stable across refits.</w:t>
      </w:r>
    </w:p>
    <w:p>
      <w:pPr>
        <w:pStyle w:val="CaptionedFigure"/>
      </w:pPr>
      <w:r>
        <w:drawing>
          <wp:inline>
            <wp:extent cx="5334000" cy="3429000"/>
            <wp:effectExtent b="0" l="0" r="0" t="0"/>
            <wp:docPr descr="Final three-class model: predicted trajectories (95% bands) and observed means by modal class." title="" id="55" name="Picture"/>
            <a:graphic>
              <a:graphicData uri="http://schemas.openxmlformats.org/drawingml/2006/picture">
                <pic:pic>
                  <pic:nvPicPr>
                    <pic:cNvPr descr="report_files/figure-docx/plot-lcga-classe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Final three-class model: predicted trajectories (95% bands) and observed means by modal class.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class-qualit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Class sizes and modal-assignment quality (posterior probabilities of the assigned class).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posterior prob.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Min posterior prob.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83.8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Class 1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“thinner than ideal, converging”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(2.8%, n = 218):</w:t>
            </w:r>
            <w:r>
              <w:t xml:space="preserve"> </w:t>
            </w:r>
            <w:r>
              <w:t xml:space="preserve">starts</w:t>
            </w:r>
            <w:r>
              <w:t xml:space="preserve"> </w:t>
            </w:r>
            <w:r>
              <w:t xml:space="preserve">around −1.7 at age 8 and rises toward −0.4 by 12; these children see</w:t>
            </w:r>
            <w:r>
              <w:t xml:space="preserve"> </w:t>
            </w:r>
            <w:r>
              <w:t xml:space="preserve">themselves as thinner than their ideal, with the gap closing over time.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Class 2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“satisfied”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(83.8%, n = 6,570):</w:t>
            </w:r>
            <w:r>
              <w:t xml:space="preserve"> </w:t>
            </w:r>
            <w:r>
              <w:t xml:space="preserve">flat trajectory just above</w:t>
            </w:r>
            <w:r>
              <w:t xml:space="preserve"> </w:t>
            </w:r>
            <w:r>
              <w:t xml:space="preserve">zero across ages 8–12.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Class 3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“larger than ideal, declining”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(13.5%, n = 1,055):</w:t>
            </w:r>
            <w:r>
              <w:t xml:space="preserve"> </w:t>
            </w:r>
            <w:r>
              <w:t xml:space="preserve">starts</w:t>
            </w:r>
            <w:r>
              <w:t xml:space="preserve"> </w:t>
            </w:r>
            <w:r>
              <w:t xml:space="preserve">around 1.7 and declines modestly to about 1.3; persistent dissatisfaction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“feels larger than ideal”</w:t>
            </w:r>
            <w:r>
              <w:t xml:space="preserve"> </w:t>
            </w:r>
            <w:r>
              <w:t xml:space="preserve">direction.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Classification quality is good: mean posterior probabilities of the</w:t>
            </w:r>
            <w:r>
              <w:t xml:space="preserve"> </w:t>
            </w:r>
            <w:r>
              <w:t xml:space="preserve">assigned class are 0.81 / 0.94 / 0.90 (all above the 0.70 rule of thumb),</w:t>
            </w:r>
            <w:r>
              <w:t xml:space="preserve"> </w:t>
            </w:r>
            <w:r>
              <w:t xml:space="preserve">consistent with entropy of 0.85. Observed class means track the model</w:t>
            </w:r>
            <w:r>
              <w:t xml:space="preserve"> </w:t>
            </w:r>
            <w:r>
              <w:t xml:space="preserve">predictions closely, with mild shrinkage at the age-8 extremes.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Entropy ≥ 0.8 settles the Step 4 decision point: the three-step membership</w:t>
            </w:r>
            <w:r>
              <w:t xml:space="preserve"> </w:t>
            </w:r>
            <w:r>
              <w:t xml:space="preserve">models will use</w:t>
            </w:r>
            <w:r>
              <w:t xml:space="preserve"> </w:t>
            </w:r>
            <w:r>
              <w:rPr>
                <w:b/>
                <w:bCs/>
              </w:rPr>
              <w:t xml:space="preserve">proportional posterior weighting</w:t>
            </w:r>
            <w:r>
              <w:t xml:space="preserve">, with a</w:t>
            </w:r>
            <w:r>
              <w:t xml:space="preserve"> </w:t>
            </w:r>
            <w:r>
              <w:t xml:space="preserve">modal-assignment sensitivity check.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Class names above are working labels — happy to change them to whatever</w:t>
            </w:r>
            <w:r>
              <w:t xml:space="preserve"> </w:t>
            </w:r>
            <w:r>
              <w:t xml:space="preserve">you want used in the manuscript.</w:t>
            </w:r>
          </w:p>
          <w:p/>
        </w:tc>
      </w:tr>
    </w:tbl>
    <w:bookmarkEnd w:id="60"/>
    <w:bookmarkStart w:id="61" w:name="results"/>
    <w:p>
      <w:pPr>
        <w:pStyle w:val="Heading1"/>
      </w:pPr>
      <w:r>
        <w:t xml:space="preserve">7. Results</w:t>
      </w:r>
    </w:p>
    <w:p>
      <w:pPr>
        <w:pStyle w:val="FirstParagraph"/>
      </w:pPr>
      <w:r>
        <w:rPr>
          <w:i/>
          <w:iCs/>
        </w:rPr>
        <w:t xml:space="preserve">Placeholder</w:t>
      </w:r>
    </w:p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" Target="media/rId9.png" /><Relationship Type="http://schemas.openxmlformats.org/officeDocument/2006/relationships/image" Id="rId26" Target="media/rId26.png" /><Relationship Type="http://schemas.openxmlformats.org/officeDocument/2006/relationships/image" Id="rId54" Target="media/rId54.png" /><Relationship Type="http://schemas.openxmlformats.org/officeDocument/2006/relationships/image" Id="rId44" Target="media/rId44.png" /><Relationship Type="http://schemas.openxmlformats.org/officeDocument/2006/relationships/image" Id="rId38" Target="media/rId3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Body Image Trajectories and Parenting — Working Notes</dc:title>
  <dc:creator>Taren Sanders</dc:creator>
  <cp:keywords/>
  <dcterms:created xsi:type="dcterms:W3CDTF">2026-07-23T06:24:05Z</dcterms:created>
  <dcterms:modified xsi:type="dcterms:W3CDTF">2026-07-23T06:24:05Z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notes</vt:lpwstr>
  </property>
  <property fmtid="{D5CDD505-2E9C-101B-9397-08002B2CF9AE}" pid="13" name="toc-title">
    <vt:lpwstr>Table of contents</vt:lpwstr>
  </property>
</Properties>
</file>