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102 meta-analyses (2,451 primary studies; 1,937,501 participants) on screen time and any outcome for youths.</w:t>
      </w:r>
      <w:r>
        <w:t xml:space="preserve"> </w:t>
      </w:r>
      <w:r>
        <w:t xml:space="preserve">Some types of screen use, such as social media, were consistently correlated with risks (e.g., depression,</w:t>
      </w:r>
      <w:r>
        <w:t xml:space="preserve"> </w:t>
      </w:r>
      <w:r>
        <w:rPr>
          <w:iCs/>
          <w:i/>
        </w:rPr>
        <w:t xml:space="preserve">r</w:t>
      </w:r>
      <w:r>
        <w:t xml:space="preserve"> </w:t>
      </w:r>
      <w:r>
        <w:t xml:space="preserve">= 0.12, 95% confidence interval 0.05 to 0.19) while others, such as educational screen use, showed associations with benefits (e.g., motivation for learning,</w:t>
      </w:r>
      <w:r>
        <w:t xml:space="preserve"> </w:t>
      </w:r>
      <w:r>
        <w:rPr>
          <w:iCs/>
          <w:i/>
        </w:rPr>
        <w:t xml:space="preserve">r</w:t>
      </w:r>
      <w:r>
        <w:t xml:space="preserve"> </w:t>
      </w:r>
      <w:r>
        <w:t xml:space="preserve">= 0.16, 95% confidence interval 0.02 to 0.31).</w:t>
      </w:r>
      <w:r>
        <w:t xml:space="preserve"> </w:t>
      </w:r>
      <w:r>
        <w:t xml:space="preserve">Some types of screen use have complex associations with outcomes.</w:t>
      </w:r>
      <w:r>
        <w:t xml:space="preserve"> </w:t>
      </w:r>
      <w:r>
        <w:t xml:space="preserve">For example, television viewing showed harmful correlations with learning (</w:t>
      </w:r>
      <w:r>
        <w:rPr>
          <w:iCs/>
          <w:i/>
        </w:rPr>
        <w:t xml:space="preserve">r</w:t>
      </w:r>
      <w:r>
        <w:t xml:space="preserve"> </w:t>
      </w:r>
      <w:r>
        <w:t xml:space="preserve">= -0.10, 95% confidence interval -0.15 to -0.04).</w:t>
      </w:r>
      <w:r>
        <w:t xml:space="preserve"> </w:t>
      </w:r>
      <w:r>
        <w:t xml:space="preserve">However, when parents watched with their children, general screen use was associated with greater literacy (</w:t>
      </w:r>
      <w:r>
        <w:rPr>
          <w:iCs/>
          <w:i/>
        </w:rPr>
        <w:t xml:space="preserve">r</w:t>
      </w:r>
      <w:r>
        <w:t xml:space="preserve"> </w:t>
      </w:r>
      <w:r>
        <w:t xml:space="preserve">= 0.15, 95% confidence interval 0.02 to 0.28).</w:t>
      </w:r>
      <w:r>
        <w:t xml:space="preserve"> </w:t>
      </w:r>
      <w:r>
        <w:t xml:space="preserve">These findings suggest that caregivers need to carefully weigh the pros and cons of each specific activity for potential harms and benefits.</w:t>
      </w:r>
    </w:p>
    <w:p>
      <w:pPr>
        <w:pStyle w:val="Textkrper"/>
      </w:pPr>
      <w:r>
        <w:rPr>
          <w:iCs/>
          <w:i/>
        </w:rPr>
        <w:t xml:space="preserve">Word count:</w:t>
      </w:r>
      <w:r>
        <w:t xml:space="preserve"> </w:t>
      </w:r>
      <w:r>
        <w:t xml:space="preserve">5295</w:t>
      </w:r>
    </w:p>
    <w:p>
      <w:pPr>
        <w:pStyle w:val="h1-pagebreak"/>
      </w:pPr>
      <w:r>
        <w:t xml:space="preserve">An umbrella review of the benefits and risks associated with youths’ interactions with electronic screens</w:t>
      </w:r>
    </w:p>
    <w:bookmarkStart w:id="21" w:name="introduction"/>
    <w:p>
      <w:pPr>
        <w:pStyle w:val="berschrift1"/>
      </w:pPr>
      <w:r>
        <w:t xml:space="preserve">Introduction</w:t>
      </w:r>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bookmarkEnd w:id="21"/>
    <w:bookmarkStart w:id="22" w:name="results"/>
    <w:p>
      <w:pPr>
        <w:pStyle w:val="berschrift1"/>
      </w:pPr>
      <w:r>
        <w:t xml:space="preserve">Results</w:t>
      </w:r>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217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Cs/>
          <w:i/>
        </w:rPr>
        <w:t xml:space="preserve">n</w:t>
      </w:r>
      <w:r>
        <w:t xml:space="preserve"> </w:t>
      </w:r>
      <w:r>
        <w:t xml:space="preserve">= 31), general screen use (</w:t>
      </w:r>
      <w:r>
        <w:rPr>
          <w:iCs/>
          <w:i/>
        </w:rPr>
        <w:t xml:space="preserve">n</w:t>
      </w:r>
      <w:r>
        <w:t xml:space="preserve"> </w:t>
      </w:r>
      <w:r>
        <w:t xml:space="preserve">= 27), general TV programs and movies (</w:t>
      </w:r>
      <w:r>
        <w:rPr>
          <w:iCs/>
          <w:i/>
        </w:rPr>
        <w:t xml:space="preserve">n</w:t>
      </w:r>
      <w:r>
        <w:t xml:space="preserve"> </w:t>
      </w:r>
      <w:r>
        <w:t xml:space="preserve">= 20), and screen-based interventions to promote health (</w:t>
      </w:r>
      <w:r>
        <w:rPr>
          <w:iCs/>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Cs/>
          <w:i/>
        </w:rPr>
        <w:t xml:space="preserve">n</w:t>
      </w:r>
      <w:r>
        <w:t xml:space="preserve"> </w:t>
      </w:r>
      <w:r>
        <w:t xml:space="preserve">= 30), general learning (</w:t>
      </w:r>
      <w:r>
        <w:rPr>
          <w:iCs/>
          <w:i/>
        </w:rPr>
        <w:t xml:space="preserve">n</w:t>
      </w:r>
      <w:r>
        <w:t xml:space="preserve"> </w:t>
      </w:r>
      <w:r>
        <w:t xml:space="preserve">= 24), depression (</w:t>
      </w:r>
      <w:r>
        <w:rPr>
          <w:iCs/>
          <w:i/>
        </w:rPr>
        <w:t xml:space="preserve">n</w:t>
      </w:r>
      <w:r>
        <w:t xml:space="preserve"> </w:t>
      </w:r>
      <w:r>
        <w:t xml:space="preserve">= 13), and general literacy (</w:t>
      </w:r>
      <w:r>
        <w:rPr>
          <w:iCs/>
          <w:i/>
        </w:rPr>
        <w:t xml:space="preserve">n</w:t>
      </w:r>
      <w:r>
        <w:t xml:space="preserve"> </w:t>
      </w:r>
      <w:r>
        <w:t xml:space="preserve">= 12).</w:t>
      </w:r>
      <w:r>
        <w:t xml:space="preserve"> </w:t>
      </w:r>
      <w:r>
        <w:t xml:space="preserve">Of the 273 unique exposure/outcome combinations, 241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253 unique effect/outcome combinations (retaining multiple effects for different age groups or study designs) contributed from 102 reviews.</w:t>
      </w:r>
      <w:r>
        <w:t xml:space="preserve"> </w:t>
      </w:r>
      <w:r>
        <w:t xml:space="preserve">These effects represent the findings of 2,451 primary studies, involving 1,937,501 participants.</w:t>
      </w:r>
      <w:r>
        <w:t xml:space="preserve"> </w:t>
      </w:r>
      <w:r>
        <w:t xml:space="preserve">The characteristics of the included effects are available in Supplementary File 3.</w:t>
      </w:r>
    </w:p>
    <w:p>
      <w:pPr>
        <w:pStyle w:val="Textkrper"/>
      </w:pPr>
      <w:r>
        <w:rPr>
          <w:bCs/>
          <w:b/>
        </w:rPr>
        <w:t xml:space="preserve">TABLE 1</w:t>
      </w:r>
    </w:p>
    <w:p>
      <w:pPr>
        <w:pStyle w:val="Textkrper"/>
      </w:pPr>
      <w:r>
        <w:t xml:space="preserve">The quality of the included meta-analyses was mixed (see Table 1).</w:t>
      </w:r>
      <w:r>
        <w:t xml:space="preserve"> </w:t>
      </w:r>
      <w:r>
        <w:t xml:space="preserve">Most assessed heterogeneity (</w:t>
      </w:r>
      <w:r>
        <w:rPr>
          <w:iCs/>
          <w:i/>
        </w:rPr>
        <w:t xml:space="preserve">n</w:t>
      </w:r>
      <w:r>
        <w:t xml:space="preserve"> </w:t>
      </w:r>
      <w:r>
        <w:t xml:space="preserve">low risk = 93/102, 91% of meta-analyses), reported the characteristics of the included studies (</w:t>
      </w:r>
      <w:r>
        <w:rPr>
          <w:iCs/>
          <w:i/>
        </w:rPr>
        <w:t xml:space="preserve">n</w:t>
      </w:r>
      <w:r>
        <w:t xml:space="preserve"> </w:t>
      </w:r>
      <w:r>
        <w:t xml:space="preserve">low risk = 86/102, 84%), and used a comprehensive and systematic search strategy (</w:t>
      </w:r>
      <w:r>
        <w:rPr>
          <w:iCs/>
          <w:i/>
        </w:rPr>
        <w:t xml:space="preserve">n</w:t>
      </w:r>
      <w:r>
        <w:t xml:space="preserve"> </w:t>
      </w:r>
      <w:r>
        <w:t xml:space="preserve">low risk = 71/102, 70%).</w:t>
      </w:r>
      <w:r>
        <w:t xml:space="preserve"> </w:t>
      </w:r>
      <w:r>
        <w:t xml:space="preserve">Most reviews did not clearly report if their eligibility criteria were predefined (</w:t>
      </w:r>
      <w:r>
        <w:rPr>
          <w:iCs/>
          <w:i/>
        </w:rPr>
        <w:t xml:space="preserve">n</w:t>
      </w:r>
      <w:r>
        <w:t xml:space="preserve"> </w:t>
      </w:r>
      <w:r>
        <w:t xml:space="preserve">unclear = 71/102, 70%).</w:t>
      </w:r>
      <w:r>
        <w:t xml:space="preserve"> </w:t>
      </w:r>
      <w:r>
        <w:t xml:space="preserve">Many papers also did not complete dual independent screening of abstracts and full text (</w:t>
      </w:r>
      <w:r>
        <w:rPr>
          <w:iCs/>
          <w:i/>
        </w:rPr>
        <w:t xml:space="preserve">n</w:t>
      </w:r>
      <w:r>
        <w:t xml:space="preserve"> </w:t>
      </w:r>
      <w:r>
        <w:t xml:space="preserve">high risk = 20/102, 20%) or did not clearly report the method of screening (</w:t>
      </w:r>
      <w:r>
        <w:rPr>
          <w:iCs/>
          <w:i/>
        </w:rPr>
        <w:t xml:space="preserve">n</w:t>
      </w:r>
      <w:r>
        <w:t xml:space="preserve"> </w:t>
      </w:r>
      <w:r>
        <w:t xml:space="preserve">unclear = 37/102, 36%).</w:t>
      </w:r>
      <w:r>
        <w:t xml:space="preserve"> </w:t>
      </w:r>
      <w:r>
        <w:t xml:space="preserve">A similar trend was observed for dual independent quality assessment (</w:t>
      </w:r>
      <w:r>
        <w:rPr>
          <w:iCs/>
          <w:i/>
        </w:rPr>
        <w:t xml:space="preserve">n</w:t>
      </w:r>
      <w:r>
        <w:t xml:space="preserve"> </w:t>
      </w:r>
      <w:r>
        <w:t xml:space="preserve">high risk = 52/102, 51%; n high risk = 19/102, 19%).</w:t>
      </w:r>
      <w:r>
        <w:t xml:space="preserve"> </w:t>
      </w:r>
      <w:r>
        <w:t xml:space="preserve">Overall, only 7 meta-analyses were graded as low risk of bias on all criteria.</w:t>
      </w:r>
    </w:p>
    <w:p>
      <w:pPr>
        <w:pStyle w:val="Textkrper"/>
      </w:pPr>
      <w:r>
        <w:t xml:space="preserve">There were 88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22 effects met our criteria for statistical credibility and are described in Figure 2.</w:t>
      </w:r>
      <w:r>
        <w:t xml:space="preserve"> </w:t>
      </w:r>
      <w:r>
        <w:t xml:space="preserve">These 22 effects came from 17 meta-analytic reviews analysing data from 337 empirical studies with 262,497 individual participants.</w:t>
      </w:r>
    </w:p>
    <w:p>
      <w:pPr>
        <w:pStyle w:val="Textkrper"/>
      </w:pPr>
      <w:r>
        <w:t xml:space="preserve">Among the statistically credible effects, general screen use (</w:t>
      </w:r>
      <w:r>
        <w:rPr>
          <w:iCs/>
          <w:i/>
        </w:rPr>
        <w:t xml:space="preserve">r</w:t>
      </w:r>
      <w:r>
        <w:t xml:space="preserve"> </w:t>
      </w:r>
      <w:r>
        <w:t xml:space="preserve">= -0.11, 95% confidence interval [CI] -0.24 to 0.01,</w:t>
      </w:r>
      <w:r>
        <w:t xml:space="preserve"> </w:t>
      </w:r>
      <w:r>
        <w:rPr>
          <w:iCs/>
          <w:i/>
        </w:rPr>
        <w:t xml:space="preserve">k</w:t>
      </w:r>
      <w:r>
        <w:t xml:space="preserve"> </w:t>
      </w:r>
      <w:r>
        <w:t xml:space="preserve">= 18,</w:t>
      </w:r>
      <w:r>
        <w:t xml:space="preserve"> </w:t>
      </w:r>
      <w:r>
        <w:rPr>
          <w:iCs/>
          <w:i/>
        </w:rPr>
        <w:t xml:space="preserve">N</w:t>
      </w:r>
      <w:r>
        <w:t xml:space="preserve"> </w:t>
      </w:r>
      <w:r>
        <w:t xml:space="preserve">= 13,100), television viewing (</w:t>
      </w:r>
      <w:r>
        <w:rPr>
          <w:iCs/>
          <w:i/>
        </w:rPr>
        <w:t xml:space="preserve">r</w:t>
      </w:r>
      <w:r>
        <w:t xml:space="preserve"> </w:t>
      </w:r>
      <w:r>
        <w:t xml:space="preserve">= -0.10, 95% CI -0.15 to -0.04,</w:t>
      </w:r>
      <w:r>
        <w:t xml:space="preserve"> </w:t>
      </w:r>
      <w:r>
        <w:rPr>
          <w:iCs/>
          <w:i/>
        </w:rPr>
        <w:t xml:space="preserve">k</w:t>
      </w:r>
      <w:r>
        <w:t xml:space="preserve"> </w:t>
      </w:r>
      <w:r>
        <w:t xml:space="preserve">= 18,</w:t>
      </w:r>
      <w:r>
        <w:t xml:space="preserve"> </w:t>
      </w:r>
      <w:r>
        <w:rPr>
          <w:iCs/>
          <w:i/>
        </w:rPr>
        <w:t xml:space="preserve">N</w:t>
      </w:r>
      <w:r>
        <w:t xml:space="preserve"> </w:t>
      </w:r>
      <w:r>
        <w:t xml:space="preserve">= 62,135), and video games (</w:t>
      </w:r>
      <w:r>
        <w:rPr>
          <w:iCs/>
          <w:i/>
        </w:rPr>
        <w:t xml:space="preserve">r</w:t>
      </w:r>
      <w:r>
        <w:t xml:space="preserve"> </w:t>
      </w:r>
      <w:r>
        <w:t xml:space="preserve">= -0.08, 95% CI -0.12 to -0.04,</w:t>
      </w:r>
      <w:r>
        <w:t xml:space="preserve"> </w:t>
      </w:r>
      <w:r>
        <w:rPr>
          <w:iCs/>
          <w:i/>
        </w:rPr>
        <w:t xml:space="preserve">k</w:t>
      </w:r>
      <w:r>
        <w:t xml:space="preserve"> </w:t>
      </w:r>
      <w:r>
        <w:t xml:space="preserve">= 10,</w:t>
      </w:r>
      <w:r>
        <w:t xml:space="preserve"> </w:t>
      </w:r>
      <w:r>
        <w:rPr>
          <w:iCs/>
          <w:i/>
        </w:rPr>
        <w:t xml:space="preserve">N</w:t>
      </w:r>
      <w:r>
        <w:t xml:space="preserve"> </w:t>
      </w:r>
      <w:r>
        <w:t xml:space="preserve">= 4,276) were all negatively associated with learning.</w:t>
      </w:r>
      <w:r>
        <w:t xml:space="preserve"> </w:t>
      </w:r>
      <w:r>
        <w:t xml:space="preserve">E-books that included narration (</w:t>
      </w:r>
      <w:r>
        <w:rPr>
          <w:iCs/>
          <w:i/>
        </w:rPr>
        <w:t xml:space="preserve">r</w:t>
      </w:r>
      <w:r>
        <w:t xml:space="preserve"> </w:t>
      </w:r>
      <w:r>
        <w:t xml:space="preserve">= 0.11, 95% CI 0.05 to 0.17,</w:t>
      </w:r>
      <w:r>
        <w:t xml:space="preserve"> </w:t>
      </w:r>
      <w:r>
        <w:rPr>
          <w:iCs/>
          <w:i/>
        </w:rPr>
        <w:t xml:space="preserve">k</w:t>
      </w:r>
      <w:r>
        <w:t xml:space="preserve"> </w:t>
      </w:r>
      <w:r>
        <w:t xml:space="preserve">= 50,</w:t>
      </w:r>
      <w:r>
        <w:t xml:space="preserve"> </w:t>
      </w:r>
      <w:r>
        <w:rPr>
          <w:iCs/>
          <w:i/>
        </w:rPr>
        <w:t xml:space="preserve">N</w:t>
      </w:r>
      <w:r>
        <w:t xml:space="preserve"> </w:t>
      </w:r>
      <w:r>
        <w:t xml:space="preserve">= 2,288), as well as touch screen education interventions (</w:t>
      </w:r>
      <w:r>
        <w:rPr>
          <w:iCs/>
          <w:i/>
        </w:rPr>
        <w:t xml:space="preserve">r</w:t>
      </w:r>
      <w:r>
        <w:t xml:space="preserve"> </w:t>
      </w:r>
      <w:r>
        <w:t xml:space="preserve">= 0.21, 95% CI 0.15 to 0.28,</w:t>
      </w:r>
      <w:r>
        <w:t xml:space="preserve"> </w:t>
      </w:r>
      <w:r>
        <w:rPr>
          <w:iCs/>
          <w:i/>
        </w:rPr>
        <w:t xml:space="preserve">k</w:t>
      </w:r>
      <w:r>
        <w:t xml:space="preserve"> </w:t>
      </w:r>
      <w:r>
        <w:t xml:space="preserve">= 79,</w:t>
      </w:r>
      <w:r>
        <w:t xml:space="preserve"> </w:t>
      </w:r>
      <w:r>
        <w:rPr>
          <w:iCs/>
          <w:i/>
        </w:rPr>
        <w:t xml:space="preserve">N</w:t>
      </w:r>
      <w:r>
        <w:t xml:space="preserve"> </w:t>
      </w:r>
      <w:r>
        <w:t xml:space="preserve">= 5,810), and augmented reality education interventions (</w:t>
      </w:r>
      <w:r>
        <w:rPr>
          <w:iCs/>
          <w:i/>
        </w:rPr>
        <w:t xml:space="preserve">r</w:t>
      </w:r>
      <w:r>
        <w:t xml:space="preserve"> </w:t>
      </w:r>
      <w:r>
        <w:t xml:space="preserve">= 0.33, 95% CI 0.25 to 0.42,</w:t>
      </w:r>
      <w:r>
        <w:t xml:space="preserve"> </w:t>
      </w:r>
      <w:r>
        <w:rPr>
          <w:iCs/>
          <w:i/>
        </w:rPr>
        <w:t xml:space="preserve">k</w:t>
      </w:r>
      <w:r>
        <w:t xml:space="preserve"> </w:t>
      </w:r>
      <w:r>
        <w:t xml:space="preserve">= 15,</w:t>
      </w:r>
      <w:r>
        <w:t xml:space="preserve"> </w:t>
      </w:r>
      <w:r>
        <w:rPr>
          <w:iCs/>
          <w:i/>
        </w:rPr>
        <w:t xml:space="preserve">N</w:t>
      </w:r>
      <w:r>
        <w:t xml:space="preserve"> </w:t>
      </w:r>
      <w:r>
        <w:t xml:space="preserve">= 1,474) were positively associated with learning.</w:t>
      </w:r>
      <w:r>
        <w:t xml:space="preserve"> </w:t>
      </w:r>
      <w:r>
        <w:t xml:space="preserve">General screen use was negatively associated with literacy outcomes (</w:t>
      </w:r>
      <w:r>
        <w:rPr>
          <w:iCs/>
          <w:i/>
        </w:rPr>
        <w:t xml:space="preserve">r</w:t>
      </w:r>
      <w:r>
        <w:t xml:space="preserve"> </w:t>
      </w:r>
      <w:r>
        <w:t xml:space="preserve">= -0.14, 95% CI -0.20 to -0.09,</w:t>
      </w:r>
      <w:r>
        <w:t xml:space="preserve"> </w:t>
      </w:r>
      <w:r>
        <w:rPr>
          <w:iCs/>
          <w:i/>
        </w:rPr>
        <w:t xml:space="preserve">k</w:t>
      </w:r>
      <w:r>
        <w:t xml:space="preserve"> </w:t>
      </w:r>
      <w:r>
        <w:t xml:space="preserve">= 38,</w:t>
      </w:r>
      <w:r>
        <w:t xml:space="preserve"> </w:t>
      </w:r>
      <w:r>
        <w:rPr>
          <w:iCs/>
          <w:i/>
        </w:rPr>
        <w:t xml:space="preserve">N</w:t>
      </w:r>
      <w:r>
        <w:t xml:space="preserve"> </w:t>
      </w:r>
      <w:r>
        <w:t xml:space="preserve">= 18,318).</w:t>
      </w:r>
      <w:r>
        <w:t xml:space="preserve"> </w:t>
      </w:r>
      <w:r>
        <w:t xml:space="preserve">However, if the screen use involved co-viewing (e.g., watching with a parent;</w:t>
      </w:r>
      <w:r>
        <w:t xml:space="preserve"> </w:t>
      </w:r>
      <w:r>
        <w:rPr>
          <w:iCs/>
          <w:i/>
        </w:rPr>
        <w:t xml:space="preserve">r</w:t>
      </w:r>
      <w:r>
        <w:t xml:space="preserve"> </w:t>
      </w:r>
      <w:r>
        <w:t xml:space="preserve">= 0.15, 95% CI 0.02 to 0.28,</w:t>
      </w:r>
      <w:r>
        <w:t xml:space="preserve"> </w:t>
      </w:r>
      <w:r>
        <w:rPr>
          <w:iCs/>
          <w:i/>
        </w:rPr>
        <w:t xml:space="preserve">k</w:t>
      </w:r>
      <w:r>
        <w:t xml:space="preserve"> </w:t>
      </w:r>
      <w:r>
        <w:t xml:space="preserve">= 12,</w:t>
      </w:r>
      <w:r>
        <w:t xml:space="preserve"> </w:t>
      </w:r>
      <w:r>
        <w:rPr>
          <w:iCs/>
          <w:i/>
        </w:rPr>
        <w:t xml:space="preserve">N</w:t>
      </w:r>
      <w:r>
        <w:t xml:space="preserve"> </w:t>
      </w:r>
      <w:r>
        <w:t xml:space="preserve">= 6,083), or the content of television programs was educational (</w:t>
      </w:r>
      <w:r>
        <w:rPr>
          <w:iCs/>
          <w:i/>
        </w:rPr>
        <w:t xml:space="preserve">r</w:t>
      </w:r>
      <w:r>
        <w:t xml:space="preserve"> </w:t>
      </w:r>
      <w:r>
        <w:t xml:space="preserve">= 0.13, 95% CI 0.03 to 0.23,</w:t>
      </w:r>
      <w:r>
        <w:t xml:space="preserve"> </w:t>
      </w:r>
      <w:r>
        <w:rPr>
          <w:iCs/>
          <w:i/>
        </w:rPr>
        <w:t xml:space="preserve">k</w:t>
      </w:r>
      <w:r>
        <w:t xml:space="preserve"> </w:t>
      </w:r>
      <w:r>
        <w:t xml:space="preserve">= 13,</w:t>
      </w:r>
      <w:r>
        <w:t xml:space="preserve"> </w:t>
      </w:r>
      <w:r>
        <w:rPr>
          <w:iCs/>
          <w:i/>
        </w:rPr>
        <w:t xml:space="preserve">N</w:t>
      </w:r>
      <w:r>
        <w:t xml:space="preserve"> </w:t>
      </w:r>
      <w:r>
        <w:t xml:space="preserve">= 1,955), the association with literacy was positive and significant at the 95% confidence level (weak evidence).</w:t>
      </w:r>
      <w:r>
        <w:t xml:space="preserve"> </w:t>
      </w:r>
      <w:r>
        <w:t xml:space="preserve">Numeracy outcomes were positively associated with screen-based mathematics interventions (</w:t>
      </w:r>
      <w:r>
        <w:rPr>
          <w:iCs/>
          <w:i/>
        </w:rPr>
        <w:t xml:space="preserve">r</w:t>
      </w:r>
      <w:r>
        <w:t xml:space="preserve"> </w:t>
      </w:r>
      <w:r>
        <w:t xml:space="preserve">= 0.27, 95% CI 0.21 to 0.33,</w:t>
      </w:r>
      <w:r>
        <w:t xml:space="preserve"> </w:t>
      </w:r>
      <w:r>
        <w:rPr>
          <w:iCs/>
          <w:i/>
        </w:rPr>
        <w:t xml:space="preserve">k</w:t>
      </w:r>
      <w:r>
        <w:t xml:space="preserve"> </w:t>
      </w:r>
      <w:r>
        <w:t xml:space="preserve">= 85,</w:t>
      </w:r>
      <w:r>
        <w:t xml:space="preserve"> </w:t>
      </w:r>
      <w:r>
        <w:rPr>
          <w:iCs/>
          <w:i/>
        </w:rPr>
        <w:t xml:space="preserve">N</w:t>
      </w:r>
      <w:r>
        <w:t xml:space="preserve"> </w:t>
      </w:r>
      <w:r>
        <w:t xml:space="preserve">= 36,793) and video games that contained numeracy content (</w:t>
      </w:r>
      <w:r>
        <w:rPr>
          <w:iCs/>
          <w:i/>
        </w:rPr>
        <w:t xml:space="preserve">r</w:t>
      </w:r>
      <w:r>
        <w:t xml:space="preserve"> </w:t>
      </w:r>
      <w:r>
        <w:t xml:space="preserve">= 0.32, 95% CI 0.21 to 0.43,</w:t>
      </w:r>
      <w:r>
        <w:t xml:space="preserve"> </w:t>
      </w:r>
      <w:r>
        <w:rPr>
          <w:iCs/>
          <w:i/>
        </w:rPr>
        <w:t xml:space="preserve">k</w:t>
      </w:r>
      <w:r>
        <w:t xml:space="preserve"> </w:t>
      </w:r>
      <w:r>
        <w:t xml:space="preserve">= 25,</w:t>
      </w:r>
      <w:r>
        <w:t xml:space="preserve"> </w:t>
      </w:r>
      <w:r>
        <w:rPr>
          <w:iCs/>
          <w:i/>
        </w:rPr>
        <w:t xml:space="preserve">N</w:t>
      </w:r>
      <w:r>
        <w:t xml:space="preserve"> </w:t>
      </w:r>
      <w:r>
        <w:t xml:space="preserve">= 2,008).</w:t>
      </w:r>
    </w:p>
    <w:p>
      <w:pPr>
        <w:pStyle w:val="Textkrper"/>
      </w:pPr>
      <w:r>
        <w:t xml:space="preserve">As shown in Figure 2, most of the credible results (13 of 22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w:t>
      </w:r>
      <w:r>
        <w:rPr>
          <w:iCs/>
          <w:i/>
        </w:rPr>
        <w:t xml:space="preserve">r</w:t>
      </w:r>
      <w:r>
        <w:t xml:space="preserve"> </w:t>
      </w:r>
      <w:r>
        <w:t xml:space="preserve">= 0.21, 95% CI 0.15 to 0.28,</w:t>
      </w:r>
      <w:r>
        <w:t xml:space="preserve"> </w:t>
      </w:r>
      <w:r>
        <w:rPr>
          <w:iCs/>
          <w:i/>
        </w:rPr>
        <w:t xml:space="preserve">k</w:t>
      </w:r>
      <w:r>
        <w:t xml:space="preserve"> </w:t>
      </w:r>
      <w:r>
        <w:t xml:space="preserve">= 79,</w:t>
      </w:r>
      <w:r>
        <w:t xml:space="preserve"> </w:t>
      </w:r>
      <w:r>
        <w:rPr>
          <w:iCs/>
          <w:i/>
        </w:rPr>
        <w:t xml:space="preserve">N</w:t>
      </w:r>
      <w:r>
        <w:t xml:space="preserve"> </w:t>
      </w:r>
      <w:r>
        <w:t xml:space="preserve">= 5,810)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 </w:t>
      </w:r>
      <w:r>
        <w:rPr>
          <w:iCs/>
          <w:i/>
        </w:rPr>
        <w:t xml:space="preserve">r</w:t>
      </w:r>
      <w:r>
        <w:t xml:space="preserve"> </w:t>
      </w:r>
      <w:r>
        <w:t xml:space="preserve">= -0.10, 95% CI -0.15 to -0.04,</w:t>
      </w:r>
      <w:r>
        <w:t xml:space="preserve"> </w:t>
      </w:r>
      <w:r>
        <w:rPr>
          <w:iCs/>
          <w:i/>
        </w:rPr>
        <w:t xml:space="preserve">k</w:t>
      </w:r>
      <w:r>
        <w:t xml:space="preserve"> </w:t>
      </w:r>
      <w:r>
        <w:t xml:space="preserve">= 18,</w:t>
      </w:r>
      <w:r>
        <w:t xml:space="preserve"> </w:t>
      </w:r>
      <w:r>
        <w:rPr>
          <w:iCs/>
          <w:i/>
        </w:rPr>
        <w:t xml:space="preserve">N</w:t>
      </w:r>
      <w:r>
        <w:t xml:space="preserve"> </w:t>
      </w:r>
      <w:r>
        <w:t xml:space="preserve">= 62,135).</w:t>
      </w:r>
      <w:r>
        <w:t xml:space="preserve"> </w:t>
      </w:r>
      <w:r>
        <w:t xml:space="preserve">The largest effect size observed was for augmented reality-based education interventions on general learning (</w:t>
      </w:r>
      <w:r>
        <w:rPr>
          <w:iCs/>
          <w:i/>
        </w:rPr>
        <w:t xml:space="preserve">r</w:t>
      </w:r>
      <w:r>
        <w:t xml:space="preserve"> </w:t>
      </w:r>
      <w:r>
        <w:t xml:space="preserve">= 0.33, 95% CI 0.25 to 0.42,</w:t>
      </w:r>
      <w:r>
        <w:t xml:space="preserve"> </w:t>
      </w:r>
      <w:r>
        <w:rPr>
          <w:iCs/>
          <w:i/>
        </w:rPr>
        <w:t xml:space="preserve">k</w:t>
      </w:r>
      <w:r>
        <w:t xml:space="preserve"> </w:t>
      </w:r>
      <w:r>
        <w:t xml:space="preserve">= 15,</w:t>
      </w:r>
      <w:r>
        <w:t xml:space="preserve"> </w:t>
      </w:r>
      <w:r>
        <w:rPr>
          <w:iCs/>
          <w:i/>
        </w:rPr>
        <w:t xml:space="preserve">N</w:t>
      </w:r>
      <w:r>
        <w:t xml:space="preserve"> </w:t>
      </w:r>
      <w:r>
        <w:t xml:space="preserve">= 1,474).</w:t>
      </w:r>
      <w:r>
        <w:t xml:space="preserve"> </w:t>
      </w:r>
      <w:r>
        <w:t xml:space="preserve">Most effects showed high levels of heterogeneity (17 of 22 with</w:t>
      </w:r>
      <w:r>
        <w:t xml:space="preserve"> </w:t>
      </w:r>
      <m:oMath>
        <m:sSup>
          <m:e>
            <m:r>
              <m:t>I</m:t>
            </m:r>
          </m:e>
          <m:sup>
            <m:r>
              <m:t>2</m:t>
            </m:r>
          </m:sup>
        </m:sSup>
        <m:r>
          <m:rPr>
            <m:sty m:val="p"/>
          </m:rPr>
          <m:t>&gt;</m:t>
        </m:r>
        <m:r>
          <m:t>50</m:t>
        </m:r>
        <m:r>
          <m:rPr>
            <m:sty m:val="p"/>
          </m:rPr>
          <m:t>%</m:t>
        </m:r>
      </m:oMath>
      <w:r>
        <w:t xml:space="preserve">).</w:t>
      </w:r>
    </w:p>
    <w:p>
      <w:pPr>
        <w:pStyle w:val="Textkrper"/>
      </w:pPr>
      <w:r>
        <w:t xml:space="preserve">We identified 164 unique outcome-exposure combinations associated with health or health-related behaviour outcomes.</w:t>
      </w:r>
      <w:r>
        <w:t xml:space="preserve"> </w:t>
      </w:r>
      <w:r>
        <w:t xml:space="preserve">We removed 40 effects that did not provide individual study-level data, 50 effects with samples &lt; 1,000, and 53 effects with a significant Egger’s test or insufficient studies to conduct the test.</w:t>
      </w:r>
      <w:r>
        <w:t xml:space="preserve"> </w:t>
      </w:r>
      <w:r>
        <w:t xml:space="preserve">No remaining studies had statistically significant tests for excess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w:t>
      </w:r>
      <w:r>
        <w:rPr>
          <w:iCs/>
          <w:i/>
        </w:rPr>
        <w:t xml:space="preserve">r</w:t>
      </w:r>
      <w:r>
        <w:t xml:space="preserve"> </w:t>
      </w:r>
      <w:r>
        <w:t xml:space="preserve">= 0.23, 95% CI 0.10 to 0.37,</w:t>
      </w:r>
      <w:r>
        <w:t xml:space="preserve"> </w:t>
      </w:r>
      <w:r>
        <w:rPr>
          <w:iCs/>
          <w:i/>
        </w:rPr>
        <w:t xml:space="preserve">k</w:t>
      </w:r>
      <w:r>
        <w:t xml:space="preserve"> </w:t>
      </w:r>
      <w:r>
        <w:t xml:space="preserve">= 13,</w:t>
      </w:r>
      <w:r>
        <w:t xml:space="preserve"> </w:t>
      </w:r>
      <w:r>
        <w:rPr>
          <w:iCs/>
          <w:i/>
        </w:rPr>
        <w:t xml:space="preserve">N</w:t>
      </w:r>
      <w:r>
        <w:t xml:space="preserve"> </w:t>
      </w:r>
      <w:r>
        <w:t xml:space="preserve">= 1,756) and video games developed by a brand for promotion (</w:t>
      </w:r>
      <w:r>
        <w:rPr>
          <w:iCs/>
          <w:i/>
        </w:rPr>
        <w:t xml:space="preserve">r</w:t>
      </w:r>
      <w:r>
        <w:t xml:space="preserve"> </w:t>
      </w:r>
      <w:r>
        <w:t xml:space="preserve">= 0.18, 95% CI 0.10 to 0.25,</w:t>
      </w:r>
      <w:r>
        <w:t xml:space="preserve"> </w:t>
      </w:r>
      <w:r>
        <w:rPr>
          <w:iCs/>
          <w:i/>
        </w:rPr>
        <w:t xml:space="preserve">k</w:t>
      </w:r>
      <w:r>
        <w:t xml:space="preserve"> </w:t>
      </w:r>
      <w:r>
        <w:t xml:space="preserve">= 15,</w:t>
      </w:r>
      <w:r>
        <w:t xml:space="preserve"> </w:t>
      </w:r>
      <w:r>
        <w:rPr>
          <w:iCs/>
          <w:i/>
        </w:rPr>
        <w:t xml:space="preserve">N</w:t>
      </w:r>
      <w:r>
        <w:t xml:space="preserve"> </w:t>
      </w:r>
      <w:r>
        <w:t xml:space="preserve">= 3,842)—were associated with higher unhealthy food intake.</w:t>
      </w:r>
      <w:r>
        <w:t xml:space="preserve"> </w:t>
      </w:r>
      <w:r>
        <w:t xml:space="preserve">Social media use and sexual content were positively associated with risky behaviors (e.g., social media and risky sexual behaviour;</w:t>
      </w:r>
      <w:r>
        <w:t xml:space="preserve"> </w:t>
      </w:r>
      <w:r>
        <w:rPr>
          <w:iCs/>
          <w:i/>
        </w:rPr>
        <w:t xml:space="preserve">r</w:t>
      </w:r>
      <w:r>
        <w:t xml:space="preserve"> </w:t>
      </w:r>
      <w:r>
        <w:t xml:space="preserve">= 0.21, 95% CI 0.14 to 0.28,</w:t>
      </w:r>
      <w:r>
        <w:t xml:space="preserve"> </w:t>
      </w:r>
      <w:r>
        <w:rPr>
          <w:iCs/>
          <w:i/>
        </w:rPr>
        <w:t xml:space="preserve">k</w:t>
      </w:r>
      <w:r>
        <w:t xml:space="preserve"> </w:t>
      </w:r>
      <w:r>
        <w:t xml:space="preserve">= 14,</w:t>
      </w:r>
      <w:r>
        <w:t xml:space="preserve"> </w:t>
      </w:r>
      <w:r>
        <w:rPr>
          <w:iCs/>
          <w:i/>
        </w:rPr>
        <w:t xml:space="preserve">N</w:t>
      </w:r>
      <w:r>
        <w:t xml:space="preserve"> </w:t>
      </w:r>
      <w:r>
        <w:t xml:space="preserve">= 23,096).</w:t>
      </w:r>
      <w:r>
        <w:t xml:space="preserve"> </w:t>
      </w:r>
      <w:r>
        <w:t xml:space="preserve">Television viewing was negatively correlated with sleep duration, but with stronger evidence only observed for adolescents (</w:t>
      </w:r>
      <w:r>
        <w:rPr>
          <w:iCs/>
          <w:i/>
        </w:rPr>
        <w:t xml:space="preserve">r</w:t>
      </w:r>
      <w:r>
        <w:t xml:space="preserve"> </w:t>
      </w:r>
      <w:r>
        <w:t xml:space="preserve">= -0.06, 95% CI -0.10 to -0.01,</w:t>
      </w:r>
      <w:r>
        <w:t xml:space="preserve"> </w:t>
      </w:r>
      <w:r>
        <w:rPr>
          <w:iCs/>
          <w:i/>
        </w:rPr>
        <w:t xml:space="preserve">k</w:t>
      </w:r>
      <w:r>
        <w:t xml:space="preserve"> </w:t>
      </w:r>
      <w:r>
        <w:t xml:space="preserve">= 10,</w:t>
      </w:r>
      <w:r>
        <w:t xml:space="preserve"> </w:t>
      </w:r>
      <w:r>
        <w:rPr>
          <w:iCs/>
          <w:i/>
        </w:rPr>
        <w:t xml:space="preserve">N</w:t>
      </w:r>
      <w:r>
        <w:t xml:space="preserve"> </w:t>
      </w:r>
      <w:r>
        <w:t xml:space="preserve">= 9,798).</w:t>
      </w:r>
      <w:r>
        <w:t xml:space="preserve"> </w:t>
      </w:r>
      <w:r>
        <w:t xml:space="preserve">Both television and video games were associated with body composition (e.g., television</w:t>
      </w:r>
      <w:r>
        <w:t xml:space="preserve"> </w:t>
      </w:r>
      <w:r>
        <w:rPr>
          <w:iCs/>
          <w:i/>
        </w:rPr>
        <w:t xml:space="preserve">r</w:t>
      </w:r>
      <w:r>
        <w:t xml:space="preserve"> </w:t>
      </w:r>
      <w:r>
        <w:t xml:space="preserve">= 0.06, 95% CI 0.03 to 0.10,</w:t>
      </w:r>
      <w:r>
        <w:t xml:space="preserve"> </w:t>
      </w:r>
      <w:r>
        <w:rPr>
          <w:iCs/>
          <w:i/>
        </w:rPr>
        <w:t xml:space="preserve">k</w:t>
      </w:r>
      <w:r>
        <w:t xml:space="preserve"> </w:t>
      </w:r>
      <w:r>
        <w:t xml:space="preserve">= 12,</w:t>
      </w:r>
      <w:r>
        <w:t xml:space="preserve"> </w:t>
      </w:r>
      <w:r>
        <w:rPr>
          <w:iCs/>
          <w:i/>
        </w:rPr>
        <w:t xml:space="preserve">N</w:t>
      </w:r>
      <w:r>
        <w:t xml:space="preserve"> </w:t>
      </w:r>
      <w:r>
        <w:t xml:space="preserve">= 3,196).</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rPr>
            <m:sty m:val="p"/>
          </m:rPr>
          <m:t>&gt;</m:t>
        </m:r>
        <m:r>
          <m:t>75</m:t>
        </m:r>
        <m:r>
          <m:rPr>
            <m:sty m:val="p"/>
          </m:rPr>
          <m:t>%</m:t>
        </m:r>
      </m:oMath>
      <w:r>
        <w:t xml:space="preserve">.</w:t>
      </w:r>
      <w:r>
        <w:t xml:space="preserve"> </w:t>
      </w:r>
      <w:r>
        <w:t xml:space="preserve">Additionally, most effects were small, with the association between internet use and depression the largest at</w:t>
      </w:r>
      <w:r>
        <w:t xml:space="preserve"> </w:t>
      </w:r>
      <w:r>
        <w:rPr>
          <w:iCs/>
          <w:i/>
        </w:rPr>
        <w:t xml:space="preserve">r</w:t>
      </w:r>
      <w:r>
        <w:t xml:space="preserve"> </w:t>
      </w:r>
      <w:r>
        <w:t xml:space="preserve">= 0.25 (95% CI 0.22 to 0.27,</w:t>
      </w:r>
      <w:r>
        <w:t xml:space="preserve"> </w:t>
      </w:r>
      <w:r>
        <w:rPr>
          <w:iCs/>
          <w:i/>
        </w:rPr>
        <w:t xml:space="preserve">k</w:t>
      </w:r>
      <w:r>
        <w:t xml:space="preserve"> </w:t>
      </w:r>
      <w:r>
        <w:t xml:space="preserve">= 118,</w:t>
      </w:r>
      <w:r>
        <w:t xml:space="preserve"> </w:t>
      </w:r>
      <w:r>
        <w:rPr>
          <w:iCs/>
          <w:i/>
        </w:rPr>
        <w:t xml:space="preserve">N</w:t>
      </w:r>
      <w:r>
        <w:t xml:space="preserve"> </w:t>
      </w:r>
      <w:r>
        <w:t xml:space="preserve">= 527,696).</w:t>
      </w:r>
      <w:r>
        <w:t xml:space="preserve"> </w:t>
      </w:r>
      <w:r>
        <w:t xml:space="preserve">Most of the effect sizes (17/21) had an absolute value of</w:t>
      </w:r>
      <w:r>
        <w:t xml:space="preserve"> </w:t>
      </w:r>
      <m:oMath>
        <m:r>
          <m:t>r</m:t>
        </m:r>
        <m:r>
          <m:rPr>
            <m:sty m:val="p"/>
          </m:rPr>
          <m:t>&lt;</m:t>
        </m:r>
        <m:r>
          <m:t>0.2</m:t>
        </m:r>
      </m:oMath>
      <w:r>
        <w:t xml:space="preserve">.</w:t>
      </w:r>
    </w:p>
    <w:bookmarkEnd w:id="22"/>
    <w:bookmarkStart w:id="23" w:name="discussion"/>
    <w:p>
      <w:pPr>
        <w:pStyle w:val="berschrift1"/>
      </w:pPr>
      <w:r>
        <w:t xml:space="preserve">Discussion</w:t>
      </w:r>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rPr>
            <m:sty m:val="p"/>
          </m:rPr>
          <m:t>&gt;</m:t>
        </m:r>
        <m:r>
          <m:t>50</m:t>
        </m:r>
        <m:r>
          <m:rPr>
            <m:sty m:val="p"/>
          </m:rP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36–38</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Given our results, we support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we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rPr>
          <w:vertAlign w:val="superscript"/>
        </w:rPr>
        <w:t xml:space="preserve">39</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40</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66 of the 67 included studies used self-reported data for</w:t>
      </w:r>
      <w:r>
        <w:t xml:space="preserve"> </w:t>
      </w:r>
      <w:r>
        <w:rPr>
          <w:iCs/>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41</w:t>
      </w:r>
      <w:r>
        <w:t xml:space="preserve"> </w:t>
      </w:r>
      <w:r>
        <w:t xml:space="preserve">found that the measures were only moderately correlated (</w:t>
      </w:r>
      <m:oMath>
        <m:r>
          <m:t>r</m:t>
        </m:r>
        <m:r>
          <m:rPr>
            <m:sty m:val="p"/>
          </m:rPr>
          <m:t>=</m:t>
        </m:r>
        <m:r>
          <m:t>0.38</m:t>
        </m:r>
      </m:oMath>
      <w:r>
        <w:t xml:space="preserve">), with self-reported problematic usage fairing worse (</w:t>
      </w:r>
      <m:oMath>
        <m:r>
          <m:t>r</m:t>
        </m:r>
        <m:r>
          <m:rPr>
            <m:sty m:val="p"/>
          </m:rP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42</w:t>
      </w:r>
      <w:r>
        <w:t xml:space="preserve"> </w:t>
      </w:r>
      <w:r>
        <w:t xml:space="preserve">While some researchers have started using newer methods of capturing screen behaviours—such as wearable cameras</w:t>
      </w:r>
      <w:r>
        <w:rPr>
          <w:vertAlign w:val="superscript"/>
        </w:rPr>
        <w:t xml:space="preserve">43</w:t>
      </w:r>
      <w:r>
        <w:t xml:space="preserve"> </w:t>
      </w:r>
      <w:r>
        <w:t xml:space="preserve">or device-based loggers—</w:t>
      </w:r>
      <w:r>
        <w:rPr>
          <w:vertAlign w:val="superscript"/>
        </w:rPr>
        <w:t xml:space="preserve">44</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2,451 primary studies comprised of 1,937,501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45</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Cs/>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17,46,47</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bookmarkEnd w:id="23"/>
    <w:bookmarkStart w:id="38" w:name="methods"/>
    <w:p>
      <w:pPr>
        <w:pStyle w:val="berschrift1"/>
      </w:pPr>
      <w:r>
        <w:t xml:space="preserve">Methods</w:t>
      </w:r>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40</w:t>
      </w:r>
    </w:p>
    <w:bookmarkStart w:id="24" w:name="eligibility-criteria"/>
    <w:p>
      <w:pPr>
        <w:pStyle w:val="berschrift3"/>
      </w:pPr>
      <w:r>
        <w:t xml:space="preserve">Eligibility criteria.</w:t>
      </w:r>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Cs/>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bookmarkEnd w:id="24"/>
    <w:bookmarkStart w:id="25" w:name="information-sources"/>
    <w:p>
      <w:pPr>
        <w:pStyle w:val="berschrift3"/>
      </w:pPr>
      <w:r>
        <w:t xml:space="preserve">Information sources.</w:t>
      </w:r>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bookmarkEnd w:id="25"/>
    <w:bookmarkStart w:id="26" w:name="search-strategy"/>
    <w:p>
      <w:pPr>
        <w:pStyle w:val="berschrift3"/>
      </w:pPr>
      <w:r>
        <w:t xml:space="preserve">Search strategy.</w:t>
      </w:r>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bookmarkEnd w:id="26"/>
    <w:bookmarkStart w:id="27" w:name="selection-process"/>
    <w:p>
      <w:pPr>
        <w:pStyle w:val="berschrift3"/>
      </w:pPr>
      <w:r>
        <w:t xml:space="preserve">Selection process.</w:t>
      </w:r>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bookmarkEnd w:id="27"/>
    <w:bookmarkStart w:id="28" w:name="data-items"/>
    <w:p>
      <w:pPr>
        <w:pStyle w:val="berschrift3"/>
      </w:pPr>
      <w:r>
        <w:t xml:space="preserve">Data items.</w:t>
      </w:r>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bookmarkEnd w:id="28"/>
    <w:bookmarkStart w:id="29" w:name="study-risk-of-bias-assessment"/>
    <w:p>
      <w:pPr>
        <w:pStyle w:val="berschrift3"/>
      </w:pPr>
      <w:r>
        <w:t xml:space="preserve">Study risk of bias assessment.</w:t>
      </w:r>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48</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bookmarkEnd w:id="29"/>
    <w:bookmarkStart w:id="30" w:name="effect-measures"/>
    <w:p>
      <w:pPr>
        <w:pStyle w:val="berschrift3"/>
      </w:pPr>
      <w:r>
        <w:t xml:space="preserve">Effect measures.</w:t>
      </w:r>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49,50</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51</w:t>
      </w:r>
      <w:r>
        <w:t xml:space="preserve"> 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52</w:t>
      </w:r>
    </w:p>
    <w:bookmarkEnd w:id="30"/>
    <w:bookmarkStart w:id="31" w:name="synthesis-methods"/>
    <w:p>
      <w:pPr>
        <w:pStyle w:val="berschrift3"/>
      </w:pPr>
      <w:r>
        <w:t xml:space="preserve">Synthesis methods.</w:t>
      </w:r>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53</w:t>
      </w:r>
      <w:r>
        <w:t xml:space="preserve"> </w:t>
      </w:r>
      <w:r>
        <w:t xml:space="preserve">in R</w:t>
      </w:r>
      <w:r>
        <w:rPr>
          <w:vertAlign w:val="superscript"/>
        </w:rPr>
        <w:t xml:space="preserve">54</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55</w:t>
      </w:r>
      <w:r>
        <w:t xml:space="preserve"> </w:t>
      </w:r>
      <w:r>
        <w:t xml:space="preserve">when the number of studies within the review was ten or more,</w:t>
      </w:r>
      <w:r>
        <w:rPr>
          <w:vertAlign w:val="superscript"/>
        </w:rPr>
        <w:t xml:space="preserve">56</w:t>
      </w:r>
      <w:r>
        <w:t xml:space="preserve"> and conducted a test of excess significance.</w:t>
      </w:r>
      <w:r>
        <w:rPr>
          <w:vertAlign w:val="superscript"/>
        </w:rPr>
        <w:t xml:space="preserve">57</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bookmarkEnd w:id="31"/>
    <w:bookmarkStart w:id="32" w:name="evidence-assessment-criteria"/>
    <w:p>
      <w:pPr>
        <w:pStyle w:val="berschrift3"/>
      </w:pPr>
      <w:r>
        <w:t xml:space="preserve">Evidence assessment criteria.</w:t>
      </w:r>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58</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rPr>
            <m:sty m:val="p"/>
          </m:rPr>
          <m:t>&lt;</m:t>
        </m:r>
        <m:r>
          <m:t>50</m:t>
        </m:r>
        <m:r>
          <m:rPr>
            <m:sty m:val="p"/>
          </m:rP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rPr>
            <m:sty m:val="p"/>
          </m:rPr>
          <m:t>&gt;</m:t>
        </m:r>
        <m:r>
          <m:t>50</m:t>
        </m:r>
        <m:r>
          <m:rPr>
            <m:sty m:val="p"/>
          </m:rP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rPr>
            <m:sty m:val="p"/>
          </m:rPr>
          <m:t>&lt;</m:t>
        </m:r>
        <m:r>
          <m:t>.05</m:t>
        </m:r>
      </m:oMath>
      <w:r>
        <w:t xml:space="preserve"> </w:t>
      </w:r>
      <w:r>
        <w:t xml:space="preserve">for weak evidence (i.e., 95% confidence intervals did not cross zero) and</w:t>
      </w:r>
      <w:r>
        <w:t xml:space="preserve"> </w:t>
      </w:r>
      <m:oMath>
        <m:r>
          <m:t>P</m:t>
        </m:r>
        <m:r>
          <m:rPr>
            <m:sty m:val="p"/>
          </m:rPr>
          <m:t>&lt;</m:t>
        </m:r>
        <m:sSup>
          <m:e>
            <m:r>
              <m:t>10</m:t>
            </m:r>
          </m:e>
          <m:sup>
            <m:r>
              <m:rPr>
                <m:sty m:val="p"/>
              </m:rP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rPr>
            <m:sty m:val="p"/>
          </m:rPr>
          <m:t>&gt;</m:t>
        </m:r>
        <m:r>
          <m:t>.05</m:t>
        </m:r>
      </m:oMath>
      <w:r>
        <w:t xml:space="preserve"> </w:t>
      </w:r>
      <w:r>
        <w:t xml:space="preserve">(i.e., 95% confidence intervals included zero) was taken to indicate no association of interest.</w:t>
      </w:r>
    </w:p>
    <w:bookmarkEnd w:id="32"/>
    <w:bookmarkStart w:id="33" w:name="deviations-from-protocol"/>
    <w:p>
      <w:pPr>
        <w:pStyle w:val="berschrift3"/>
      </w:pPr>
      <w:r>
        <w:t xml:space="preserve">Deviations from protocol.</w:t>
      </w:r>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Cs/>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bookmarkEnd w:id="33"/>
    <w:bookmarkStart w:id="36" w:name="data-availability-statement"/>
    <w:p>
      <w:pPr>
        <w:pStyle w:val="berschrift2"/>
      </w:pPr>
      <w:r>
        <w:t xml:space="preserve">Data availability statement</w:t>
      </w:r>
    </w:p>
    <w:p>
      <w:pPr>
        <w:pStyle w:val="FirstParagraph"/>
      </w:pPr>
      <w:r>
        <w:t xml:space="preserve">All data for this review are available from the authors’ GitHub repository (</w:t>
      </w:r>
      <w:hyperlink r:id="rId34">
        <w:r>
          <w:rPr>
            <w:rStyle w:val="Hyperlink"/>
          </w:rPr>
          <w:t xml:space="preserve">https://github.com/motivation-and-Behaviour/screen_umbrella</w:t>
        </w:r>
      </w:hyperlink>
      <w:r>
        <w:t xml:space="preserve">) or from the Open Science Foundation (</w:t>
      </w:r>
      <w:hyperlink r:id="rId35">
        <w:r>
          <w:rPr>
            <w:rStyle w:val="Hyperlink"/>
          </w:rPr>
          <w:t xml:space="preserve">https://osf.io/3ubqp/</w:t>
        </w:r>
      </w:hyperlink>
      <w:r>
        <w:t xml:space="preserve">).</w:t>
      </w:r>
    </w:p>
    <w:bookmarkEnd w:id="36"/>
    <w:bookmarkStart w:id="37" w:name="code-availability-statement"/>
    <w:p>
      <w:pPr>
        <w:pStyle w:val="berschrift2"/>
      </w:pPr>
      <w:r>
        <w:t xml:space="preserve">Code availability statement</w:t>
      </w:r>
    </w:p>
    <w:p>
      <w:pPr>
        <w:pStyle w:val="FirstParagraph"/>
      </w:pPr>
      <w:r>
        <w:t xml:space="preserve">All code used in these analyses are available on the authors’ GitHub repository (</w:t>
      </w:r>
      <w:hyperlink r:id="rId34">
        <w:r>
          <w:rPr>
            <w:rStyle w:val="Hyperlink"/>
          </w:rPr>
          <w:t xml:space="preserve">https://github.com/motivation-and-Behaviour/screen_umbrella</w:t>
        </w:r>
      </w:hyperlink>
      <w:r>
        <w:t xml:space="preserve">).</w:t>
      </w:r>
    </w:p>
    <w:bookmarkEnd w:id="37"/>
    <w:bookmarkEnd w:id="38"/>
    <w:bookmarkStart w:id="39" w:name="acknowledgements"/>
    <w:p>
      <w:pPr>
        <w:pStyle w:val="berschrift1"/>
      </w:pPr>
      <w:r>
        <w:t xml:space="preserve">Acknowledgements</w:t>
      </w:r>
    </w:p>
    <w:p>
      <w:pPr>
        <w:pStyle w:val="FirstParagraph"/>
      </w:pPr>
      <w:r>
        <w:t xml:space="preserve">The authors received no specific funding for this work.</w:t>
      </w:r>
    </w:p>
    <w:bookmarkEnd w:id="39"/>
    <w:bookmarkStart w:id="40" w:name="author-contributions"/>
    <w:p>
      <w:pPr>
        <w:pStyle w:val="berschrift1"/>
      </w:pPr>
      <w:r>
        <w:t xml:space="preserve">Author contributions</w:t>
      </w:r>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bookmarkEnd w:id="40"/>
    <w:bookmarkStart w:id="41" w:name="competing-interests"/>
    <w:p>
      <w:pPr>
        <w:pStyle w:val="berschrift1"/>
      </w:pPr>
      <w:r>
        <w:t xml:space="preserve">Competing interests</w:t>
      </w:r>
    </w:p>
    <w:p>
      <w:pPr>
        <w:pStyle w:val="FirstParagraph"/>
      </w:pPr>
      <w:r>
        <w:t xml:space="preserve">The authors declare no conflicts of interest.</w:t>
      </w:r>
    </w:p>
    <w:bookmarkEnd w:id="41"/>
    <w:bookmarkStart w:id="42" w:name="tables"/>
    <w:p>
      <w:pPr>
        <w:pStyle w:val="berschrift1"/>
      </w:pPr>
      <w:r>
        <w:t xml:space="preserve">Tables</w:t>
      </w:r>
    </w:p>
    <w:p>
      <w:pPr>
        <w:pStyle w:val="FirstParagraph"/>
      </w:pPr>
      <w:r>
        <w:rPr>
          <w:iCs/>
          <w:i/>
        </w:rPr>
        <w:t xml:space="preserve">Table 1: Review characteristics and quality assessment for meta-analyses providing unique effects</w:t>
      </w:r>
    </w:p>
    <w:bookmarkEnd w:id="42"/>
    <w:bookmarkStart w:id="43" w:name="figure-legends"/>
    <w:p>
      <w:pPr>
        <w:pStyle w:val="berschrift1"/>
      </w:pPr>
      <w:r>
        <w:t xml:space="preserve">Figure legends</w:t>
      </w:r>
    </w:p>
    <w:p>
      <w:pPr>
        <w:pStyle w:val="FirstParagraph"/>
      </w:pPr>
      <w:r>
        <w:rPr>
          <w:iCs/>
          <w:i/>
        </w:rPr>
        <w:t xml:space="preserve">Figure 1: PRISMA flow diagram.</w:t>
      </w:r>
    </w:p>
    <w:p>
      <w:pPr>
        <w:pStyle w:val="Textkrper"/>
      </w:pPr>
      <w:r>
        <w:rPr>
          <w:iCs/>
          <w:i/>
        </w:rPr>
        <w:t xml:space="preserve">Figure 2: Education outcomes. Forest plot for 22 unique effect sizes related to educational outcomes which met the criteria for statistical certainty. Findings are presented as correlations (two-sided) with both 95% and 99.9% confidence intervals.</w:t>
      </w:r>
    </w:p>
    <w:p>
      <w:pPr>
        <w:pStyle w:val="Textkrper"/>
      </w:pPr>
      <w:r>
        <w:rPr>
          <w:iCs/>
          <w:i/>
        </w:rPr>
        <w:t xml:space="preserve">Figure 3: Health and health-related behaviour outcomes. Forest plot for 21 unique effect sizes related to health and health-related behaviour outcomes which met the criteria for statistical certainty. Findings are presented as correlations (two-sided) with both 95% and 99.9% confidence intervals.</w:t>
      </w:r>
    </w:p>
    <w:p>
      <w:r>
        <w:br w:type="page"/>
      </w:r>
    </w:p>
    <w:bookmarkEnd w:id="43"/>
    <w:bookmarkStart w:id="104" w:name="references"/>
    <w:p>
      <w:pPr>
        <w:pStyle w:val="berschrift1"/>
      </w:pPr>
      <w:r>
        <w:t xml:space="preserve">References</w:t>
      </w:r>
    </w:p>
    <w:bookmarkStart w:id="103" w:name="refs"/>
    <w:bookmarkStart w:id="44" w:name="ref-blairReadingStrategiesCoping2003"/>
    <w:p>
      <w:pPr>
        <w:pStyle w:val="Literaturverzeichnis"/>
      </w:pPr>
      <w:r>
        <w:t xml:space="preserve">1.</w:t>
      </w:r>
      <w:r>
        <w:t xml:space="preserve"> </w:t>
      </w:r>
      <w:r>
        <w:t xml:space="preserve">	</w:t>
      </w:r>
      <w:r>
        <w:t xml:space="preserve">Blair, A. Reading</w:t>
      </w:r>
      <w:r>
        <w:t xml:space="preserve"> </w:t>
      </w:r>
      <w:r>
        <w:t xml:space="preserve">Strategies</w:t>
      </w:r>
      <w:r>
        <w:t xml:space="preserve"> </w:t>
      </w:r>
      <w:r>
        <w:t xml:space="preserve">for</w:t>
      </w:r>
      <w:r>
        <w:t xml:space="preserve"> </w:t>
      </w:r>
      <w:r>
        <w:t xml:space="preserve">Coping With Information Overload</w:t>
      </w:r>
      <w:r>
        <w:t xml:space="preserve"> </w:t>
      </w:r>
      <w:r>
        <w:t xml:space="preserve">ca.1550-1700.</w:t>
      </w:r>
      <w:r>
        <w:t xml:space="preserve"> </w:t>
      </w:r>
      <w:r>
        <w:rPr>
          <w:iCs/>
          <w:i/>
        </w:rPr>
        <w:t xml:space="preserve">Journal of the History of Ideas</w:t>
      </w:r>
      <w:r>
        <w:t xml:space="preserve"> </w:t>
      </w:r>
      <w:r>
        <w:rPr>
          <w:bCs/>
          <w:b/>
        </w:rPr>
        <w:t xml:space="preserve">64</w:t>
      </w:r>
      <w:r>
        <w:t xml:space="preserve">, 11–28 (2003).</w:t>
      </w:r>
    </w:p>
    <w:bookmarkEnd w:id="44"/>
    <w:bookmarkStart w:id="45" w:name="ref-bell1883sanitarian"/>
    <w:p>
      <w:pPr>
        <w:pStyle w:val="Literaturverzeichnis"/>
      </w:pPr>
      <w:r>
        <w:t xml:space="preserve">2.</w:t>
      </w:r>
      <w:r>
        <w:t xml:space="preserve"> </w:t>
      </w:r>
      <w:r>
        <w:t xml:space="preserve">	</w:t>
      </w:r>
      <w:r>
        <w:t xml:space="preserve">Bell, A. N.</w:t>
      </w:r>
      <w:r>
        <w:t xml:space="preserve"> </w:t>
      </w:r>
      <w:r>
        <w:rPr>
          <w:iCs/>
          <w:i/>
        </w:rPr>
        <w:t xml:space="preserve">The sanitarian</w:t>
      </w:r>
      <w:r>
        <w:t xml:space="preserve">. vol. 11 (</w:t>
      </w:r>
      <w:r>
        <w:t xml:space="preserve">AN Bell</w:t>
      </w:r>
      <w:r>
        <w:t xml:space="preserve">, 1883).</w:t>
      </w:r>
    </w:p>
    <w:bookmarkEnd w:id="45"/>
    <w:bookmarkStart w:id="46" w:name="ref-dill2013oxford"/>
    <w:p>
      <w:pPr>
        <w:pStyle w:val="Literaturverzeichnis"/>
      </w:pPr>
      <w:r>
        <w:t xml:space="preserve">3.</w:t>
      </w:r>
      <w:r>
        <w:t xml:space="preserve"> </w:t>
      </w:r>
      <w:r>
        <w:t xml:space="preserve">	</w:t>
      </w:r>
      <w:r>
        <w:t xml:space="preserve">Dill, K. E.</w:t>
      </w:r>
      <w:r>
        <w:t xml:space="preserve"> </w:t>
      </w:r>
      <w:r>
        <w:rPr>
          <w:iCs/>
          <w:i/>
        </w:rPr>
        <w:t xml:space="preserve">The</w:t>
      </w:r>
      <w:r>
        <w:rPr>
          <w:iCs/>
          <w:i/>
        </w:rPr>
        <w:t xml:space="preserve"> </w:t>
      </w:r>
      <w:r>
        <w:rPr>
          <w:iCs/>
          <w:i/>
        </w:rPr>
        <w:t xml:space="preserve">Oxford</w:t>
      </w:r>
      <w:r>
        <w:rPr>
          <w:iCs/>
          <w:i/>
        </w:rPr>
        <w:t xml:space="preserve"> </w:t>
      </w:r>
      <w:r>
        <w:rPr>
          <w:iCs/>
          <w:i/>
        </w:rPr>
        <w:t xml:space="preserve">handbook of media psychology</w:t>
      </w:r>
      <w:r>
        <w:t xml:space="preserve">. (</w:t>
      </w:r>
      <w:r>
        <w:t xml:space="preserve">Oxford University Press</w:t>
      </w:r>
      <w:r>
        <w:t xml:space="preserve">, 2013).</w:t>
      </w:r>
    </w:p>
    <w:bookmarkEnd w:id="46"/>
    <w:bookmarkStart w:id="47" w:name="ref-wartellaChildrenComputersNew2000"/>
    <w:p>
      <w:pPr>
        <w:pStyle w:val="Literaturverzeichnis"/>
      </w:pPr>
      <w:r>
        <w:t xml:space="preserve">4.</w:t>
      </w:r>
      <w:r>
        <w:t xml:space="preserve"> </w:t>
      </w:r>
      <w:r>
        <w:t xml:space="preserve">	</w:t>
      </w:r>
      <w:r>
        <w:t xml:space="preserve">Wartella, E. A. &amp; Jennings, N. Children and computers:</w:t>
      </w:r>
      <w:r>
        <w:t xml:space="preserve"> </w:t>
      </w:r>
      <w:r>
        <w:t xml:space="preserve">New</w:t>
      </w:r>
      <w:r>
        <w:t xml:space="preserve"> </w:t>
      </w:r>
      <w:r>
        <w:t xml:space="preserve">technology.</w:t>
      </w:r>
      <w:r>
        <w:t xml:space="preserve"> </w:t>
      </w:r>
      <w:r>
        <w:t xml:space="preserve">Old</w:t>
      </w:r>
      <w:r>
        <w:t xml:space="preserve"> </w:t>
      </w:r>
      <w:r>
        <w:t xml:space="preserve">concerns.</w:t>
      </w:r>
      <w:r>
        <w:t xml:space="preserve"> </w:t>
      </w:r>
      <w:r>
        <w:rPr>
          <w:iCs/>
          <w:i/>
        </w:rPr>
        <w:t xml:space="preserve">The future of children</w:t>
      </w:r>
      <w:r>
        <w:t xml:space="preserve"> </w:t>
      </w:r>
      <w:r>
        <w:t xml:space="preserve">31–43 (2000).</w:t>
      </w:r>
    </w:p>
    <w:bookmarkEnd w:id="47"/>
    <w:bookmarkStart w:id="48" w:name="ref-rhodes2015top"/>
    <w:p>
      <w:pPr>
        <w:pStyle w:val="Literaturverzeichnis"/>
      </w:pPr>
      <w:r>
        <w:t xml:space="preserve">5.</w:t>
      </w:r>
      <w:r>
        <w:t xml:space="preserve"> </w:t>
      </w:r>
      <w:r>
        <w:t xml:space="preserve">	</w:t>
      </w:r>
      <w:r>
        <w:t xml:space="preserve">Rhodes, A.</w:t>
      </w:r>
      <w:r>
        <w:t xml:space="preserve"> </w:t>
      </w:r>
      <w:r>
        <w:rPr>
          <w:iCs/>
          <w:i/>
        </w:rPr>
        <w:t xml:space="preserve">Top ten child health problems:</w:t>
      </w:r>
      <w:r>
        <w:rPr>
          <w:iCs/>
          <w:i/>
        </w:rPr>
        <w:t xml:space="preserve"> </w:t>
      </w:r>
      <w:r>
        <w:rPr>
          <w:iCs/>
          <w:i/>
        </w:rPr>
        <w:t xml:space="preserve">What</w:t>
      </w:r>
      <w:r>
        <w:rPr>
          <w:iCs/>
          <w:i/>
        </w:rPr>
        <w:t xml:space="preserve"> </w:t>
      </w:r>
      <w:r>
        <w:rPr>
          <w:iCs/>
          <w:i/>
        </w:rPr>
        <w:t xml:space="preserve">the public thinks</w:t>
      </w:r>
      <w:r>
        <w:t xml:space="preserve">. (2015).</w:t>
      </w:r>
    </w:p>
    <w:bookmarkEnd w:id="48"/>
    <w:bookmarkStart w:id="49" w:name="ref-thelancetSocialMediaScreen2019"/>
    <w:p>
      <w:pPr>
        <w:pStyle w:val="Literaturverzeichnis"/>
      </w:pPr>
      <w:r>
        <w:t xml:space="preserve">6.</w:t>
      </w:r>
      <w:r>
        <w:t xml:space="preserve"> </w:t>
      </w:r>
      <w:r>
        <w:t xml:space="preserve">	</w:t>
      </w:r>
      <w:r>
        <w:t xml:space="preserve">The Lancet. Social media, screen time, and young people’s mental health.</w:t>
      </w:r>
      <w:r>
        <w:t xml:space="preserve"> </w:t>
      </w:r>
      <w:r>
        <w:rPr>
          <w:iCs/>
          <w:i/>
        </w:rPr>
        <w:t xml:space="preserve">The Lancet</w:t>
      </w:r>
      <w:r>
        <w:t xml:space="preserve"> </w:t>
      </w:r>
      <w:r>
        <w:rPr>
          <w:bCs/>
          <w:b/>
        </w:rPr>
        <w:t xml:space="preserve">393</w:t>
      </w:r>
      <w:r>
        <w:t xml:space="preserve">, 611 (2019).</w:t>
      </w:r>
    </w:p>
    <w:bookmarkEnd w:id="49"/>
    <w:bookmarkStart w:id="50" w:name="ref-haleScreenTimeSleep2015"/>
    <w:p>
      <w:pPr>
        <w:pStyle w:val="Literaturverzeichnis"/>
      </w:pPr>
      <w:r>
        <w:t xml:space="preserve">7.</w:t>
      </w:r>
      <w:r>
        <w:t xml:space="preserve"> </w:t>
      </w:r>
      <w:r>
        <w:t xml:space="preserve">	</w:t>
      </w:r>
      <w:r>
        <w:t xml:space="preserve">Hale, L. &amp; Guan, S. Screen time and sleep among school-aged children and adolescents:</w:t>
      </w:r>
      <w:r>
        <w:t xml:space="preserve"> </w:t>
      </w:r>
      <w:r>
        <w:t xml:space="preserve">A</w:t>
      </w:r>
      <w:r>
        <w:t xml:space="preserve"> </w:t>
      </w:r>
      <w:r>
        <w:t xml:space="preserve">systematic literature review.</w:t>
      </w:r>
      <w:r>
        <w:t xml:space="preserve"> </w:t>
      </w:r>
      <w:r>
        <w:rPr>
          <w:iCs/>
          <w:i/>
        </w:rPr>
        <w:t xml:space="preserve">Sleep Medicine Reviews</w:t>
      </w:r>
      <w:r>
        <w:t xml:space="preserve"> </w:t>
      </w:r>
      <w:r>
        <w:rPr>
          <w:bCs/>
          <w:b/>
        </w:rPr>
        <w:t xml:space="preserve">21</w:t>
      </w:r>
      <w:r>
        <w:t xml:space="preserve">, 50–58 (2015).</w:t>
      </w:r>
    </w:p>
    <w:bookmarkEnd w:id="50"/>
    <w:bookmarkStart w:id="51" w:name="ref-sweetserActivePassiveScreen2012"/>
    <w:p>
      <w:pPr>
        <w:pStyle w:val="Literaturverzeichnis"/>
      </w:pPr>
      <w:r>
        <w:t xml:space="preserve">8.</w:t>
      </w:r>
      <w:r>
        <w:t xml:space="preserve"> </w:t>
      </w:r>
      <w:r>
        <w:t xml:space="preserve">	</w:t>
      </w:r>
      <w:r>
        <w:t xml:space="preserve">Sweetser, P., Johnson, D., Ozdowska, A. &amp; Wyeth, P. Active versus passive screen time for young children.</w:t>
      </w:r>
      <w:r>
        <w:t xml:space="preserve"> </w:t>
      </w:r>
      <w:r>
        <w:rPr>
          <w:iCs/>
          <w:i/>
        </w:rPr>
        <w:t xml:space="preserve">Australasian Journal of Early Childhood</w:t>
      </w:r>
      <w:r>
        <w:t xml:space="preserve"> </w:t>
      </w:r>
      <w:r>
        <w:rPr>
          <w:bCs/>
          <w:b/>
        </w:rPr>
        <w:t xml:space="preserve">37</w:t>
      </w:r>
      <w:r>
        <w:t xml:space="preserve">, 94–98 (2012).</w:t>
      </w:r>
    </w:p>
    <w:bookmarkEnd w:id="51"/>
    <w:bookmarkStart w:id="52" w:name="ref-liEarlyChildhoodComputer2004"/>
    <w:p>
      <w:pPr>
        <w:pStyle w:val="Literaturverzeichnis"/>
      </w:pPr>
      <w:r>
        <w:t xml:space="preserve">9.</w:t>
      </w:r>
      <w:r>
        <w:t xml:space="preserve"> </w:t>
      </w:r>
      <w:r>
        <w:t xml:space="preserve">	</w:t>
      </w:r>
      <w:r>
        <w:t xml:space="preserve">Li, X. &amp; Atkins, M. S. Early childhood computer experience and cognitive and motor development.</w:t>
      </w:r>
      <w:r>
        <w:t xml:space="preserve"> </w:t>
      </w:r>
      <w:r>
        <w:rPr>
          <w:iCs/>
          <w:i/>
        </w:rPr>
        <w:t xml:space="preserve">Pediatrics</w:t>
      </w:r>
      <w:r>
        <w:t xml:space="preserve"> </w:t>
      </w:r>
      <w:r>
        <w:rPr>
          <w:bCs/>
          <w:b/>
        </w:rPr>
        <w:t xml:space="preserve">113</w:t>
      </w:r>
      <w:r>
        <w:t xml:space="preserve">, 1715–1722 (2004).</w:t>
      </w:r>
    </w:p>
    <w:bookmarkEnd w:id="52"/>
    <w:bookmarkStart w:id="53" w:name="ref-warburton2017children"/>
    <w:p>
      <w:pPr>
        <w:pStyle w:val="Literaturverzeichnis"/>
      </w:pPr>
      <w:r>
        <w:t xml:space="preserve">10.</w:t>
      </w:r>
      <w:r>
        <w:t xml:space="preserve"> </w:t>
      </w:r>
      <w:r>
        <w:t xml:space="preserve">	</w:t>
      </w:r>
      <w:r>
        <w:t xml:space="preserve">Warburton, W. &amp; Highfield, K. Children and technology in a smart device world. in</w:t>
      </w:r>
      <w:r>
        <w:t xml:space="preserve"> </w:t>
      </w:r>
      <w:r>
        <w:rPr>
          <w:iCs/>
          <w:i/>
        </w:rPr>
        <w:t xml:space="preserve">Children,</w:t>
      </w:r>
      <w:r>
        <w:rPr>
          <w:iCs/>
          <w:i/>
        </w:rPr>
        <w:t xml:space="preserve"> </w:t>
      </w:r>
      <w:r>
        <w:rPr>
          <w:iCs/>
          <w:i/>
        </w:rPr>
        <w:t xml:space="preserve">Families</w:t>
      </w:r>
      <w:r>
        <w:rPr>
          <w:iCs/>
          <w:i/>
        </w:rPr>
        <w:t xml:space="preserve"> </w:t>
      </w:r>
      <w:r>
        <w:rPr>
          <w:iCs/>
          <w:i/>
        </w:rPr>
        <w:t xml:space="preserve">and</w:t>
      </w:r>
      <w:r>
        <w:rPr>
          <w:iCs/>
          <w:i/>
        </w:rPr>
        <w:t xml:space="preserve"> </w:t>
      </w:r>
      <w:r>
        <w:rPr>
          <w:iCs/>
          <w:i/>
        </w:rPr>
        <w:t xml:space="preserve">Communities</w:t>
      </w:r>
      <w:r>
        <w:t xml:space="preserve"> </w:t>
      </w:r>
      <w:r>
        <w:t xml:space="preserve">195–221 (</w:t>
      </w:r>
      <w:r>
        <w:t xml:space="preserve">Oxford University Press</w:t>
      </w:r>
      <w:r>
        <w:t xml:space="preserve">, 2017).</w:t>
      </w:r>
    </w:p>
    <w:bookmarkEnd w:id="53"/>
    <w:bookmarkStart w:id="54" w:name="Xba72e297d9cbf8518b6b834b3bc3a29e46328b2"/>
    <w:p>
      <w:pPr>
        <w:pStyle w:val="Literaturverzeichnis"/>
      </w:pPr>
      <w:r>
        <w:t xml:space="preserve">11.</w:t>
      </w:r>
      <w:r>
        <w:t xml:space="preserve"> </w:t>
      </w:r>
      <w:r>
        <w:t xml:space="preserve">	</w:t>
      </w:r>
      <w:r>
        <w:t xml:space="preserve">Nature Human Behaviour. Screen time: How much is too much?</w:t>
      </w:r>
      <w:r>
        <w:t xml:space="preserve"> </w:t>
      </w:r>
      <w:r>
        <w:rPr>
          <w:iCs/>
          <w:i/>
        </w:rPr>
        <w:t xml:space="preserve">Nature</w:t>
      </w:r>
      <w:r>
        <w:t xml:space="preserve"> </w:t>
      </w:r>
      <w:r>
        <w:rPr>
          <w:bCs/>
          <w:b/>
        </w:rPr>
        <w:t xml:space="preserve">565</w:t>
      </w:r>
      <w:r>
        <w:t xml:space="preserve">, 265–266 (2019).</w:t>
      </w:r>
    </w:p>
    <w:bookmarkEnd w:id="54"/>
    <w:bookmarkStart w:id="55" w:name="ref-whoGuidelinesPhysicalActivity2019"/>
    <w:p>
      <w:pPr>
        <w:pStyle w:val="Literaturverzeichnis"/>
      </w:pPr>
      <w:r>
        <w:t xml:space="preserve">12.</w:t>
      </w:r>
      <w:r>
        <w:t xml:space="preserve"> </w:t>
      </w:r>
      <w:r>
        <w:t xml:space="preserve">	</w:t>
      </w:r>
      <w:r>
        <w:t xml:space="preserve">World Health Organization.</w:t>
      </w:r>
      <w:r>
        <w:t xml:space="preserve"> </w:t>
      </w:r>
      <w:r>
        <w:rPr>
          <w:iCs/>
          <w:i/>
        </w:rPr>
        <w:t xml:space="preserve">Guidelines on physical activity, sedentary behaviour and sleep for children under 5 years of age</w:t>
      </w:r>
      <w:r>
        <w:t xml:space="preserve">. 33 p. (</w:t>
      </w:r>
      <w:r>
        <w:t xml:space="preserve">World Health Organization</w:t>
      </w:r>
      <w:r>
        <w:t xml:space="preserve">, 2019).</w:t>
      </w:r>
    </w:p>
    <w:bookmarkEnd w:id="55"/>
    <w:bookmarkStart w:id="56" w:name="X8588d9d7f9ed485dd77d344ac578c697e5191f7"/>
    <w:p>
      <w:pPr>
        <w:pStyle w:val="Literaturverzeichnis"/>
      </w:pPr>
      <w:r>
        <w:t xml:space="preserve">13.</w:t>
      </w:r>
      <w:r>
        <w:t xml:space="preserve"> </w:t>
      </w:r>
      <w:r>
        <w:t xml:space="preserve">	</w:t>
      </w:r>
      <w:r>
        <w:t xml:space="preserve">Australian Government.</w:t>
      </w:r>
      <w:r>
        <w:t xml:space="preserve"> </w:t>
      </w:r>
      <w:r>
        <w:rPr>
          <w:iCs/>
          <w:i/>
        </w:rPr>
        <w:t xml:space="preserve">Physical activity and exercise guidelines for all</w:t>
      </w:r>
      <w:r>
        <w:rPr>
          <w:iCs/>
          <w:i/>
        </w:rPr>
        <w:t xml:space="preserve"> </w:t>
      </w:r>
      <w:r>
        <w:rPr>
          <w:iCs/>
          <w:i/>
        </w:rPr>
        <w:t xml:space="preserve">Australians</w:t>
      </w:r>
      <w:r>
        <w:t xml:space="preserve">. (2021).</w:t>
      </w:r>
    </w:p>
    <w:bookmarkEnd w:id="56"/>
    <w:bookmarkStart w:id="57" w:name="ref-Canadian24HourMovement2016"/>
    <w:p>
      <w:pPr>
        <w:pStyle w:val="Literaturverzeichnis"/>
      </w:pPr>
      <w:r>
        <w:t xml:space="preserve">14.</w:t>
      </w:r>
      <w:r>
        <w:t xml:space="preserve"> </w:t>
      </w:r>
      <w:r>
        <w:t xml:space="preserve">	</w:t>
      </w:r>
      <w:r>
        <w:t xml:space="preserve">Canadian Society for Exercise Physiology.</w:t>
      </w:r>
      <w:r>
        <w:t xml:space="preserve"> </w:t>
      </w:r>
      <w:r>
        <w:rPr>
          <w:iCs/>
          <w:i/>
        </w:rPr>
        <w:t xml:space="preserve">Canadian 24-</w:t>
      </w:r>
      <w:r>
        <w:rPr>
          <w:iCs/>
          <w:i/>
        </w:rPr>
        <w:t xml:space="preserve">Hour Movement Guidelines</w:t>
      </w:r>
      <w:r>
        <w:rPr>
          <w:iCs/>
          <w:i/>
        </w:rPr>
        <w:t xml:space="preserve"> </w:t>
      </w:r>
      <w:r>
        <w:rPr>
          <w:iCs/>
          <w:i/>
        </w:rPr>
        <w:t xml:space="preserve">for</w:t>
      </w:r>
      <w:r>
        <w:rPr>
          <w:iCs/>
          <w:i/>
        </w:rPr>
        <w:t xml:space="preserve"> </w:t>
      </w:r>
      <w:r>
        <w:rPr>
          <w:iCs/>
          <w:i/>
        </w:rPr>
        <w:t xml:space="preserve">Children</w:t>
      </w:r>
      <w:r>
        <w:rPr>
          <w:iCs/>
          <w:i/>
        </w:rPr>
        <w:t xml:space="preserve"> </w:t>
      </w:r>
      <w:r>
        <w:rPr>
          <w:iCs/>
          <w:i/>
        </w:rPr>
        <w:t xml:space="preserve">and</w:t>
      </w:r>
      <w:r>
        <w:rPr>
          <w:iCs/>
          <w:i/>
        </w:rPr>
        <w:t xml:space="preserve"> </w:t>
      </w:r>
      <w:r>
        <w:rPr>
          <w:iCs/>
          <w:i/>
        </w:rPr>
        <w:t xml:space="preserve">Youth</w:t>
      </w:r>
      <w:r>
        <w:rPr>
          <w:iCs/>
          <w:i/>
        </w:rPr>
        <w:t xml:space="preserve">:</w:t>
      </w:r>
      <w:r>
        <w:rPr>
          <w:iCs/>
          <w:i/>
        </w:rPr>
        <w:t xml:space="preserve"> </w:t>
      </w:r>
      <w:r>
        <w:rPr>
          <w:iCs/>
          <w:i/>
        </w:rPr>
        <w:t xml:space="preserve">An Integration</w:t>
      </w:r>
      <w:r>
        <w:rPr>
          <w:iCs/>
          <w:i/>
        </w:rPr>
        <w:t xml:space="preserve"> </w:t>
      </w:r>
      <w:r>
        <w:rPr>
          <w:iCs/>
          <w:i/>
        </w:rPr>
        <w:t xml:space="preserve">of</w:t>
      </w:r>
      <w:r>
        <w:rPr>
          <w:iCs/>
          <w:i/>
        </w:rPr>
        <w:t xml:space="preserve"> </w:t>
      </w:r>
      <w:r>
        <w:rPr>
          <w:iCs/>
          <w:i/>
        </w:rPr>
        <w:t xml:space="preserve">Physical Activity</w:t>
      </w:r>
      <w:r>
        <w:rPr>
          <w:iCs/>
          <w:i/>
        </w:rPr>
        <w:t xml:space="preserve">,</w:t>
      </w:r>
      <w:r>
        <w:rPr>
          <w:iCs/>
          <w:i/>
        </w:rPr>
        <w:t xml:space="preserve"> </w:t>
      </w:r>
      <w:r>
        <w:rPr>
          <w:iCs/>
          <w:i/>
        </w:rPr>
        <w:t xml:space="preserve">Sedentary Behaviour</w:t>
      </w:r>
      <w:r>
        <w:rPr>
          <w:iCs/>
          <w:i/>
        </w:rPr>
        <w:t xml:space="preserve">, and</w:t>
      </w:r>
      <w:r>
        <w:rPr>
          <w:iCs/>
          <w:i/>
        </w:rPr>
        <w:t xml:space="preserve"> </w:t>
      </w:r>
      <w:r>
        <w:rPr>
          <w:iCs/>
          <w:i/>
        </w:rPr>
        <w:t xml:space="preserve">Sleep</w:t>
      </w:r>
      <w:r>
        <w:t xml:space="preserve">. (2016).</w:t>
      </w:r>
    </w:p>
    <w:bookmarkEnd w:id="57"/>
    <w:bookmarkStart w:id="58" w:name="ref-AAPMediaUseSchoolAged2016"/>
    <w:p>
      <w:pPr>
        <w:pStyle w:val="Literaturverzeichnis"/>
      </w:pPr>
      <w:r>
        <w:t xml:space="preserve">15.</w:t>
      </w:r>
      <w:r>
        <w:t xml:space="preserve"> </w:t>
      </w:r>
      <w:r>
        <w:t xml:space="preserve">	</w:t>
      </w:r>
      <w:r>
        <w:t xml:space="preserve">Council On Communication and Media. Media</w:t>
      </w:r>
      <w:r>
        <w:t xml:space="preserve"> </w:t>
      </w:r>
      <w:r>
        <w:t xml:space="preserve">Use</w:t>
      </w:r>
      <w:r>
        <w:t xml:space="preserve"> </w:t>
      </w:r>
      <w:r>
        <w:t xml:space="preserve">in</w:t>
      </w:r>
      <w:r>
        <w:t xml:space="preserve"> </w:t>
      </w:r>
      <w:r>
        <w:t xml:space="preserve">School-Aged Children</w:t>
      </w:r>
      <w:r>
        <w:t xml:space="preserve"> </w:t>
      </w:r>
      <w:r>
        <w:t xml:space="preserve">and</w:t>
      </w:r>
      <w:r>
        <w:t xml:space="preserve"> </w:t>
      </w:r>
      <w:r>
        <w:t xml:space="preserve">Adolescents</w:t>
      </w:r>
      <w:r>
        <w:t xml:space="preserve">.</w:t>
      </w:r>
      <w:r>
        <w:t xml:space="preserve"> </w:t>
      </w:r>
      <w:r>
        <w:rPr>
          <w:iCs/>
          <w:i/>
        </w:rPr>
        <w:t xml:space="preserve">Pediatrics</w:t>
      </w:r>
      <w:r>
        <w:t xml:space="preserve"> </w:t>
      </w:r>
      <w:r>
        <w:rPr>
          <w:bCs/>
          <w:b/>
        </w:rPr>
        <w:t xml:space="preserve">138</w:t>
      </w:r>
      <w:r>
        <w:t xml:space="preserve">, e20162592 (2016).</w:t>
      </w:r>
    </w:p>
    <w:bookmarkEnd w:id="58"/>
    <w:bookmarkStart w:id="59" w:name="X489b8b306f94f031197b219102b7890e218ac60"/>
    <w:p>
      <w:pPr>
        <w:pStyle w:val="Literaturverzeichnis"/>
      </w:pPr>
      <w:r>
        <w:t xml:space="preserve">16.</w:t>
      </w:r>
      <w:r>
        <w:t xml:space="preserve"> </w:t>
      </w:r>
      <w:r>
        <w:t xml:space="preserve">	</w:t>
      </w:r>
      <w:r>
        <w:t xml:space="preserve">Ferguson, C. J. Everything in</w:t>
      </w:r>
      <w:r>
        <w:t xml:space="preserve"> </w:t>
      </w:r>
      <w:r>
        <w:t xml:space="preserve">Moderation</w:t>
      </w:r>
      <w:r>
        <w:t xml:space="preserve">:</w:t>
      </w:r>
      <w:r>
        <w:t xml:space="preserve"> </w:t>
      </w:r>
      <w:r>
        <w:t xml:space="preserve">Moderate Use</w:t>
      </w:r>
      <w:r>
        <w:t xml:space="preserve"> </w:t>
      </w:r>
      <w:r>
        <w:t xml:space="preserve">of</w:t>
      </w:r>
      <w:r>
        <w:t xml:space="preserve"> </w:t>
      </w:r>
      <w:r>
        <w:t xml:space="preserve">Screens Unassociated</w:t>
      </w:r>
      <w:r>
        <w:t xml:space="preserve"> </w:t>
      </w:r>
      <w:r>
        <w:t xml:space="preserve">with</w:t>
      </w:r>
      <w:r>
        <w:t xml:space="preserve"> </w:t>
      </w:r>
      <w:r>
        <w:t xml:space="preserve">Child Behavior Problems</w:t>
      </w:r>
      <w:r>
        <w:t xml:space="preserve">.</w:t>
      </w:r>
      <w:r>
        <w:t xml:space="preserve"> </w:t>
      </w:r>
      <w:r>
        <w:rPr>
          <w:iCs/>
          <w:i/>
        </w:rPr>
        <w:t xml:space="preserve">Psychiatric Quarterly</w:t>
      </w:r>
      <w:r>
        <w:t xml:space="preserve"> </w:t>
      </w:r>
      <w:r>
        <w:rPr>
          <w:bCs/>
          <w:b/>
        </w:rPr>
        <w:t xml:space="preserve">88</w:t>
      </w:r>
      <w:r>
        <w:t xml:space="preserve">, 797–805 (2017).</w:t>
      </w:r>
    </w:p>
    <w:bookmarkEnd w:id="59"/>
    <w:bookmarkStart w:id="60" w:name="Xf37392443a0d0d7ceef3a5245221577b66850d1"/>
    <w:p>
      <w:pPr>
        <w:pStyle w:val="Literaturverzeichnis"/>
      </w:pPr>
      <w:r>
        <w:t xml:space="preserve">17.</w:t>
      </w:r>
      <w:r>
        <w:t xml:space="preserve"> </w:t>
      </w:r>
      <w:r>
        <w:t xml:space="preserve">	</w:t>
      </w:r>
      <w:r>
        <w:t xml:space="preserve">Przybylski, A. K. &amp; Weinstein, N. A</w:t>
      </w:r>
      <w:r>
        <w:t xml:space="preserve"> </w:t>
      </w:r>
      <w:r>
        <w:t xml:space="preserve">Large-Scale Test</w:t>
      </w:r>
      <w:r>
        <w:t xml:space="preserve"> </w:t>
      </w:r>
      <w:r>
        <w:t xml:space="preserve">of the</w:t>
      </w:r>
      <w:r>
        <w:t xml:space="preserve"> </w:t>
      </w:r>
      <w:r>
        <w:t xml:space="preserve">Goldilocks Hypothesis</w:t>
      </w:r>
      <w:r>
        <w:t xml:space="preserve">:</w:t>
      </w:r>
      <w:r>
        <w:t xml:space="preserve"> </w:t>
      </w:r>
      <w:r>
        <w:t xml:space="preserve">Quantifying</w:t>
      </w:r>
      <w:r>
        <w:t xml:space="preserve"> </w:t>
      </w:r>
      <w:r>
        <w:t xml:space="preserve">the</w:t>
      </w:r>
      <w:r>
        <w:t xml:space="preserve"> </w:t>
      </w:r>
      <w:r>
        <w:t xml:space="preserve">Relations Between Digital-Screen Use</w:t>
      </w:r>
      <w:r>
        <w:t xml:space="preserve"> </w:t>
      </w:r>
      <w:r>
        <w:t xml:space="preserve">and the</w:t>
      </w:r>
      <w:r>
        <w:t xml:space="preserve"> </w:t>
      </w:r>
      <w:r>
        <w:t xml:space="preserve">Mental Well-Being</w:t>
      </w:r>
      <w:r>
        <w:t xml:space="preserve"> </w:t>
      </w:r>
      <w:r>
        <w:t xml:space="preserve">of</w:t>
      </w:r>
      <w:r>
        <w:t xml:space="preserve"> </w:t>
      </w:r>
      <w:r>
        <w:t xml:space="preserve">Adolescents</w:t>
      </w:r>
      <w:r>
        <w:t xml:space="preserve">.</w:t>
      </w:r>
      <w:r>
        <w:t xml:space="preserve"> </w:t>
      </w:r>
      <w:r>
        <w:rPr>
          <w:iCs/>
          <w:i/>
        </w:rPr>
        <w:t xml:space="preserve">Psychological Science</w:t>
      </w:r>
      <w:r>
        <w:t xml:space="preserve"> </w:t>
      </w:r>
      <w:r>
        <w:rPr>
          <w:bCs/>
          <w:b/>
        </w:rPr>
        <w:t xml:space="preserve">28</w:t>
      </w:r>
      <w:r>
        <w:t xml:space="preserve">, 204–215 (2017).</w:t>
      </w:r>
    </w:p>
    <w:bookmarkEnd w:id="60"/>
    <w:bookmarkStart w:id="61" w:name="ref-sandersTypeScreenTime2019"/>
    <w:p>
      <w:pPr>
        <w:pStyle w:val="Literaturverzeichnis"/>
      </w:pPr>
      <w:r>
        <w:t xml:space="preserve">18.</w:t>
      </w:r>
      <w:r>
        <w:t xml:space="preserve"> </w:t>
      </w:r>
      <w:r>
        <w:t xml:space="preserve">	</w:t>
      </w:r>
      <w:r>
        <w:t xml:space="preserve">Sanders, T., Parker, P. D., del Pozo-Cruz, B., Noetel, M. &amp; Lonsdale, C. Type of screen time moderates effects on outcomes in 4013 children: Evidence from the</w:t>
      </w:r>
      <w:r>
        <w:t xml:space="preserve"> </w:t>
      </w:r>
      <w:r>
        <w:t xml:space="preserve">Longitudinal Study</w:t>
      </w:r>
      <w:r>
        <w:t xml:space="preserve"> </w:t>
      </w:r>
      <w:r>
        <w:t xml:space="preserve">of</w:t>
      </w:r>
      <w:r>
        <w:t xml:space="preserve"> </w:t>
      </w:r>
      <w:r>
        <w:t xml:space="preserve">Australian Children</w:t>
      </w:r>
      <w:r>
        <w:t xml:space="preserve">.</w:t>
      </w:r>
      <w:r>
        <w:t xml:space="preserve"> </w:t>
      </w:r>
      <w:r>
        <w:rPr>
          <w:iCs/>
          <w:i/>
        </w:rPr>
        <w:t xml:space="preserve">International Journal of Behavioral Nutrition and Physical Activity</w:t>
      </w:r>
      <w:r>
        <w:t xml:space="preserve"> </w:t>
      </w:r>
      <w:r>
        <w:rPr>
          <w:bCs/>
          <w:b/>
        </w:rPr>
        <w:t xml:space="preserve">16</w:t>
      </w:r>
      <w:r>
        <w:t xml:space="preserve">, 117 (2019).</w:t>
      </w:r>
    </w:p>
    <w:bookmarkEnd w:id="61"/>
    <w:bookmarkStart w:id="62" w:name="X732dd09b1852abffa67a560d2f1a5008ba51954"/>
    <w:p>
      <w:pPr>
        <w:pStyle w:val="Literaturverzeichnis"/>
      </w:pPr>
      <w:r>
        <w:t xml:space="preserve">19.</w:t>
      </w:r>
      <w:r>
        <w:t xml:space="preserve"> </w:t>
      </w:r>
      <w:r>
        <w:t xml:space="preserve">	</w:t>
      </w:r>
      <w:r>
        <w:t xml:space="preserve">Kaye, L. K., Orben, A., Ellis, D. A., Hunter, S. C. &amp; Houghton, S. The</w:t>
      </w:r>
      <w:r>
        <w:t xml:space="preserve"> </w:t>
      </w:r>
      <w:r>
        <w:t xml:space="preserve">Conceptual</w:t>
      </w:r>
      <w:r>
        <w:t xml:space="preserve"> </w:t>
      </w:r>
      <w:r>
        <w:t xml:space="preserve">and</w:t>
      </w:r>
      <w:r>
        <w:t xml:space="preserve"> </w:t>
      </w:r>
      <w:r>
        <w:t xml:space="preserve">Methodological Mayhem</w:t>
      </w:r>
      <w:r>
        <w:t xml:space="preserve"> </w:t>
      </w:r>
      <w:r>
        <w:t xml:space="preserve">of</w:t>
      </w:r>
      <w:r>
        <w:t xml:space="preserve"> </w:t>
      </w:r>
      <w:r>
        <w:t xml:space="preserve">‘</w:t>
      </w:r>
      <w:r>
        <w:t xml:space="preserve">Screen Time</w:t>
      </w:r>
      <w:r>
        <w:t xml:space="preserve">’</w:t>
      </w:r>
      <w:r>
        <w:t xml:space="preserve">.</w:t>
      </w:r>
      <w:r>
        <w:t xml:space="preserve"> </w:t>
      </w:r>
      <w:r>
        <w:rPr>
          <w:iCs/>
          <w:i/>
        </w:rPr>
        <w:t xml:space="preserve">International Journal of Environmental Research and Public Health</w:t>
      </w:r>
      <w:r>
        <w:t xml:space="preserve"> </w:t>
      </w:r>
      <w:r>
        <w:rPr>
          <w:bCs/>
          <w:b/>
        </w:rPr>
        <w:t xml:space="preserve">17</w:t>
      </w:r>
      <w:r>
        <w:t xml:space="preserve">, 3661 (2020).</w:t>
      </w:r>
    </w:p>
    <w:bookmarkEnd w:id="62"/>
    <w:bookmarkStart w:id="63" w:name="Xd9ea48f2081c97cc01a86ff90acd7a44bcc3ee6"/>
    <w:p>
      <w:pPr>
        <w:pStyle w:val="Literaturverzeichnis"/>
      </w:pPr>
      <w:r>
        <w:t xml:space="preserve">20.</w:t>
      </w:r>
      <w:r>
        <w:t xml:space="preserve"> </w:t>
      </w:r>
      <w:r>
        <w:t xml:space="preserve">	</w:t>
      </w:r>
      <w:r>
        <w:t xml:space="preserve">Chassiakos, Y. L. R.</w:t>
      </w:r>
      <w:r>
        <w:t xml:space="preserve"> </w:t>
      </w:r>
      <w:r>
        <w:rPr>
          <w:iCs/>
          <w:i/>
        </w:rPr>
        <w:t xml:space="preserve">et al.</w:t>
      </w:r>
      <w:r>
        <w:t xml:space="preserve"> Children and</w:t>
      </w:r>
      <w:r>
        <w:t xml:space="preserve"> </w:t>
      </w:r>
      <w:r>
        <w:t xml:space="preserve">Adolescents</w:t>
      </w:r>
      <w:r>
        <w:t xml:space="preserve"> </w:t>
      </w:r>
      <w:r>
        <w:t xml:space="preserve">and</w:t>
      </w:r>
      <w:r>
        <w:t xml:space="preserve"> </w:t>
      </w:r>
      <w:r>
        <w:t xml:space="preserve">Digital Media</w:t>
      </w:r>
      <w:r>
        <w:t xml:space="preserve">.</w:t>
      </w:r>
      <w:r>
        <w:t xml:space="preserve"> </w:t>
      </w:r>
      <w:r>
        <w:rPr>
          <w:iCs/>
          <w:i/>
        </w:rPr>
        <w:t xml:space="preserve">Pediatrics</w:t>
      </w:r>
      <w:r>
        <w:t xml:space="preserve"> </w:t>
      </w:r>
      <w:r>
        <w:rPr>
          <w:bCs/>
          <w:b/>
        </w:rPr>
        <w:t xml:space="preserve">138</w:t>
      </w:r>
      <w:r>
        <w:t xml:space="preserve">, e20162593 (2016).</w:t>
      </w:r>
    </w:p>
    <w:bookmarkEnd w:id="63"/>
    <w:bookmarkStart w:id="64" w:name="ref-stiglicEffectsScreentimeHealth2019"/>
    <w:p>
      <w:pPr>
        <w:pStyle w:val="Literaturverzeichnis"/>
      </w:pPr>
      <w:r>
        <w:t xml:space="preserve">21.</w:t>
      </w:r>
      <w:r>
        <w:t xml:space="preserve"> </w:t>
      </w:r>
      <w:r>
        <w:t xml:space="preserve">	</w:t>
      </w:r>
      <w:r>
        <w:t xml:space="preserve">Stiglic, N. &amp; Viner, R. M. Effects of screentime on the health and well-being of children and adolescents: A systematic review of reviews.</w:t>
      </w:r>
      <w:r>
        <w:t xml:space="preserve"> </w:t>
      </w:r>
      <w:r>
        <w:rPr>
          <w:iCs/>
          <w:i/>
        </w:rPr>
        <w:t xml:space="preserve">BMJ Open</w:t>
      </w:r>
      <w:r>
        <w:t xml:space="preserve"> </w:t>
      </w:r>
      <w:r>
        <w:rPr>
          <w:bCs/>
          <w:b/>
        </w:rPr>
        <w:t xml:space="preserve">9</w:t>
      </w:r>
      <w:r>
        <w:t xml:space="preserve">, e023191 (2019).</w:t>
      </w:r>
    </w:p>
    <w:bookmarkEnd w:id="64"/>
    <w:bookmarkStart w:id="65" w:name="ref-valkenburgSocialMediaUse2022"/>
    <w:p>
      <w:pPr>
        <w:pStyle w:val="Literaturverzeichnis"/>
      </w:pPr>
      <w:r>
        <w:t xml:space="preserve">22.</w:t>
      </w:r>
      <w:r>
        <w:t xml:space="preserve"> </w:t>
      </w:r>
      <w:r>
        <w:t xml:space="preserve">	</w:t>
      </w:r>
      <w:r>
        <w:t xml:space="preserve">Valkenburg, P. M., Meier, A. &amp; Beyens, I. Social media use and its impact on adolescent mental health:</w:t>
      </w:r>
      <w:r>
        <w:t xml:space="preserve"> </w:t>
      </w:r>
      <w:r>
        <w:t xml:space="preserve">An</w:t>
      </w:r>
      <w:r>
        <w:t xml:space="preserve"> </w:t>
      </w:r>
      <w:r>
        <w:t xml:space="preserve">umbrella review of the evidence.</w:t>
      </w:r>
      <w:r>
        <w:t xml:space="preserve"> </w:t>
      </w:r>
      <w:r>
        <w:rPr>
          <w:iCs/>
          <w:i/>
        </w:rPr>
        <w:t xml:space="preserve">Current Opinion in Psychology</w:t>
      </w:r>
      <w:r>
        <w:t xml:space="preserve"> </w:t>
      </w:r>
      <w:r>
        <w:rPr>
          <w:bCs/>
          <w:b/>
        </w:rPr>
        <w:t xml:space="preserve">44</w:t>
      </w:r>
      <w:r>
        <w:t xml:space="preserve">, 58–68 (2022).</w:t>
      </w:r>
    </w:p>
    <w:bookmarkEnd w:id="65"/>
    <w:bookmarkStart w:id="66" w:name="X8f5b5b681c3530c1044dd81a9d95caf728d6cbf"/>
    <w:p>
      <w:pPr>
        <w:pStyle w:val="Literaturverzeichnis"/>
      </w:pPr>
      <w:r>
        <w:t xml:space="preserve">23.</w:t>
      </w:r>
      <w:r>
        <w:t xml:space="preserve"> </w:t>
      </w:r>
      <w:r>
        <w:t xml:space="preserve">	</w:t>
      </w:r>
      <w:r>
        <w:t xml:space="preserve">Arias-de la Torre, J.</w:t>
      </w:r>
      <w:r>
        <w:t xml:space="preserve"> </w:t>
      </w:r>
      <w:r>
        <w:rPr>
          <w:iCs/>
          <w:i/>
        </w:rPr>
        <w:t xml:space="preserve">et al.</w:t>
      </w:r>
      <w:r>
        <w:t xml:space="preserve"> Relationship</w:t>
      </w:r>
      <w:r>
        <w:t xml:space="preserve"> </w:t>
      </w:r>
      <w:r>
        <w:t xml:space="preserve">Between Depression</w:t>
      </w:r>
      <w:r>
        <w:t xml:space="preserve"> </w:t>
      </w:r>
      <w:r>
        <w:t xml:space="preserve">and the</w:t>
      </w:r>
      <w:r>
        <w:t xml:space="preserve"> </w:t>
      </w:r>
      <w:r>
        <w:t xml:space="preserve">Use</w:t>
      </w:r>
      <w:r>
        <w:t xml:space="preserve"> </w:t>
      </w:r>
      <w:r>
        <w:t xml:space="preserve">of</w:t>
      </w:r>
      <w:r>
        <w:t xml:space="preserve"> </w:t>
      </w:r>
      <w:r>
        <w:t xml:space="preserve">Mobile Technologies</w:t>
      </w:r>
      <w:r>
        <w:t xml:space="preserve"> </w:t>
      </w:r>
      <w:r>
        <w:t xml:space="preserve">and</w:t>
      </w:r>
      <w:r>
        <w:t xml:space="preserve"> </w:t>
      </w:r>
      <w:r>
        <w:t xml:space="preserve">Social Media Among Adolescents</w:t>
      </w:r>
      <w:r>
        <w:t xml:space="preserve">:</w:t>
      </w:r>
      <w:r>
        <w:t xml:space="preserve"> </w:t>
      </w:r>
      <w:r>
        <w:t xml:space="preserve">Umbrella Review</w:t>
      </w:r>
      <w:r>
        <w:t xml:space="preserve">.</w:t>
      </w:r>
      <w:r>
        <w:t xml:space="preserve"> </w:t>
      </w:r>
      <w:r>
        <w:rPr>
          <w:iCs/>
          <w:i/>
        </w:rPr>
        <w:t xml:space="preserve">Journal of Medical Internet Research</w:t>
      </w:r>
      <w:r>
        <w:t xml:space="preserve"> </w:t>
      </w:r>
      <w:r>
        <w:rPr>
          <w:bCs/>
          <w:b/>
        </w:rPr>
        <w:t xml:space="preserve">22</w:t>
      </w:r>
      <w:r>
        <w:t xml:space="preserve">, e16388 (2020).</w:t>
      </w:r>
    </w:p>
    <w:bookmarkEnd w:id="66"/>
    <w:bookmarkStart w:id="67" w:name="ref-orbenTeenagersScreensSocial2020"/>
    <w:p>
      <w:pPr>
        <w:pStyle w:val="Literaturverzeichnis"/>
      </w:pPr>
      <w:r>
        <w:t xml:space="preserve">24.</w:t>
      </w:r>
      <w:r>
        <w:t xml:space="preserve"> </w:t>
      </w:r>
      <w:r>
        <w:t xml:space="preserve">	</w:t>
      </w:r>
      <w:r>
        <w:t xml:space="preserve">Orben, A. Teenagers, screens and social media: A narrative review of reviews and key studies.</w:t>
      </w:r>
      <w:r>
        <w:t xml:space="preserve"> </w:t>
      </w:r>
      <w:r>
        <w:rPr>
          <w:iCs/>
          <w:i/>
        </w:rPr>
        <w:t xml:space="preserve">Social Psychiatry and Psychiatric Epidemiology</w:t>
      </w:r>
      <w:r>
        <w:t xml:space="preserve"> </w:t>
      </w:r>
      <w:r>
        <w:rPr>
          <w:bCs/>
          <w:b/>
        </w:rPr>
        <w:t xml:space="preserve">55</w:t>
      </w:r>
      <w:r>
        <w:t xml:space="preserve">, 407–414 (2020).</w:t>
      </w:r>
    </w:p>
    <w:bookmarkEnd w:id="67"/>
    <w:bookmarkStart w:id="68" w:name="ref-pollockChapterOverviewsReviews2022"/>
    <w:p>
      <w:pPr>
        <w:pStyle w:val="Literaturverzeichnis"/>
      </w:pPr>
      <w:r>
        <w:t xml:space="preserve">25.</w:t>
      </w:r>
      <w:r>
        <w:t xml:space="preserve"> </w:t>
      </w:r>
      <w:r>
        <w:t xml:space="preserve">	</w:t>
      </w:r>
      <w:r>
        <w:t xml:space="preserve">Pollock, M., Fernandes, R., Becker, L., Pieper, D. &amp; Hartling, L. Chapter</w:t>
      </w:r>
      <w:r>
        <w:t xml:space="preserve"> </w:t>
      </w:r>
      <w:r>
        <w:t xml:space="preserve">V</w:t>
      </w:r>
      <w:r>
        <w:t xml:space="preserve">:</w:t>
      </w:r>
      <w:r>
        <w:t xml:space="preserve"> </w:t>
      </w:r>
      <w:r>
        <w:t xml:space="preserve">Overviews</w:t>
      </w:r>
      <w:r>
        <w:t xml:space="preserve"> </w:t>
      </w:r>
      <w:r>
        <w:t xml:space="preserve">of</w:t>
      </w:r>
      <w:r>
        <w:t xml:space="preserve"> </w:t>
      </w:r>
      <w:r>
        <w:t xml:space="preserve">Reviews</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et al.) (</w:t>
      </w:r>
      <w:r>
        <w:t xml:space="preserve">Cochrane</w:t>
      </w:r>
      <w:r>
        <w:t xml:space="preserve">, 2022).</w:t>
      </w:r>
    </w:p>
    <w:bookmarkEnd w:id="68"/>
    <w:bookmarkStart w:id="69" w:name="ref-xieCanTouchscreenDevices2018"/>
    <w:p>
      <w:pPr>
        <w:pStyle w:val="Literaturverzeichnis"/>
      </w:pPr>
      <w:r>
        <w:t xml:space="preserve">26.</w:t>
      </w:r>
      <w:r>
        <w:t xml:space="preserve"> </w:t>
      </w:r>
      <w:r>
        <w:t xml:space="preserve">	</w:t>
      </w:r>
      <w:r>
        <w:t xml:space="preserve">Xie, H.</w:t>
      </w:r>
      <w:r>
        <w:t xml:space="preserve"> </w:t>
      </w:r>
      <w:r>
        <w:rPr>
          <w:iCs/>
          <w:i/>
        </w:rPr>
        <w:t xml:space="preserve">et al.</w:t>
      </w:r>
      <w:r>
        <w:t xml:space="preserve"> Can</w:t>
      </w:r>
      <w:r>
        <w:t xml:space="preserve"> </w:t>
      </w:r>
      <w:r>
        <w:t xml:space="preserve">Touchscreen Devices</w:t>
      </w:r>
      <w:r>
        <w:t xml:space="preserve"> </w:t>
      </w:r>
      <w:r>
        <w:t xml:space="preserve">be</w:t>
      </w:r>
      <w:r>
        <w:t xml:space="preserve"> </w:t>
      </w:r>
      <w:r>
        <w:t xml:space="preserve">Used</w:t>
      </w:r>
      <w:r>
        <w:t xml:space="preserve"> </w:t>
      </w:r>
      <w:r>
        <w:t xml:space="preserve">to</w:t>
      </w:r>
      <w:r>
        <w:t xml:space="preserve"> </w:t>
      </w:r>
      <w:r>
        <w:t xml:space="preserve">Facilitate Young Children</w:t>
      </w:r>
      <w:r>
        <w:t xml:space="preserve">’s</w:t>
      </w:r>
      <w:r>
        <w:t xml:space="preserve"> </w:t>
      </w:r>
      <w:r>
        <w:t xml:space="preserve">Learning</w:t>
      </w:r>
      <w:r>
        <w:t xml:space="preserve">?</w:t>
      </w:r>
      <w:r>
        <w:t xml:space="preserve"> </w:t>
      </w:r>
      <w:r>
        <w:t xml:space="preserve">A Meta-Analysis</w:t>
      </w:r>
      <w:r>
        <w:t xml:space="preserve"> </w:t>
      </w:r>
      <w:r>
        <w:t xml:space="preserve">of</w:t>
      </w:r>
      <w:r>
        <w:t xml:space="preserve"> </w:t>
      </w:r>
      <w:r>
        <w:t xml:space="preserve">Touchscreen Learning Effect</w:t>
      </w:r>
      <w:r>
        <w:t xml:space="preserve">.</w:t>
      </w:r>
      <w:r>
        <w:t xml:space="preserve"> </w:t>
      </w:r>
      <w:r>
        <w:rPr>
          <w:iCs/>
          <w:i/>
        </w:rPr>
        <w:t xml:space="preserve">Frontiers in Psychology</w:t>
      </w:r>
      <w:r>
        <w:t xml:space="preserve"> </w:t>
      </w:r>
      <w:r>
        <w:rPr>
          <w:bCs/>
          <w:b/>
        </w:rPr>
        <w:t xml:space="preserve">9</w:t>
      </w:r>
      <w:r>
        <w:t xml:space="preserve">, 2580 (2018).</w:t>
      </w:r>
    </w:p>
    <w:bookmarkEnd w:id="69"/>
    <w:bookmarkStart w:id="70" w:name="X1e43e764f509d799cbc769ff2c7a2cf0d00018a"/>
    <w:p>
      <w:pPr>
        <w:pStyle w:val="Literaturverzeichnis"/>
      </w:pPr>
      <w:r>
        <w:t xml:space="preserve">27.</w:t>
      </w:r>
      <w:r>
        <w:t xml:space="preserve"> </w:t>
      </w:r>
      <w:r>
        <w:t xml:space="preserve">	</w:t>
      </w:r>
      <w:r>
        <w:t xml:space="preserve">Adelantado-Renau, M.</w:t>
      </w:r>
      <w:r>
        <w:t xml:space="preserve"> </w:t>
      </w:r>
      <w:r>
        <w:rPr>
          <w:iCs/>
          <w:i/>
        </w:rPr>
        <w:t xml:space="preserve">et al.</w:t>
      </w:r>
      <w:r>
        <w:t xml:space="preserve"> Association</w:t>
      </w:r>
      <w:r>
        <w:t xml:space="preserve"> </w:t>
      </w:r>
      <w:r>
        <w:t xml:space="preserve">Between Screen Media Use</w:t>
      </w:r>
      <w:r>
        <w:t xml:space="preserve"> </w:t>
      </w:r>
      <w:r>
        <w:t xml:space="preserve">and</w:t>
      </w:r>
      <w:r>
        <w:t xml:space="preserve"> </w:t>
      </w:r>
      <w:r>
        <w:t xml:space="preserve">Academic Performance Among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JAMA Pediatrics</w:t>
      </w:r>
      <w:r>
        <w:t xml:space="preserve"> </w:t>
      </w:r>
      <w:r>
        <w:rPr>
          <w:bCs/>
          <w:b/>
        </w:rPr>
        <w:t xml:space="preserve">173</w:t>
      </w:r>
      <w:r>
        <w:t xml:space="preserve">, 1058 (2019).</w:t>
      </w:r>
    </w:p>
    <w:bookmarkEnd w:id="70"/>
    <w:bookmarkStart w:id="71" w:name="ref-madiganAssociationsScreenUse2020"/>
    <w:p>
      <w:pPr>
        <w:pStyle w:val="Literaturverzeichnis"/>
      </w:pPr>
      <w:r>
        <w:t xml:space="preserve">28.</w:t>
      </w:r>
      <w:r>
        <w:t xml:space="preserve"> </w:t>
      </w:r>
      <w:r>
        <w:t xml:space="preserve">	</w:t>
      </w:r>
      <w:r>
        <w:t xml:space="preserve">Madigan, S., McArthur, B. A., Anhorn, C., Eirich, R. &amp; Christakis, D. A. Associations</w:t>
      </w:r>
      <w:r>
        <w:t xml:space="preserve"> </w:t>
      </w:r>
      <w:r>
        <w:t xml:space="preserve">Between Screen Use</w:t>
      </w:r>
      <w:r>
        <w:t xml:space="preserve"> </w:t>
      </w:r>
      <w:r>
        <w:t xml:space="preserve">and</w:t>
      </w:r>
      <w:r>
        <w:t xml:space="preserve"> </w:t>
      </w:r>
      <w:r>
        <w:t xml:space="preserve">Child Language Skills</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JAMA Pediatrics</w:t>
      </w:r>
      <w:r>
        <w:t xml:space="preserve"> </w:t>
      </w:r>
      <w:r>
        <w:rPr>
          <w:bCs/>
          <w:b/>
        </w:rPr>
        <w:t xml:space="preserve">174</w:t>
      </w:r>
      <w:r>
        <w:t xml:space="preserve">, 665 (2020).</w:t>
      </w:r>
    </w:p>
    <w:bookmarkEnd w:id="71"/>
    <w:bookmarkStart w:id="72" w:name="Xce1c64a10778ef1313818378dc5846070d5b266"/>
    <w:p>
      <w:pPr>
        <w:pStyle w:val="Literaturverzeichnis"/>
      </w:pPr>
      <w:r>
        <w:t xml:space="preserve">29.</w:t>
      </w:r>
      <w:r>
        <w:t xml:space="preserve"> </w:t>
      </w:r>
      <w:r>
        <w:t xml:space="preserve">	</w:t>
      </w:r>
      <w:r>
        <w:t xml:space="preserve">Poorolajal, J., Sahraei, F., Mohamdadi, Y., Doosti-Irani, A. &amp; Moradi, L. Behavioral factors influencing childhood obesity: A systematic review and meta-analysis.</w:t>
      </w:r>
      <w:r>
        <w:t xml:space="preserve"> </w:t>
      </w:r>
      <w:r>
        <w:rPr>
          <w:iCs/>
          <w:i/>
        </w:rPr>
        <w:t xml:space="preserve">Obesity Research &amp; Clinical Practice</w:t>
      </w:r>
      <w:r>
        <w:t xml:space="preserve"> </w:t>
      </w:r>
      <w:r>
        <w:rPr>
          <w:bCs/>
          <w:b/>
        </w:rPr>
        <w:t xml:space="preserve">14</w:t>
      </w:r>
      <w:r>
        <w:t xml:space="preserve">, 109–118 (2020).</w:t>
      </w:r>
    </w:p>
    <w:bookmarkEnd w:id="72"/>
    <w:bookmarkStart w:id="73" w:name="ref-byunDigitalGamebasedLearning2018"/>
    <w:p>
      <w:pPr>
        <w:pStyle w:val="Literaturverzeichnis"/>
      </w:pPr>
      <w:r>
        <w:t xml:space="preserve">30.</w:t>
      </w:r>
      <w:r>
        <w:t xml:space="preserve"> </w:t>
      </w:r>
      <w:r>
        <w:t xml:space="preserve">	</w:t>
      </w:r>
      <w:r>
        <w:t xml:space="preserve">Byun, J. &amp; Joung, E. Digital game-based learning for</w:t>
      </w:r>
      <w:r>
        <w:t xml:space="preserve"> </w:t>
      </w:r>
      <w:r>
        <w:t xml:space="preserve">K-12</w:t>
      </w:r>
      <w:r>
        <w:t xml:space="preserve"> </w:t>
      </w:r>
      <w:r>
        <w:t xml:space="preserve">mathematics education:</w:t>
      </w:r>
      <w:r>
        <w:t xml:space="preserve"> </w:t>
      </w:r>
      <w:r>
        <w:t xml:space="preserve">A</w:t>
      </w:r>
      <w:r>
        <w:t xml:space="preserve"> </w:t>
      </w:r>
      <w:r>
        <w:t xml:space="preserve">meta-analysis.</w:t>
      </w:r>
      <w:r>
        <w:t xml:space="preserve"> </w:t>
      </w:r>
      <w:r>
        <w:rPr>
          <w:iCs/>
          <w:i/>
        </w:rPr>
        <w:t xml:space="preserve">School Science and Mathematics</w:t>
      </w:r>
      <w:r>
        <w:t xml:space="preserve"> </w:t>
      </w:r>
      <w:r>
        <w:rPr>
          <w:bCs/>
          <w:b/>
        </w:rPr>
        <w:t xml:space="preserve">118</w:t>
      </w:r>
      <w:r>
        <w:t xml:space="preserve">, 113–126 (2018).</w:t>
      </w:r>
    </w:p>
    <w:bookmarkEnd w:id="73"/>
    <w:bookmarkStart w:id="74" w:name="ref-vannucciSocialMediaUse2020"/>
    <w:p>
      <w:pPr>
        <w:pStyle w:val="Literaturverzeichnis"/>
      </w:pPr>
      <w:r>
        <w:t xml:space="preserve">31.</w:t>
      </w:r>
      <w:r>
        <w:t xml:space="preserve"> </w:t>
      </w:r>
      <w:r>
        <w:t xml:space="preserve">	</w:t>
      </w:r>
      <w:r>
        <w:t xml:space="preserve">Vannucci, A., Simpson, E. G., Gagnon, S. &amp; Ohannessian, C. M. Social media use and risky behaviors in adolescents:</w:t>
      </w:r>
      <w:r>
        <w:t xml:space="preserve"> </w:t>
      </w:r>
      <w:r>
        <w:t xml:space="preserve">A</w:t>
      </w:r>
      <w:r>
        <w:t xml:space="preserve"> </w:t>
      </w:r>
      <w:r>
        <w:t xml:space="preserve">meta-analysis.</w:t>
      </w:r>
      <w:r>
        <w:t xml:space="preserve"> </w:t>
      </w:r>
      <w:r>
        <w:rPr>
          <w:iCs/>
          <w:i/>
        </w:rPr>
        <w:t xml:space="preserve">Journal of Adolescence</w:t>
      </w:r>
      <w:r>
        <w:t xml:space="preserve"> </w:t>
      </w:r>
      <w:r>
        <w:rPr>
          <w:bCs/>
          <w:b/>
        </w:rPr>
        <w:t xml:space="preserve">79</w:t>
      </w:r>
      <w:r>
        <w:t xml:space="preserve">, 258–274 (2020).</w:t>
      </w:r>
    </w:p>
    <w:bookmarkEnd w:id="74"/>
    <w:bookmarkStart w:id="75" w:name="ref-yoonSocialNetworkSite2019"/>
    <w:p>
      <w:pPr>
        <w:pStyle w:val="Literaturverzeichnis"/>
      </w:pPr>
      <w:r>
        <w:t xml:space="preserve">32.</w:t>
      </w:r>
      <w:r>
        <w:t xml:space="preserve"> </w:t>
      </w:r>
      <w:r>
        <w:t xml:space="preserve">	</w:t>
      </w:r>
      <w:r>
        <w:t xml:space="preserve">Yoon, S., Kleinman, M., Mertz, J. &amp; Brannick, M. Is social network site usage related to depression?</w:t>
      </w:r>
      <w:r>
        <w:t xml:space="preserve"> </w:t>
      </w:r>
      <w:r>
        <w:t xml:space="preserve">A</w:t>
      </w:r>
      <w:r>
        <w:t xml:space="preserve"> </w:t>
      </w:r>
      <w:r>
        <w:t xml:space="preserve">meta-analysis of</w:t>
      </w:r>
      <w:r>
        <w:t xml:space="preserve"> </w:t>
      </w:r>
      <w:r>
        <w:t xml:space="preserve">Facebook</w:t>
      </w:r>
      <w:r>
        <w:t xml:space="preserve">depression relations.</w:t>
      </w:r>
      <w:r>
        <w:t xml:space="preserve"> </w:t>
      </w:r>
      <w:r>
        <w:rPr>
          <w:iCs/>
          <w:i/>
        </w:rPr>
        <w:t xml:space="preserve">Journal of Affective Disorders</w:t>
      </w:r>
      <w:r>
        <w:t xml:space="preserve"> </w:t>
      </w:r>
      <w:r>
        <w:rPr>
          <w:bCs/>
          <w:b/>
        </w:rPr>
        <w:t xml:space="preserve">248</w:t>
      </w:r>
      <w:r>
        <w:t xml:space="preserve">, 65–72 (2019).</w:t>
      </w:r>
    </w:p>
    <w:bookmarkEnd w:id="75"/>
    <w:bookmarkStart w:id="76" w:name="Xc12e5d5521f7a25e16cff58ff2c30aef0895324"/>
    <w:p>
      <w:pPr>
        <w:pStyle w:val="Literaturverzeichnis"/>
      </w:pPr>
      <w:r>
        <w:t xml:space="preserve">33.</w:t>
      </w:r>
      <w:r>
        <w:t xml:space="preserve"> </w:t>
      </w:r>
      <w:r>
        <w:t xml:space="preserve">	</w:t>
      </w:r>
      <w:r>
        <w:t xml:space="preserve">Vahedi, Z. &amp; Zannella, L. The association between self-reported depressive symptoms and the use of social networking sites (</w:t>
      </w:r>
      <w:r>
        <w:t xml:space="preserve">SNS</w:t>
      </w:r>
      <w:r>
        <w:t xml:space="preserve">):</w:t>
      </w:r>
      <w:r>
        <w:t xml:space="preserve"> </w:t>
      </w:r>
      <w:r>
        <w:t xml:space="preserve">A</w:t>
      </w:r>
      <w:r>
        <w:t xml:space="preserve"> </w:t>
      </w:r>
      <w:r>
        <w:t xml:space="preserve">meta-analysis.</w:t>
      </w:r>
      <w:r>
        <w:t xml:space="preserve"> </w:t>
      </w:r>
      <w:r>
        <w:rPr>
          <w:iCs/>
          <w:i/>
        </w:rPr>
        <w:t xml:space="preserve">Current Psychology</w:t>
      </w:r>
      <w:r>
        <w:t xml:space="preserve"> </w:t>
      </w:r>
      <w:r>
        <w:rPr>
          <w:bCs/>
          <w:b/>
        </w:rPr>
        <w:t xml:space="preserve">40</w:t>
      </w:r>
      <w:r>
        <w:t xml:space="preserve">, 2174–2189 (2021).</w:t>
      </w:r>
    </w:p>
    <w:bookmarkEnd w:id="76"/>
    <w:bookmarkStart w:id="77" w:name="Xfbc0d9c794c9e3bb65b04d2410fb282387d3d70"/>
    <w:p>
      <w:pPr>
        <w:pStyle w:val="Literaturverzeichnis"/>
      </w:pPr>
      <w:r>
        <w:t xml:space="preserve">34.</w:t>
      </w:r>
      <w:r>
        <w:t xml:space="preserve"> </w:t>
      </w:r>
      <w:r>
        <w:t xml:space="preserve">	</w:t>
      </w:r>
      <w:r>
        <w:t xml:space="preserve">Seetharaman, G. W., Jeff Horwitz and Deepa. Facebook</w:t>
      </w:r>
      <w:r>
        <w:t xml:space="preserve"> </w:t>
      </w:r>
      <w:r>
        <w:t xml:space="preserve">Knows Instagram Is Toxic</w:t>
      </w:r>
      <w:r>
        <w:t xml:space="preserve"> </w:t>
      </w:r>
      <w:r>
        <w:t xml:space="preserve">for</w:t>
      </w:r>
      <w:r>
        <w:t xml:space="preserve"> </w:t>
      </w:r>
      <w:r>
        <w:t xml:space="preserve">Teen Girls</w:t>
      </w:r>
      <w:r>
        <w:t xml:space="preserve">,</w:t>
      </w:r>
      <w:r>
        <w:t xml:space="preserve"> </w:t>
      </w:r>
      <w:r>
        <w:t xml:space="preserve">Company Documents Show</w:t>
      </w:r>
      <w:r>
        <w:t xml:space="preserve">.</w:t>
      </w:r>
      <w:r>
        <w:t xml:space="preserve"> </w:t>
      </w:r>
      <w:r>
        <w:rPr>
          <w:iCs/>
          <w:i/>
        </w:rPr>
        <w:t xml:space="preserve">Wall Street Journal</w:t>
      </w:r>
      <w:r>
        <w:t xml:space="preserve"> </w:t>
      </w:r>
      <w:r>
        <w:t xml:space="preserve">(2021).</w:t>
      </w:r>
    </w:p>
    <w:bookmarkEnd w:id="77"/>
    <w:bookmarkStart w:id="78" w:name="X36eecd0cd843cd0d874b53a91717f080998bcbf"/>
    <w:p>
      <w:pPr>
        <w:pStyle w:val="Literaturverzeichnis"/>
      </w:pPr>
      <w:r>
        <w:t xml:space="preserve">35.</w:t>
      </w:r>
      <w:r>
        <w:t xml:space="preserve"> </w:t>
      </w:r>
      <w:r>
        <w:t xml:space="preserve">	</w:t>
      </w:r>
      <w:r>
        <w:t xml:space="preserve">Tekedere, H. &amp; Göke, H. Examining the</w:t>
      </w:r>
      <w:r>
        <w:t xml:space="preserve"> </w:t>
      </w:r>
      <w:r>
        <w:t xml:space="preserve">Effectiveness</w:t>
      </w:r>
      <w:r>
        <w:t xml:space="preserve"> </w:t>
      </w:r>
      <w:r>
        <w:t xml:space="preserve">of</w:t>
      </w:r>
      <w:r>
        <w:t xml:space="preserve"> </w:t>
      </w:r>
      <w:r>
        <w:t xml:space="preserve">Augmented Reality Applications</w:t>
      </w:r>
      <w:r>
        <w:t xml:space="preserve"> </w:t>
      </w:r>
      <w:r>
        <w:t xml:space="preserve">in</w:t>
      </w:r>
      <w:r>
        <w:t xml:space="preserve"> </w:t>
      </w:r>
      <w:r>
        <w:t xml:space="preserve">Education</w:t>
      </w:r>
      <w:r>
        <w:t xml:space="preserve">:</w:t>
      </w:r>
      <w:r>
        <w:t xml:space="preserve"> </w:t>
      </w:r>
      <w:r>
        <w:t xml:space="preserve">A Meta-Analysis</w:t>
      </w:r>
      <w:r>
        <w:t xml:space="preserve">.</w:t>
      </w:r>
      <w:r>
        <w:t xml:space="preserve"> </w:t>
      </w:r>
      <w:r>
        <w:rPr>
          <w:iCs/>
          <w:i/>
        </w:rPr>
        <w:t xml:space="preserve">International Journal of Environmental and Science Education</w:t>
      </w:r>
      <w:r>
        <w:t xml:space="preserve"> </w:t>
      </w:r>
      <w:r>
        <w:rPr>
          <w:bCs/>
          <w:b/>
        </w:rPr>
        <w:t xml:space="preserve">11</w:t>
      </w:r>
      <w:r>
        <w:t xml:space="preserve">, 9469–9481 (2016).</w:t>
      </w:r>
    </w:p>
    <w:bookmarkEnd w:id="78"/>
    <w:bookmarkStart w:id="79" w:name="ref-elsonPolicyStatementsMedia2019"/>
    <w:p>
      <w:pPr>
        <w:pStyle w:val="Literaturverzeichnis"/>
      </w:pPr>
      <w:r>
        <w:t xml:space="preserve">36.</w:t>
      </w:r>
      <w:r>
        <w:t xml:space="preserve"> </w:t>
      </w:r>
      <w:r>
        <w:t xml:space="preserve">	</w:t>
      </w:r>
      <w:r>
        <w:t xml:space="preserve">Elson, M.</w:t>
      </w:r>
      <w:r>
        <w:t xml:space="preserve"> </w:t>
      </w:r>
      <w:r>
        <w:rPr>
          <w:iCs/>
          <w:i/>
        </w:rPr>
        <w:t xml:space="preserve">et al.</w:t>
      </w:r>
      <w:r>
        <w:t xml:space="preserve"> Do policy statements on media effects faithfully represent the science?</w:t>
      </w:r>
      <w:r>
        <w:t xml:space="preserve"> </w:t>
      </w:r>
      <w:r>
        <w:rPr>
          <w:iCs/>
          <w:i/>
        </w:rPr>
        <w:t xml:space="preserve">Advances in Methods and Practices in Psychological Science</w:t>
      </w:r>
      <w:r>
        <w:t xml:space="preserve"> </w:t>
      </w:r>
      <w:r>
        <w:rPr>
          <w:bCs/>
          <w:b/>
        </w:rPr>
        <w:t xml:space="preserve">2</w:t>
      </w:r>
      <w:r>
        <w:t xml:space="preserve">, 12–25 (2019).</w:t>
      </w:r>
    </w:p>
    <w:bookmarkEnd w:id="79"/>
    <w:bookmarkStart w:id="80" w:name="ref-ashtonScreenTimeChildren2019"/>
    <w:p>
      <w:pPr>
        <w:pStyle w:val="Literaturverzeichnis"/>
      </w:pPr>
      <w:r>
        <w:t xml:space="preserve">37.</w:t>
      </w:r>
      <w:r>
        <w:t xml:space="preserve"> </w:t>
      </w:r>
      <w:r>
        <w:t xml:space="preserve">	</w:t>
      </w:r>
      <w:r>
        <w:t xml:space="preserve">Ashton, J. J. &amp; Beattie, R. M. Screen time in children and adolescents: Is there evidence to guide parents and policy?</w:t>
      </w:r>
      <w:r>
        <w:t xml:space="preserve"> </w:t>
      </w:r>
      <w:r>
        <w:rPr>
          <w:iCs/>
          <w:i/>
        </w:rPr>
        <w:t xml:space="preserve">The Lancet Child &amp; Adolescent Health</w:t>
      </w:r>
      <w:r>
        <w:t xml:space="preserve"> </w:t>
      </w:r>
      <w:r>
        <w:rPr>
          <w:bCs/>
          <w:b/>
        </w:rPr>
        <w:t xml:space="preserve">3</w:t>
      </w:r>
      <w:r>
        <w:t xml:space="preserve">, 292–294 (2019).</w:t>
      </w:r>
    </w:p>
    <w:bookmarkEnd w:id="80"/>
    <w:bookmarkStart w:id="81" w:name="Xa7779c494ab5882c81b02dfe0cfa23203039787"/>
    <w:p>
      <w:pPr>
        <w:pStyle w:val="Literaturverzeichnis"/>
      </w:pPr>
      <w:r>
        <w:t xml:space="preserve">38.</w:t>
      </w:r>
      <w:r>
        <w:t xml:space="preserve"> </w:t>
      </w:r>
      <w:r>
        <w:t xml:space="preserve">	</w:t>
      </w:r>
      <w:r>
        <w:t xml:space="preserve">Royal College of Paediatrics and Child Health.</w:t>
      </w:r>
      <w:r>
        <w:t xml:space="preserve"> </w:t>
      </w:r>
      <w:r>
        <w:rPr>
          <w:iCs/>
          <w:i/>
        </w:rPr>
        <w:t xml:space="preserve">The health impacts of screen time:</w:t>
      </w:r>
      <w:r>
        <w:rPr>
          <w:iCs/>
          <w:i/>
        </w:rPr>
        <w:t xml:space="preserve"> </w:t>
      </w:r>
      <w:r>
        <w:rPr>
          <w:iCs/>
          <w:i/>
        </w:rPr>
        <w:t xml:space="preserve">A</w:t>
      </w:r>
      <w:r>
        <w:rPr>
          <w:iCs/>
          <w:i/>
        </w:rPr>
        <w:t xml:space="preserve"> </w:t>
      </w:r>
      <w:r>
        <w:rPr>
          <w:iCs/>
          <w:i/>
        </w:rPr>
        <w:t xml:space="preserve">guide for clinicians and parents.</w:t>
      </w:r>
      <w:r>
        <w:t xml:space="preserve"> (2019).</w:t>
      </w:r>
    </w:p>
    <w:bookmarkEnd w:id="81"/>
    <w:bookmarkStart w:id="82" w:name="ref-markerExploringMythChubby2022"/>
    <w:p>
      <w:pPr>
        <w:pStyle w:val="Literaturverzeichnis"/>
      </w:pPr>
      <w:r>
        <w:t xml:space="preserve">39.</w:t>
      </w:r>
      <w:r>
        <w:t xml:space="preserve"> </w:t>
      </w:r>
      <w:r>
        <w:t xml:space="preserve">	</w:t>
      </w:r>
      <w:r>
        <w:t xml:space="preserve">Marker, C., Gnambs, T. &amp; Appel, M. Exploring the myth of the chubby gamer:</w:t>
      </w:r>
      <w:r>
        <w:t xml:space="preserve"> </w:t>
      </w:r>
      <w:r>
        <w:t xml:space="preserve">A</w:t>
      </w:r>
      <w:r>
        <w:t xml:space="preserve"> </w:t>
      </w:r>
      <w:r>
        <w:t xml:space="preserve">meta-analysis on sedentary video gaming and body mass.</w:t>
      </w:r>
      <w:r>
        <w:t xml:space="preserve"> </w:t>
      </w:r>
      <w:r>
        <w:rPr>
          <w:iCs/>
          <w:i/>
        </w:rPr>
        <w:t xml:space="preserve">Social Science &amp; Medicine</w:t>
      </w:r>
      <w:r>
        <w:t xml:space="preserve"> </w:t>
      </w:r>
      <w:r>
        <w:rPr>
          <w:bCs/>
          <w:b/>
        </w:rPr>
        <w:t xml:space="preserve">301</w:t>
      </w:r>
      <w:r>
        <w:t xml:space="preserve">, 112325 (2022).</w:t>
      </w:r>
    </w:p>
    <w:bookmarkEnd w:id="82"/>
    <w:bookmarkStart w:id="84" w:name="ref-pagePRISMA2020Statement2020"/>
    <w:p>
      <w:pPr>
        <w:pStyle w:val="Literaturverzeichnis"/>
      </w:pPr>
      <w:r>
        <w:t xml:space="preserve">40.</w:t>
      </w:r>
      <w:r>
        <w:t xml:space="preserve"> </w:t>
      </w:r>
      <w:r>
        <w:t xml:space="preserve">	</w:t>
      </w:r>
      <w:r>
        <w:t xml:space="preserve">Page, M. J.</w:t>
      </w:r>
      <w:r>
        <w:t xml:space="preserve"> </w:t>
      </w:r>
      <w:r>
        <w:rPr>
          <w:iCs/>
          <w:i/>
        </w:rPr>
        <w:t xml:space="preserve">et al.</w:t>
      </w:r>
      <w:r>
        <w:t xml:space="preserve"> </w:t>
      </w:r>
      <w:r>
        <w:rPr>
          <w:iCs/>
          <w:i/>
        </w:rPr>
        <w:t xml:space="preserve">The</w:t>
      </w:r>
      <w:r>
        <w:rPr>
          <w:iCs/>
          <w:i/>
        </w:rPr>
        <w:t xml:space="preserve"> </w:t>
      </w:r>
      <w:r>
        <w:rPr>
          <w:iCs/>
          <w:i/>
        </w:rPr>
        <w:t xml:space="preserve">PRISMA</w:t>
      </w:r>
      <w:r>
        <w:rPr>
          <w:iCs/>
          <w:i/>
        </w:rPr>
        <w:t xml:space="preserve"> </w:t>
      </w:r>
      <w:r>
        <w:rPr>
          <w:iCs/>
          <w:i/>
        </w:rPr>
        <w:t xml:space="preserve">2020 statement: An updated guideline for reporting systematic reviews</w:t>
      </w:r>
      <w:r>
        <w:t xml:space="preserve">. (2020) doi:</w:t>
      </w:r>
      <w:hyperlink r:id="rId83">
        <w:r>
          <w:rPr>
            <w:rStyle w:val="Hyperlink"/>
          </w:rPr>
          <w:t xml:space="preserve">10.31222/osf.io/v7gm2</w:t>
        </w:r>
      </w:hyperlink>
      <w:r>
        <w:t xml:space="preserve">.</w:t>
      </w:r>
    </w:p>
    <w:bookmarkEnd w:id="84"/>
    <w:bookmarkStart w:id="85" w:name="X1622a13c71fefd4fa62b8aed2044e1aca625882"/>
    <w:p>
      <w:pPr>
        <w:pStyle w:val="Literaturverzeichnis"/>
      </w:pPr>
      <w:r>
        <w:t xml:space="preserve">41.</w:t>
      </w:r>
      <w:r>
        <w:t xml:space="preserve"> </w:t>
      </w:r>
      <w:r>
        <w:t xml:space="preserve">	</w:t>
      </w:r>
      <w:r>
        <w:t xml:space="preserve">Parry, D. A.</w:t>
      </w:r>
      <w:r>
        <w:t xml:space="preserve"> </w:t>
      </w:r>
      <w:r>
        <w:rPr>
          <w:iCs/>
          <w:i/>
        </w:rPr>
        <w:t xml:space="preserve">et al.</w:t>
      </w:r>
      <w:r>
        <w:t xml:space="preserve"> A systematic review and meta-analysis of discrepancies between logged and self-reported digital media use.</w:t>
      </w:r>
      <w:r>
        <w:t xml:space="preserve"> </w:t>
      </w:r>
      <w:r>
        <w:rPr>
          <w:iCs/>
          <w:i/>
        </w:rPr>
        <w:t xml:space="preserve">Nature Human Behaviour</w:t>
      </w:r>
      <w:r>
        <w:t xml:space="preserve"> </w:t>
      </w:r>
      <w:r>
        <w:rPr>
          <w:bCs/>
          <w:b/>
        </w:rPr>
        <w:t xml:space="preserve">5</w:t>
      </w:r>
      <w:r>
        <w:t xml:space="preserve">, 1535–1547 (2021).</w:t>
      </w:r>
    </w:p>
    <w:bookmarkEnd w:id="85"/>
    <w:bookmarkStart w:id="86" w:name="ref-byrneMeasurementScreenTime2021"/>
    <w:p>
      <w:pPr>
        <w:pStyle w:val="Literaturverzeichnis"/>
      </w:pPr>
      <w:r>
        <w:t xml:space="preserve">42.</w:t>
      </w:r>
      <w:r>
        <w:t xml:space="preserve"> </w:t>
      </w:r>
      <w:r>
        <w:t xml:space="preserve">	</w:t>
      </w:r>
      <w:r>
        <w:t xml:space="preserve">Byrne, R., Terranova, C. O. &amp; Trost, S. G. Measurement of screen time among young children aged 0</w:t>
      </w:r>
      <w:r>
        <w:t xml:space="preserve"> </w:t>
      </w:r>
      <w:r>
        <w:t xml:space="preserve">years:</w:t>
      </w:r>
      <w:r>
        <w:t xml:space="preserve"> </w:t>
      </w:r>
      <w:r>
        <w:t xml:space="preserve">A</w:t>
      </w:r>
      <w:r>
        <w:t xml:space="preserve"> </w:t>
      </w:r>
      <w:r>
        <w:t xml:space="preserve">systematic review.</w:t>
      </w:r>
      <w:r>
        <w:t xml:space="preserve"> </w:t>
      </w:r>
      <w:r>
        <w:rPr>
          <w:iCs/>
          <w:i/>
        </w:rPr>
        <w:t xml:space="preserve">Obesity Reviews</w:t>
      </w:r>
      <w:r>
        <w:t xml:space="preserve"> </w:t>
      </w:r>
      <w:r>
        <w:rPr>
          <w:bCs/>
          <w:b/>
        </w:rPr>
        <w:t xml:space="preserve">22</w:t>
      </w:r>
      <w:r>
        <w:t xml:space="preserve">, (2021).</w:t>
      </w:r>
    </w:p>
    <w:bookmarkEnd w:id="86"/>
    <w:bookmarkStart w:id="87" w:name="ref-smithFeasibilityAutomatedCameras2019"/>
    <w:p>
      <w:pPr>
        <w:pStyle w:val="Literaturverzeichnis"/>
      </w:pPr>
      <w:r>
        <w:t xml:space="preserve">43.</w:t>
      </w:r>
      <w:r>
        <w:t xml:space="preserve"> </w:t>
      </w:r>
      <w:r>
        <w:t xml:space="preserve">	</w:t>
      </w:r>
      <w:r>
        <w:t xml:space="preserve">Smith, C., Galland, B. C., de Bruin, W. E. &amp; Taylor, R. W. Feasibility of automated cameras to measure screen use in adolescents.</w:t>
      </w:r>
      <w:r>
        <w:t xml:space="preserve"> </w:t>
      </w:r>
      <w:r>
        <w:rPr>
          <w:iCs/>
          <w:i/>
        </w:rPr>
        <w:t xml:space="preserve">American journal of preventive medicine</w:t>
      </w:r>
      <w:r>
        <w:t xml:space="preserve"> </w:t>
      </w:r>
      <w:r>
        <w:rPr>
          <w:bCs/>
          <w:b/>
        </w:rPr>
        <w:t xml:space="preserve">57</w:t>
      </w:r>
      <w:r>
        <w:t xml:space="preserve">, 417–424 (2019).</w:t>
      </w:r>
    </w:p>
    <w:bookmarkEnd w:id="87"/>
    <w:bookmarkStart w:id="88" w:name="ref-rydingPassiveObjectiveMeasures2020"/>
    <w:p>
      <w:pPr>
        <w:pStyle w:val="Literaturverzeichnis"/>
      </w:pPr>
      <w:r>
        <w:t xml:space="preserve">44.</w:t>
      </w:r>
      <w:r>
        <w:t xml:space="preserve"> </w:t>
      </w:r>
      <w:r>
        <w:t xml:space="preserve">	</w:t>
      </w:r>
      <w:r>
        <w:t xml:space="preserve">Ryding, F. C. &amp; Kuss, D. J. Passive objective measures in the assessment of problematic smartphone use:</w:t>
      </w:r>
      <w:r>
        <w:t xml:space="preserve"> </w:t>
      </w:r>
      <w:r>
        <w:t xml:space="preserve">A</w:t>
      </w:r>
      <w:r>
        <w:t xml:space="preserve"> </w:t>
      </w:r>
      <w:r>
        <w:t xml:space="preserve">systematic review.</w:t>
      </w:r>
      <w:r>
        <w:t xml:space="preserve"> </w:t>
      </w:r>
      <w:r>
        <w:rPr>
          <w:iCs/>
          <w:i/>
        </w:rPr>
        <w:t xml:space="preserve">Addictive Behaviors Reports</w:t>
      </w:r>
      <w:r>
        <w:t xml:space="preserve"> </w:t>
      </w:r>
      <w:r>
        <w:rPr>
          <w:bCs/>
          <w:b/>
        </w:rPr>
        <w:t xml:space="preserve">11</w:t>
      </w:r>
      <w:r>
        <w:t xml:space="preserve">, 100257 (2020).</w:t>
      </w:r>
    </w:p>
    <w:bookmarkEnd w:id="88"/>
    <w:bookmarkStart w:id="89" w:name="X273798adfea2fce3f1845a8e1bd699c817aaf5b"/>
    <w:p>
      <w:pPr>
        <w:pStyle w:val="Literaturverzeichnis"/>
      </w:pPr>
      <w:r>
        <w:t xml:space="preserve">45.</w:t>
      </w:r>
      <w:r>
        <w:t xml:space="preserve"> </w:t>
      </w:r>
      <w:r>
        <w:t xml:space="preserve">	</w:t>
      </w:r>
      <w:r>
        <w:t xml:space="preserve">Guyatt, G.</w:t>
      </w:r>
      <w:r>
        <w:t xml:space="preserve"> </w:t>
      </w:r>
      <w:r>
        <w:rPr>
          <w:iCs/>
          <w:i/>
        </w:rPr>
        <w:t xml:space="preserve">et al.</w:t>
      </w:r>
      <w:r>
        <w:t xml:space="preserve"> </w:t>
      </w:r>
      <w:r>
        <w:t xml:space="preserve">GRADE</w:t>
      </w:r>
      <w:r>
        <w:t xml:space="preserve"> </w:t>
      </w:r>
      <w:r>
        <w:t xml:space="preserve">guidelines: 1.</w:t>
      </w:r>
      <w:r>
        <w:t xml:space="preserve"> </w:t>
      </w:r>
      <w:r>
        <w:t xml:space="preserve">Introduction</w:t>
      </w:r>
      <w:r>
        <w:t xml:space="preserve"> </w:t>
      </w:r>
      <w:r>
        <w:t xml:space="preserve">evidence profiles and summary of findings tables.</w:t>
      </w:r>
      <w:r>
        <w:t xml:space="preserve"> </w:t>
      </w:r>
      <w:r>
        <w:rPr>
          <w:iCs/>
          <w:i/>
        </w:rPr>
        <w:t xml:space="preserve">Journal of Clinical Epidemiology</w:t>
      </w:r>
      <w:r>
        <w:t xml:space="preserve"> </w:t>
      </w:r>
      <w:r>
        <w:rPr>
          <w:bCs/>
          <w:b/>
        </w:rPr>
        <w:t xml:space="preserve">64</w:t>
      </w:r>
      <w:r>
        <w:t xml:space="preserve">, 383–394 (2011).</w:t>
      </w:r>
    </w:p>
    <w:bookmarkEnd w:id="89"/>
    <w:bookmarkStart w:id="90" w:name="ref-twengeMoreTimeTechnology2019"/>
    <w:p>
      <w:pPr>
        <w:pStyle w:val="Literaturverzeichnis"/>
      </w:pPr>
      <w:r>
        <w:t xml:space="preserve">46.</w:t>
      </w:r>
      <w:r>
        <w:t xml:space="preserve"> </w:t>
      </w:r>
      <w:r>
        <w:t xml:space="preserve">	</w:t>
      </w:r>
      <w:r>
        <w:t xml:space="preserve">Twenge, J. M. More</w:t>
      </w:r>
      <w:r>
        <w:t xml:space="preserve"> </w:t>
      </w:r>
      <w:r>
        <w:t xml:space="preserve">Time</w:t>
      </w:r>
      <w:r>
        <w:t xml:space="preserve"> </w:t>
      </w:r>
      <w:r>
        <w:t xml:space="preserve">on</w:t>
      </w:r>
      <w:r>
        <w:t xml:space="preserve"> </w:t>
      </w:r>
      <w:r>
        <w:t xml:space="preserve">Technology</w:t>
      </w:r>
      <w:r>
        <w:t xml:space="preserve">,</w:t>
      </w:r>
      <w:r>
        <w:t xml:space="preserve"> </w:t>
      </w:r>
      <w:r>
        <w:t xml:space="preserve">Less Happiness</w:t>
      </w:r>
      <w:r>
        <w:t xml:space="preserve">?</w:t>
      </w:r>
      <w:r>
        <w:t xml:space="preserve"> </w:t>
      </w:r>
      <w:r>
        <w:t xml:space="preserve">Associations Between Digital-Media Use</w:t>
      </w:r>
      <w:r>
        <w:t xml:space="preserve"> </w:t>
      </w:r>
      <w:r>
        <w:t xml:space="preserve">and</w:t>
      </w:r>
      <w:r>
        <w:t xml:space="preserve"> </w:t>
      </w:r>
      <w:r>
        <w:t xml:space="preserve">Psychological Well-Being</w:t>
      </w:r>
      <w:r>
        <w:t xml:space="preserve">.</w:t>
      </w:r>
      <w:r>
        <w:t xml:space="preserve"> </w:t>
      </w:r>
      <w:r>
        <w:rPr>
          <w:iCs/>
          <w:i/>
        </w:rPr>
        <w:t xml:space="preserve">Current Directions in Psychological Science</w:t>
      </w:r>
      <w:r>
        <w:t xml:space="preserve"> </w:t>
      </w:r>
      <w:r>
        <w:rPr>
          <w:bCs/>
          <w:b/>
        </w:rPr>
        <w:t xml:space="preserve">28</w:t>
      </w:r>
      <w:r>
        <w:t xml:space="preserve">, 372–379 (2019).</w:t>
      </w:r>
    </w:p>
    <w:bookmarkEnd w:id="90"/>
    <w:bookmarkStart w:id="91" w:name="ref-kellySocialMediaUse2018"/>
    <w:p>
      <w:pPr>
        <w:pStyle w:val="Literaturverzeichnis"/>
      </w:pPr>
      <w:r>
        <w:t xml:space="preserve">47.</w:t>
      </w:r>
      <w:r>
        <w:t xml:space="preserve"> </w:t>
      </w:r>
      <w:r>
        <w:t xml:space="preserve">	</w:t>
      </w:r>
      <w:r>
        <w:t xml:space="preserve">Kelly, Y., Zilanawala, A., Booker, C. &amp; Sacker, A. Social</w:t>
      </w:r>
      <w:r>
        <w:t xml:space="preserve"> </w:t>
      </w:r>
      <w:r>
        <w:t xml:space="preserve">Media Use</w:t>
      </w:r>
      <w:r>
        <w:t xml:space="preserve"> </w:t>
      </w:r>
      <w:r>
        <w:t xml:space="preserve">and</w:t>
      </w:r>
      <w:r>
        <w:t xml:space="preserve"> </w:t>
      </w:r>
      <w:r>
        <w:t xml:space="preserve">Adolescent Mental Health</w:t>
      </w:r>
      <w:r>
        <w:t xml:space="preserve">:</w:t>
      </w:r>
      <w:r>
        <w:t xml:space="preserve"> </w:t>
      </w:r>
      <w:r>
        <w:t xml:space="preserve">Findings From</w:t>
      </w:r>
      <w:r>
        <w:t xml:space="preserve"> </w:t>
      </w:r>
      <w:r>
        <w:t xml:space="preserve">the</w:t>
      </w:r>
      <w:r>
        <w:t xml:space="preserve"> </w:t>
      </w:r>
      <w:r>
        <w:t xml:space="preserve">UK Millennium Cohort Study</w:t>
      </w:r>
      <w:r>
        <w:t xml:space="preserve">.</w:t>
      </w:r>
      <w:r>
        <w:t xml:space="preserve"> </w:t>
      </w:r>
      <w:r>
        <w:rPr>
          <w:iCs/>
          <w:i/>
        </w:rPr>
        <w:t xml:space="preserve">EClinicalMedicine</w:t>
      </w:r>
      <w:r>
        <w:t xml:space="preserve"> </w:t>
      </w:r>
      <w:r>
        <w:rPr>
          <w:bCs/>
          <w:b/>
        </w:rPr>
        <w:t xml:space="preserve">6</w:t>
      </w:r>
      <w:r>
        <w:t xml:space="preserve">, 59–68 (2018).</w:t>
      </w:r>
    </w:p>
    <w:bookmarkEnd w:id="91"/>
    <w:bookmarkStart w:id="92" w:name="ref-NHLBIQualityAssessmentSystematic2014"/>
    <w:p>
      <w:pPr>
        <w:pStyle w:val="Literaturverzeichnis"/>
      </w:pPr>
      <w:r>
        <w:t xml:space="preserve">48.</w:t>
      </w:r>
      <w:r>
        <w:t xml:space="preserve"> </w:t>
      </w:r>
      <w:r>
        <w:t xml:space="preserve">	</w:t>
      </w:r>
      <w:r>
        <w:t xml:space="preserve">National Health, Lung, and Blood Institute.</w:t>
      </w:r>
      <w:r>
        <w:t xml:space="preserve"> </w:t>
      </w:r>
      <w:r>
        <w:rPr>
          <w:iCs/>
          <w:i/>
        </w:rPr>
        <w:t xml:space="preserve">Quality</w:t>
      </w:r>
      <w:r>
        <w:rPr>
          <w:iCs/>
          <w:i/>
        </w:rPr>
        <w:t xml:space="preserve"> </w:t>
      </w:r>
      <w:r>
        <w:rPr>
          <w:iCs/>
          <w:i/>
        </w:rPr>
        <w:t xml:space="preserve">Assessment</w:t>
      </w:r>
      <w:r>
        <w:rPr>
          <w:iCs/>
          <w:i/>
        </w:rPr>
        <w:t xml:space="preserve"> </w:t>
      </w:r>
      <w:r>
        <w:rPr>
          <w:iCs/>
          <w:i/>
        </w:rPr>
        <w:t xml:space="preserve">of</w:t>
      </w:r>
      <w:r>
        <w:rPr>
          <w:iCs/>
          <w:i/>
        </w:rPr>
        <w:t xml:space="preserve"> </w:t>
      </w:r>
      <w:r>
        <w:rPr>
          <w:iCs/>
          <w:i/>
        </w:rPr>
        <w:t xml:space="preserve">Systematic Reviews</w:t>
      </w:r>
      <w:r>
        <w:rPr>
          <w:iCs/>
          <w:i/>
        </w:rPr>
        <w:t xml:space="preserve"> </w:t>
      </w:r>
      <w:r>
        <w:rPr>
          <w:iCs/>
          <w:i/>
        </w:rPr>
        <w:t xml:space="preserve">and</w:t>
      </w:r>
      <w:r>
        <w:rPr>
          <w:iCs/>
          <w:i/>
        </w:rPr>
        <w:t xml:space="preserve"> </w:t>
      </w:r>
      <w:r>
        <w:rPr>
          <w:iCs/>
          <w:i/>
        </w:rPr>
        <w:t xml:space="preserve">Meta-Analyses</w:t>
      </w:r>
      <w:r>
        <w:t xml:space="preserve">. (2014).</w:t>
      </w:r>
    </w:p>
    <w:bookmarkEnd w:id="92"/>
    <w:bookmarkStart w:id="93" w:name="ref-bowmanEffectSizesStatistical2012"/>
    <w:p>
      <w:pPr>
        <w:pStyle w:val="Literaturverzeichnis"/>
      </w:pPr>
      <w:r>
        <w:t xml:space="preserve">49.</w:t>
      </w:r>
      <w:r>
        <w:t xml:space="preserve"> </w:t>
      </w:r>
      <w:r>
        <w:t xml:space="preserve">	</w:t>
      </w:r>
      <w:r>
        <w:t xml:space="preserve">Bowman, N. A. Effect</w:t>
      </w:r>
      <w:r>
        <w:t xml:space="preserve"> </w:t>
      </w:r>
      <w:r>
        <w:t xml:space="preserve">Sizes</w:t>
      </w:r>
      <w:r>
        <w:t xml:space="preserve"> </w:t>
      </w:r>
      <w:r>
        <w:t xml:space="preserve">and</w:t>
      </w:r>
      <w:r>
        <w:t xml:space="preserve"> </w:t>
      </w:r>
      <w:r>
        <w:t xml:space="preserve">Statistical Methods</w:t>
      </w:r>
      <w:r>
        <w:t xml:space="preserve"> </w:t>
      </w:r>
      <w:r>
        <w:t xml:space="preserve">for</w:t>
      </w:r>
      <w:r>
        <w:t xml:space="preserve"> </w:t>
      </w:r>
      <w:r>
        <w:t xml:space="preserve">Meta-Analysis</w:t>
      </w:r>
      <w:r>
        <w:t xml:space="preserve"> </w:t>
      </w:r>
      <w:r>
        <w:t xml:space="preserve">in</w:t>
      </w:r>
      <w:r>
        <w:t xml:space="preserve"> </w:t>
      </w:r>
      <w:r>
        <w:t xml:space="preserve">Higher Education</w:t>
      </w:r>
      <w:r>
        <w:t xml:space="preserve">.</w:t>
      </w:r>
      <w:r>
        <w:t xml:space="preserve"> </w:t>
      </w:r>
      <w:r>
        <w:rPr>
          <w:iCs/>
          <w:i/>
        </w:rPr>
        <w:t xml:space="preserve">Research in Higher Education</w:t>
      </w:r>
      <w:r>
        <w:t xml:space="preserve"> </w:t>
      </w:r>
      <w:r>
        <w:rPr>
          <w:bCs/>
          <w:b/>
        </w:rPr>
        <w:t xml:space="preserve">53</w:t>
      </w:r>
      <w:r>
        <w:t xml:space="preserve">, 375–382 (2012).</w:t>
      </w:r>
    </w:p>
    <w:bookmarkEnd w:id="93"/>
    <w:bookmarkStart w:id="94" w:name="X28222e0a00c3a1bb883085ca4953aa45a58e4dd"/>
    <w:p>
      <w:pPr>
        <w:pStyle w:val="Literaturverzeichnis"/>
      </w:pPr>
      <w:r>
        <w:t xml:space="preserve">50.</w:t>
      </w:r>
      <w:r>
        <w:t xml:space="preserve"> </w:t>
      </w:r>
      <w:r>
        <w:t xml:space="preserve">	</w:t>
      </w:r>
      <w:r>
        <w:t xml:space="preserve">Jacobs, P. &amp; Viechtbauer, W. Estimation of the biserial correlation and its sampling variance for use in meta-analysis:</w:t>
      </w:r>
      <w:r>
        <w:t xml:space="preserve"> </w:t>
      </w:r>
      <w:r>
        <w:t xml:space="preserve">Biserial Correlation</w:t>
      </w:r>
      <w:r>
        <w:t xml:space="preserve">.</w:t>
      </w:r>
      <w:r>
        <w:t xml:space="preserve"> </w:t>
      </w:r>
      <w:r>
        <w:rPr>
          <w:iCs/>
          <w:i/>
        </w:rPr>
        <w:t xml:space="preserve">Research Synthesis Methods</w:t>
      </w:r>
      <w:r>
        <w:t xml:space="preserve"> </w:t>
      </w:r>
      <w:r>
        <w:rPr>
          <w:bCs/>
          <w:b/>
        </w:rPr>
        <w:t xml:space="preserve">8</w:t>
      </w:r>
      <w:r>
        <w:t xml:space="preserve">, 161–180 (2017).</w:t>
      </w:r>
    </w:p>
    <w:bookmarkEnd w:id="94"/>
    <w:bookmarkStart w:id="95" w:name="ref-funderEvaluatingEffectSize2019"/>
    <w:p>
      <w:pPr>
        <w:pStyle w:val="Literaturverzeichnis"/>
      </w:pPr>
      <w:r>
        <w:t xml:space="preserve">51.</w:t>
      </w:r>
      <w:r>
        <w:t xml:space="preserve"> </w:t>
      </w:r>
      <w:r>
        <w:t xml:space="preserve">	</w:t>
      </w:r>
      <w:r>
        <w:t xml:space="preserve">Funder, D. C. &amp; Ozer, D. J. Evaluating</w:t>
      </w:r>
      <w:r>
        <w:t xml:space="preserve"> </w:t>
      </w:r>
      <w:r>
        <w:t xml:space="preserve">Effect Size</w:t>
      </w:r>
      <w:r>
        <w:t xml:space="preserve"> </w:t>
      </w:r>
      <w:r>
        <w:t xml:space="preserve">in</w:t>
      </w:r>
      <w:r>
        <w:t xml:space="preserve"> </w:t>
      </w:r>
      <w:r>
        <w:t xml:space="preserve">Psychological Research</w:t>
      </w:r>
      <w:r>
        <w:t xml:space="preserve">:</w:t>
      </w:r>
      <w:r>
        <w:t xml:space="preserve"> </w:t>
      </w:r>
      <w:r>
        <w:t xml:space="preserve">Sense</w:t>
      </w:r>
      <w:r>
        <w:t xml:space="preserve"> </w:t>
      </w:r>
      <w:r>
        <w:t xml:space="preserve">and</w:t>
      </w:r>
      <w:r>
        <w:t xml:space="preserve"> </w:t>
      </w:r>
      <w:r>
        <w:t xml:space="preserve">Nonsense</w:t>
      </w:r>
      <w:r>
        <w:t xml:space="preserve">.</w:t>
      </w:r>
      <w:r>
        <w:t xml:space="preserve"> </w:t>
      </w:r>
      <w:r>
        <w:rPr>
          <w:iCs/>
          <w:i/>
        </w:rPr>
        <w:t xml:space="preserve">Advances in Methods and Practices in Psychological Science</w:t>
      </w:r>
      <w:r>
        <w:t xml:space="preserve"> </w:t>
      </w:r>
      <w:r>
        <w:rPr>
          <w:bCs/>
          <w:b/>
        </w:rPr>
        <w:t xml:space="preserve">2</w:t>
      </w:r>
      <w:r>
        <w:t xml:space="preserve">, 156–168 (2019).</w:t>
      </w:r>
    </w:p>
    <w:bookmarkEnd w:id="95"/>
    <w:bookmarkStart w:id="96" w:name="ref-gignacEffectSizeGuidelines2016"/>
    <w:p>
      <w:pPr>
        <w:pStyle w:val="Literaturverzeichnis"/>
      </w:pPr>
      <w:r>
        <w:t xml:space="preserve">52.</w:t>
      </w:r>
      <w:r>
        <w:t xml:space="preserve"> </w:t>
      </w:r>
      <w:r>
        <w:t xml:space="preserve">	</w:t>
      </w:r>
      <w:r>
        <w:t xml:space="preserve">Gignac, G. E. &amp; Szodorai, E. T. Effect size guidelines for individual differences researchers.</w:t>
      </w:r>
      <w:r>
        <w:t xml:space="preserve"> </w:t>
      </w:r>
      <w:r>
        <w:rPr>
          <w:iCs/>
          <w:i/>
        </w:rPr>
        <w:t xml:space="preserve">Personality and Individual Differences</w:t>
      </w:r>
      <w:r>
        <w:t xml:space="preserve"> </w:t>
      </w:r>
      <w:r>
        <w:rPr>
          <w:bCs/>
          <w:b/>
        </w:rPr>
        <w:t xml:space="preserve">102</w:t>
      </w:r>
      <w:r>
        <w:t xml:space="preserve">, 74–78 (2016).</w:t>
      </w:r>
    </w:p>
    <w:bookmarkEnd w:id="96"/>
    <w:bookmarkStart w:id="97" w:name="ref-R-metafor"/>
    <w:p>
      <w:pPr>
        <w:pStyle w:val="Literaturverzeichnis"/>
      </w:pPr>
      <w:r>
        <w:t xml:space="preserve">53.</w:t>
      </w:r>
      <w:r>
        <w:t xml:space="preserve"> </w:t>
      </w:r>
      <w:r>
        <w:t xml:space="preserve">	</w:t>
      </w:r>
      <w:r>
        <w:t xml:space="preserve">Viechtbauer, W.</w:t>
      </w:r>
      <w:r>
        <w:t xml:space="preserve"> </w:t>
      </w:r>
      <w:r>
        <w:rPr>
          <w:iCs/>
          <w:i/>
        </w:rPr>
        <w:t xml:space="preserve">Metafor: Meta-analysis package for r</w:t>
      </w:r>
      <w:r>
        <w:t xml:space="preserve">. (2023).</w:t>
      </w:r>
    </w:p>
    <w:bookmarkEnd w:id="97"/>
    <w:bookmarkStart w:id="98" w:name="ref-R-base"/>
    <w:p>
      <w:pPr>
        <w:pStyle w:val="Literaturverzeichnis"/>
      </w:pPr>
      <w:r>
        <w:t xml:space="preserve">54.</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2023).</w:t>
      </w:r>
    </w:p>
    <w:bookmarkEnd w:id="98"/>
    <w:bookmarkStart w:id="99" w:name="ref-eggerBiasMetaanalysisDetected1997"/>
    <w:p>
      <w:pPr>
        <w:pStyle w:val="Literaturverzeichnis"/>
      </w:pPr>
      <w:r>
        <w:t xml:space="preserve">55.</w:t>
      </w:r>
      <w:r>
        <w:t xml:space="preserve"> </w:t>
      </w:r>
      <w:r>
        <w:t xml:space="preserve">	</w:t>
      </w:r>
      <w:r>
        <w:t xml:space="preserve">Egger, M., Smith, G. D., Schneider, M. &amp; Minder, C. Bias in meta-analysis detected by a simple, graphical test.</w:t>
      </w:r>
      <w:r>
        <w:t xml:space="preserve"> </w:t>
      </w:r>
      <w:r>
        <w:rPr>
          <w:iCs/>
          <w:i/>
        </w:rPr>
        <w:t xml:space="preserve">BMJ</w:t>
      </w:r>
      <w:r>
        <w:t xml:space="preserve"> </w:t>
      </w:r>
      <w:r>
        <w:rPr>
          <w:bCs/>
          <w:b/>
        </w:rPr>
        <w:t xml:space="preserve">315</w:t>
      </w:r>
      <w:r>
        <w:t xml:space="preserve">, 629–634 (1997).</w:t>
      </w:r>
    </w:p>
    <w:bookmarkEnd w:id="99"/>
    <w:bookmarkStart w:id="100" w:name="ref-pageChapter13Assessing2021"/>
    <w:p>
      <w:pPr>
        <w:pStyle w:val="Literaturverzeichnis"/>
      </w:pPr>
      <w:r>
        <w:t xml:space="preserve">56.</w:t>
      </w:r>
      <w:r>
        <w:t xml:space="preserve"> </w:t>
      </w:r>
      <w:r>
        <w:t xml:space="preserve">	</w:t>
      </w:r>
      <w:r>
        <w:t xml:space="preserve">Page, M. J., Higgins, J. P. &amp; Sterne, J. A. Chapter 13:</w:t>
      </w:r>
      <w:r>
        <w:t xml:space="preserve"> </w:t>
      </w:r>
      <w:r>
        <w:t xml:space="preserve">Assessing</w:t>
      </w:r>
      <w:r>
        <w:t xml:space="preserve"> </w:t>
      </w:r>
      <w:r>
        <w:t xml:space="preserve">risk of bias due to missing results in a synthesis.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et al.) (</w:t>
      </w:r>
      <w:r>
        <w:t xml:space="preserve">Cochrane</w:t>
      </w:r>
      <w:r>
        <w:t xml:space="preserve">, 2021).</w:t>
      </w:r>
    </w:p>
    <w:bookmarkEnd w:id="100"/>
    <w:bookmarkStart w:id="101" w:name="ref-ioannidisExploratoryTestExcess2007"/>
    <w:p>
      <w:pPr>
        <w:pStyle w:val="Literaturverzeichnis"/>
      </w:pPr>
      <w:r>
        <w:t xml:space="preserve">57.</w:t>
      </w:r>
      <w:r>
        <w:t xml:space="preserve"> </w:t>
      </w:r>
      <w:r>
        <w:t xml:space="preserve">	</w:t>
      </w:r>
      <w:r>
        <w:t xml:space="preserve">Ioannidis, J. P. &amp; Trikalinos, T. A. An exploratory test for an excess of significant findings.</w:t>
      </w:r>
      <w:r>
        <w:t xml:space="preserve"> </w:t>
      </w:r>
      <w:r>
        <w:rPr>
          <w:iCs/>
          <w:i/>
        </w:rPr>
        <w:t xml:space="preserve">Clinical Trials</w:t>
      </w:r>
      <w:r>
        <w:t xml:space="preserve"> </w:t>
      </w:r>
      <w:r>
        <w:rPr>
          <w:bCs/>
          <w:b/>
        </w:rPr>
        <w:t xml:space="preserve">4</w:t>
      </w:r>
      <w:r>
        <w:t xml:space="preserve">, 245–253 (2007).</w:t>
      </w:r>
    </w:p>
    <w:bookmarkEnd w:id="101"/>
    <w:bookmarkStart w:id="102" w:name="X06fd504ce36b3f21caca6eb0766200d9b01623a"/>
    <w:p>
      <w:pPr>
        <w:pStyle w:val="Literaturverzeichnis"/>
      </w:pPr>
      <w:r>
        <w:t xml:space="preserve">58.</w:t>
      </w:r>
      <w:r>
        <w:t xml:space="preserve"> </w:t>
      </w:r>
      <w:r>
        <w:t xml:space="preserve">	</w:t>
      </w:r>
      <w:r>
        <w:t xml:space="preserve">Papadimitriou, N.</w:t>
      </w:r>
      <w:r>
        <w:t xml:space="preserve"> </w:t>
      </w:r>
      <w:r>
        <w:rPr>
          <w:iCs/>
          <w:i/>
        </w:rPr>
        <w:t xml:space="preserve">et al.</w:t>
      </w:r>
      <w:r>
        <w:t xml:space="preserve"> An umbrella review of the evidence associating diet and cancer risk at 11 anatomical sites.</w:t>
      </w:r>
      <w:r>
        <w:t xml:space="preserve"> </w:t>
      </w:r>
      <w:r>
        <w:rPr>
          <w:iCs/>
          <w:i/>
        </w:rPr>
        <w:t xml:space="preserve">Nature Communications</w:t>
      </w:r>
      <w:r>
        <w:t xml:space="preserve"> </w:t>
      </w:r>
      <w:r>
        <w:rPr>
          <w:bCs/>
          <w:b/>
        </w:rPr>
        <w:t xml:space="preserve">12</w:t>
      </w:r>
      <w:r>
        <w:t xml:space="preserve">, 4579 (2021).</w:t>
      </w:r>
    </w:p>
    <w:bookmarkEnd w:id="102"/>
    <w:bookmarkEnd w:id="103"/>
    <w:p>
      <w:r>
        <w:br w:type="page"/>
      </w:r>
    </w:p>
    <w:bookmarkEnd w:id="10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83" Target="https://doi.org/10.31222/osf.io/v7gm2" TargetMode="External" /><Relationship Type="http://schemas.openxmlformats.org/officeDocument/2006/relationships/hyperlink" Id="rId34" Target="https://github.com/motivation-and-Behaviour/screen_umbrella" TargetMode="External" /><Relationship Type="http://schemas.openxmlformats.org/officeDocument/2006/relationships/hyperlink" Id="rId35" Target="https://osf.io/3ubqp/" TargetMode="External" /><Relationship Type="http://schemas.openxmlformats.org/officeDocument/2006/relationships/hyperlink" Id="rId20" Target="mailto:Taren.Sanders@acu.edu.au"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31222/osf.io/v7gm2" TargetMode="External" /><Relationship Type="http://schemas.openxmlformats.org/officeDocument/2006/relationships/hyperlink" Id="rId34" Target="https://github.com/motivation-and-Behaviour/screen_umbrella" TargetMode="External" /><Relationship Type="http://schemas.openxmlformats.org/officeDocument/2006/relationships/hyperlink" Id="rId35"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2023-06-21T11:45:01Z</dcterms:created>
  <dcterms:modified xsi:type="dcterms:W3CDTF">2023-06-21T11:45:01Z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/Users/tasanders/GitHub/screen_umbrella/reports/nature.csl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5295</vt:lpwstr>
  </property>
</Properties>
</file>