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review, we harmonised 255 effects representing unique combinations of exposures and outcomes from 103 meta-analyses (2,496 primary studies; 2,026,054 participants).</w:t>
      </w:r>
      <w:r>
        <w:t xml:space="preserve"> </w:t>
      </w:r>
      <w:r>
        <w:t xml:space="preserve">Some types of screen use, such as social media, were consistently correlated with risks to health.</w:t>
      </w:r>
      <w:r>
        <w:t xml:space="preserve"> </w:t>
      </w:r>
      <w:r>
        <w:t xml:space="preserve">However, other forms of screen use showed associations with benefits.</w:t>
      </w:r>
      <w:r>
        <w:t xml:space="preserve"> </w:t>
      </w:r>
      <w:r>
        <w:t xml:space="preserve">For example, educational screen use was generally associted with better learning outcomes.</w:t>
      </w:r>
      <w:r>
        <w:t xml:space="preserve"> </w:t>
      </w:r>
      <w:r>
        <w:t xml:space="preserve">Some types of screen use have complex associations with outcomes.</w:t>
      </w:r>
      <w:r>
        <w:t xml:space="preserve"> </w:t>
      </w:r>
      <w:r>
        <w:t xml:space="preserve">For example, television viewing showed harmful correlations with body composition and learning.</w:t>
      </w:r>
      <w:r>
        <w:t xml:space="preserve"> </w:t>
      </w:r>
      <w:r>
        <w:t xml:space="preserve">However, when parents watched with their children or the content was educational, general screen use was associated with greater learning.</w:t>
      </w:r>
      <w:r>
        <w:t xml:space="preserve"> </w:t>
      </w:r>
      <w:r>
        <w:t xml:space="preserve">More nuanced guidelines are needed to help parents, teachers, and practitioners ensure that youth benefit from their interactions with screens.</w:t>
      </w:r>
    </w:p>
    <w:p>
      <w:pPr>
        <w:pStyle w:val="Textkrper"/>
      </w:pPr>
      <w:r>
        <w:rPr>
          <w:i/>
        </w:rPr>
        <w:t xml:space="preserve">Word count:</w:t>
      </w:r>
      <w:r>
        <w:t xml:space="preserve"> </w:t>
      </w:r>
      <w:r>
        <w:t xml:space="preserve">5405</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25),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274 unique exposure/outcome combinations, 242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255 unique effect/outcome combinations (retaining multiple effects for different age groups or study designs) contributed from 103 reviews.</w:t>
      </w:r>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3.</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94/103, 91% of meta-analyses), reported the characteristics of the included studies (</w:t>
      </w:r>
      <w:r>
        <w:rPr>
          <w:i/>
        </w:rPr>
        <w:t xml:space="preserve">n</w:t>
      </w:r>
      <w:r>
        <w:t xml:space="preserve"> </w:t>
      </w:r>
      <w:r>
        <w:t xml:space="preserve">low risk = 87/103, 84%), and used a comprehensive and systematic search strategy (</w:t>
      </w:r>
      <w:r>
        <w:rPr>
          <w:i/>
        </w:rPr>
        <w:t xml:space="preserve">n</w:t>
      </w:r>
      <w:r>
        <w:t xml:space="preserve"> </w:t>
      </w:r>
      <w:r>
        <w:t xml:space="preserve">low risk = 72/103, 70%).</w:t>
      </w:r>
      <w:r>
        <w:t xml:space="preserve"> </w:t>
      </w:r>
      <w:r>
        <w:t xml:space="preserve">Most reviews did not clearly report if their eligibility criteria were predefined (</w:t>
      </w:r>
      <w:r>
        <w:rPr>
          <w:i/>
        </w:rPr>
        <w:t xml:space="preserve">n</w:t>
      </w:r>
      <w:r>
        <w:t xml:space="preserve"> </w:t>
      </w:r>
      <w:r>
        <w:t xml:space="preserve">unclear = 72/103, 70%).</w:t>
      </w:r>
      <w:r>
        <w:t xml:space="preserve"> </w:t>
      </w:r>
      <w:r>
        <w:t xml:space="preserve">Many papers also did not complete dual independent screening of abstracts and full text (</w:t>
      </w:r>
      <w:r>
        <w:rPr>
          <w:i/>
        </w:rPr>
        <w:t xml:space="preserve">n</w:t>
      </w:r>
      <w:r>
        <w:t xml:space="preserve"> </w:t>
      </w:r>
      <w:r>
        <w:t xml:space="preserve">high risk = 20/103, 19%) or did not clearly report the method of screening (</w:t>
      </w:r>
      <w:r>
        <w:rPr>
          <w:i/>
        </w:rPr>
        <w:t xml:space="preserve">n</w:t>
      </w:r>
      <w:r>
        <w:t xml:space="preserve"> </w:t>
      </w:r>
      <w:r>
        <w:t xml:space="preserve">unclear = 38/103, 37%).</w:t>
      </w:r>
      <w:r>
        <w:t xml:space="preserve"> </w:t>
      </w:r>
      <w:r>
        <w:t xml:space="preserve">A similar trend was observed for dual independent quality assessment (</w:t>
      </w:r>
      <w:r>
        <w:rPr>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w:t>
      </w:r>
      <w:r>
        <w:t xml:space="preserve"> </w:t>
      </w:r>
      <w:r>
        <w:t xml:space="preserve">The largest effect size observed was for augmented reality-based education interventions on general learning (</w:t>
      </w:r>
      <m:oMath>
        <m:r>
          <m:t>r</m:t>
        </m:r>
        <m:r>
          <m:t>=</m:t>
        </m:r>
        <m:r>
          <m:t>0.33</m:t>
        </m:r>
        <m:r>
          <m:t>,</m:t>
        </m:r>
        <m:r>
          <m:t>k</m:t>
        </m:r>
        <m:r>
          <m:t>=</m:t>
        </m:r>
        <m:r>
          <m:t>15</m:t>
        </m:r>
        <m:r>
          <m:t>,</m:t>
        </m:r>
        <m:r>
          <m:t>N</m:t>
        </m:r>
        <m:r>
          <m:t>=</m:t>
        </m:r>
        <m:r>
          <m:t>1</m:t>
        </m:r>
        <m:r>
          <m:t>,</m:t>
        </m:r>
        <m:r>
          <m:t>474</m:t>
        </m:r>
      </m:oMath>
      <w:r>
        <w:t xml:space="preserve">).</w:t>
      </w:r>
      <w:r>
        <w:t xml:space="preserve"> </w:t>
      </w:r>
      <w:r>
        <w:t xml:space="preserve">Most effects showed high levels of heterogeneity (18 of 23 with</w:t>
      </w:r>
      <w:r>
        <w:t xml:space="preserve"> </w:t>
      </w:r>
      <m:oMath>
        <m:sSup>
          <m:e>
            <m:r>
              <m:t>I</m:t>
            </m:r>
          </m:e>
          <m:sup>
            <m:r>
              <m:t>2</m:t>
            </m:r>
          </m:sup>
        </m:sSup>
        <m:r>
          <m:t>&gt;</m:t>
        </m:r>
        <m:r>
          <m:t>50</m:t>
        </m:r>
        <m: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Television viewing was negatively correlated with sleep duration, but with stronger evidence only observed for adolescents.</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internet use and depression the largest at</w:t>
      </w:r>
      <w:r>
        <w:t xml:space="preserve"> </w:t>
      </w:r>
      <m:oMath>
        <m:r>
          <m:t>r</m:t>
        </m:r>
        <m:r>
          <m:t>=</m:t>
        </m:r>
        <m:r>
          <m:t>0.25</m:t>
        </m:r>
      </m:oMath>
      <w:r>
        <w:t xml:space="preserve"> </w:t>
      </w:r>
      <w:r>
        <w:t xml:space="preserve">(</w:t>
      </w:r>
      <m:oMath>
        <m:r>
          <m:t>k</m:t>
        </m:r>
        <m:r>
          <m:t>=</m:t>
        </m:r>
        <m:r>
          <m:t>118</m:t>
        </m:r>
        <m:r>
          <m:t>,</m:t>
        </m:r>
        <m:r>
          <m:t>N</m:t>
        </m:r>
        <m:r>
          <m:t>=</m:t>
        </m:r>
        <m:r>
          <m:t>527</m:t>
        </m:r>
        <m:r>
          <m:t>,</m:t>
        </m:r>
        <m:r>
          <m:t>696</m:t>
        </m:r>
      </m:oMath>
      <w:r>
        <w:t xml:space="preserve">).</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3" w:name="discussion"/>
      <w:r>
        <w:t xml:space="preserve">Discussion</w:t>
      </w:r>
      <w:bookmarkEnd w:id="23"/>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Files 4 &amp; 5).</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4" w:name="methods"/>
      <w:r>
        <w:t xml:space="preserve">Methods</w:t>
      </w:r>
      <w:bookmarkEnd w:id="24"/>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p>
      <w:pPr>
        <w:pStyle w:val="berschrift3"/>
      </w:pPr>
      <w:bookmarkStart w:id="25" w:name="eligibility-criteria"/>
      <w:r>
        <w:t xml:space="preserve">Eligibility criteria.</w:t>
      </w:r>
      <w:bookmarkEnd w:id="25"/>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6" w:name="information-sources"/>
      <w:r>
        <w:t xml:space="preserve">Information sources.</w:t>
      </w:r>
      <w:bookmarkEnd w:id="26"/>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7" w:name="search-strategy"/>
      <w:r>
        <w:t xml:space="preserve">Search strategy.</w:t>
      </w:r>
      <w:bookmarkEnd w:id="27"/>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p>
      <w:pPr>
        <w:pStyle w:val="berschrift3"/>
      </w:pPr>
      <w:bookmarkStart w:id="28" w:name="selection-process"/>
      <w:r>
        <w:t xml:space="preserve">Selection process.</w:t>
      </w:r>
      <w:bookmarkEnd w:id="28"/>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29" w:name="data-items"/>
      <w:r>
        <w:t xml:space="preserve">Data items.</w:t>
      </w:r>
      <w:bookmarkEnd w:id="29"/>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0" w:name="study-risk-of-bias-assessment"/>
      <w:r>
        <w:t xml:space="preserve">Study risk of bias assessment.</w:t>
      </w:r>
      <w:bookmarkEnd w:id="30"/>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1" w:name="effect-measures"/>
      <w:r>
        <w:t xml:space="preserve">Effect measures.</w:t>
      </w:r>
      <w:bookmarkEnd w:id="31"/>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52</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p>
    <w:p>
      <w:pPr>
        <w:pStyle w:val="berschrift3"/>
      </w:pPr>
      <w:bookmarkStart w:id="32" w:name="synthesis-methods"/>
      <w:r>
        <w:t xml:space="preserve">Synthesis methods.</w:t>
      </w:r>
      <w:bookmarkEnd w:id="32"/>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w:t>
      </w:r>
      <w:r>
        <w:t xml:space="preserve">and conducted a test of excess significance.</w:t>
      </w:r>
      <w:r>
        <w:rPr>
          <w:vertAlign w:val="superscript"/>
        </w:rPr>
        <w:t xml:space="preserve">58</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3" w:name="evidence-assessment-criteria"/>
      <w:r>
        <w:t xml:space="preserve">Evidence assessment criteria.</w:t>
      </w:r>
      <w:bookmarkEnd w:id="3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(i.e., 95% confidence intervals did not cross zero) and</w:t>
      </w:r>
      <w:r>
        <w:t xml:space="preserve"> </w:t>
      </w:r>
      <m:oMath>
        <m:r>
          <m:t>P</m:t>
        </m:r>
        <m:r>
          <m:t>&lt;</m:t>
        </m:r>
        <m:sSup>
          <m:e>
            <m:r>
              <m:t>10</m:t>
            </m:r>
          </m:e>
          <m:sup>
            <m: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t>&gt;</m:t>
        </m:r>
        <m:r>
          <m:t>.05</m:t>
        </m:r>
      </m:oMath>
      <w:r>
        <w:t xml:space="preserve"> </w:t>
      </w:r>
      <w:r>
        <w:t xml:space="preserve">(i.e., 95% confidence intervals included zero) was taken to indicate no association of interest.</w:t>
      </w:r>
    </w:p>
    <w:p>
      <w:pPr>
        <w:pStyle w:val="berschrift3"/>
      </w:pPr>
      <w:bookmarkStart w:id="34" w:name="deviations-from-protocol"/>
      <w:r>
        <w:t xml:space="preserve">Deviations from protocol.</w:t>
      </w:r>
      <w:bookmarkEnd w:id="34"/>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5" w:name="data-availability-statement"/>
      <w:r>
        <w:t xml:space="preserve">Data availability statement</w:t>
      </w:r>
      <w:bookmarkEnd w:id="35"/>
    </w:p>
    <w:p>
      <w:pPr>
        <w:pStyle w:val="FirstParagraph"/>
      </w:pPr>
      <w:r>
        <w:t xml:space="preserve">All data for this review are available from the authors’ GitHub repository (</w:t>
      </w:r>
      <w:hyperlink r:id="rId36">
        <w:r>
          <w:rPr>
            <w:rStyle w:val="Hyperlink"/>
          </w:rPr>
          <w:t xml:space="preserve">https://github.com/motivation-and-Behaviour/screen_umbrella</w:t>
        </w:r>
      </w:hyperlink>
      <w:r>
        <w:t xml:space="preserve">) or from the Open Science Foundation (</w:t>
      </w:r>
      <w:hyperlink r:id="rId37">
        <w:r>
          <w:rPr>
            <w:rStyle w:val="Hyperlink"/>
          </w:rPr>
          <w:t xml:space="preserve">https://osf.io/3ubqp/</w:t>
        </w:r>
      </w:hyperlink>
      <w:r>
        <w:t xml:space="preserve">).</w:t>
      </w:r>
    </w:p>
    <w:p>
      <w:pPr>
        <w:pStyle w:val="berschrift2"/>
      </w:pPr>
      <w:bookmarkStart w:id="38" w:name="code-availability-statement"/>
      <w:r>
        <w:t xml:space="preserve">Code availability statement</w:t>
      </w:r>
      <w:bookmarkEnd w:id="38"/>
    </w:p>
    <w:p>
      <w:pPr>
        <w:pStyle w:val="FirstParagraph"/>
      </w:pPr>
      <w:r>
        <w:t xml:space="preserve">All code used in these analyses are available on the authors’ GitHub repository (</w:t>
      </w:r>
      <w:hyperlink r:id="rId36">
        <w:r>
          <w:rPr>
            <w:rStyle w:val="Hyperlink"/>
          </w:rPr>
          <w:t xml:space="preserve">https://github.com/motivation-and-Behaviour/screen_umbrella</w:t>
        </w:r>
      </w:hyperlink>
      <w:r>
        <w:t xml:space="preserve">).</w:t>
      </w:r>
    </w:p>
    <w:p>
      <w:pPr>
        <w:pStyle w:val="berschrift1"/>
      </w:pPr>
      <w:bookmarkStart w:id="39" w:name="acknowledgements"/>
      <w:r>
        <w:t xml:space="preserve">Acknowledgements</w:t>
      </w:r>
      <w:bookmarkEnd w:id="39"/>
    </w:p>
    <w:p>
      <w:pPr>
        <w:pStyle w:val="FirstParagraph"/>
      </w:pPr>
      <w:r>
        <w:t xml:space="preserve">The authors received no specific funding for this work.</w:t>
      </w:r>
    </w:p>
    <w:p>
      <w:pPr>
        <w:pStyle w:val="berschrift1"/>
      </w:pPr>
      <w:bookmarkStart w:id="40" w:name="author-contributions"/>
      <w:r>
        <w:t xml:space="preserve">Author contributions</w:t>
      </w:r>
      <w:bookmarkEnd w:id="40"/>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41" w:name="competing-interests"/>
      <w:r>
        <w:t xml:space="preserve">Competing interests</w:t>
      </w:r>
      <w:bookmarkEnd w:id="41"/>
    </w:p>
    <w:p>
      <w:pPr>
        <w:pStyle w:val="FirstParagraph"/>
      </w:pPr>
      <w:r>
        <w:t xml:space="preserve">The authors declare no conflicts of interest.</w:t>
      </w:r>
    </w:p>
    <w:p>
      <w:pPr>
        <w:pStyle w:val="berschrift1"/>
      </w:pPr>
      <w:bookmarkStart w:id="42" w:name="tables"/>
      <w:r>
        <w:t xml:space="preserve">Tables</w:t>
      </w:r>
      <w:bookmarkEnd w:id="42"/>
    </w:p>
    <w:p>
      <w:pPr>
        <w:pStyle w:val="FirstParagraph"/>
      </w:pPr>
      <w:r>
        <w:rPr>
          <w:i/>
        </w:rPr>
        <w:t xml:space="preserve">Table 1: Review characteristics and quality assessment for meta-analyses providing unique effects</w:t>
      </w:r>
    </w:p>
    <w:p>
      <w:pPr>
        <w:pStyle w:val="berschrift1"/>
      </w:pPr>
      <w:bookmarkStart w:id="43" w:name="figure-legends"/>
      <w:r>
        <w:t xml:space="preserve">Figure legends</w:t>
      </w:r>
      <w:bookmarkEnd w:id="43"/>
    </w:p>
    <w:p>
      <w:pPr>
        <w:pStyle w:val="FirstParagraph"/>
      </w:pPr>
      <w:r>
        <w:rPr>
          <w:i/>
        </w:rPr>
        <w:t xml:space="preserve">Figure 1: PRISMA Diagram.</w:t>
      </w:r>
    </w:p>
    <w:p>
      <w:pPr>
        <w:pStyle w:val="Textkrper"/>
      </w:pPr>
      <w:r>
        <w:rPr>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r>
        <w:br w:type="page"/>
      </w:r>
    </w:p>
    <w:p>
      <w:pPr>
        <w:pStyle w:val="berschrift1"/>
      </w:pPr>
      <w:bookmarkStart w:id="44" w:name="references"/>
      <w:r>
        <w:t xml:space="preserve">References</w:t>
      </w:r>
      <w:bookmarkEnd w:id="44"/>
    </w:p>
    <w:bookmarkStart w:id="105" w:name="refs"/>
    <w:bookmarkStart w:id="45"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5"/>
    <w:bookmarkStart w:id="46" w:name="ref-bell1883sanitarian"/>
    <w:p>
      <w:pPr>
        <w:pStyle w:val="Literaturverzeichnis"/>
      </w:pPr>
      <w:r>
        <w:t xml:space="preserve">2. Bell, A. N.</w:t>
      </w:r>
      <w:r>
        <w:t xml:space="preserve"> </w:t>
      </w:r>
      <w:r>
        <w:rPr>
          <w:i/>
        </w:rPr>
        <w:t xml:space="preserve">The sanitarian</w:t>
      </w:r>
      <w:r>
        <w:t xml:space="preserve">. vol. 11 (AN Bell, 1883).</w:t>
      </w:r>
    </w:p>
    <w:bookmarkEnd w:id="46"/>
    <w:bookmarkStart w:id="47"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7"/>
    <w:bookmarkStart w:id="48"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48"/>
    <w:bookmarkStart w:id="49"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49"/>
    <w:bookmarkStart w:id="50"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50"/>
    <w:bookmarkStart w:id="51"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51"/>
    <w:bookmarkStart w:id="52"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52"/>
    <w:bookmarkStart w:id="53"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53"/>
    <w:bookmarkStart w:id="54"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54"/>
    <w:bookmarkStart w:id="55"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5"/>
    <w:bookmarkStart w:id="56"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6"/>
    <w:bookmarkStart w:id="57"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7"/>
    <w:bookmarkStart w:id="58"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58"/>
    <w:bookmarkStart w:id="59"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59"/>
    <w:bookmarkStart w:id="60"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60"/>
    <w:bookmarkStart w:id="61"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61"/>
    <w:bookmarkStart w:id="62"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62"/>
    <w:bookmarkStart w:id="63"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63"/>
    <w:bookmarkStart w:id="64"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64"/>
    <w:bookmarkStart w:id="65"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5"/>
    <w:bookmarkStart w:id="66"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6"/>
    <w:bookmarkStart w:id="67"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7"/>
    <w:bookmarkStart w:id="68"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68"/>
    <w:bookmarkStart w:id="69"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69"/>
    <w:bookmarkStart w:id="70"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70"/>
    <w:bookmarkStart w:id="71"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71"/>
    <w:bookmarkStart w:id="72"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72"/>
    <w:bookmarkStart w:id="73"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73"/>
    <w:bookmarkStart w:id="74"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74"/>
    <w:bookmarkStart w:id="75"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75"/>
    <w:bookmarkStart w:id="76"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76"/>
    <w:bookmarkStart w:id="77"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77"/>
    <w:bookmarkStart w:id="78"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78"/>
    <w:bookmarkStart w:id="79"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79"/>
    <w:bookmarkStart w:id="80" w:name="ref-sadeghiradInfluenceUnhealthyFood2016"/>
    <w:p>
      <w:pPr>
        <w:pStyle w:val="Literaturverzeichnis"/>
      </w:pPr>
      <w:r>
        <w:t xml:space="preserve">36.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80"/>
    <w:bookmarkStart w:id="81" w:name="ref-marshallRelationshipsMediaUse2004"/>
    <w:p>
      <w:pPr>
        <w:pStyle w:val="Literaturverzeichnis"/>
      </w:pPr>
      <w:r>
        <w:t xml:space="preserve">37.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81"/>
    <w:bookmarkStart w:id="82" w:name="ref-elsonPolicyStatementsMedia2019"/>
    <w:p>
      <w:pPr>
        <w:pStyle w:val="Literaturverzeichnis"/>
      </w:pPr>
      <w:r>
        <w:t xml:space="preserve">38.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82"/>
    <w:bookmarkStart w:id="83" w:name="ref-ashtonScreenTimeChildren2019"/>
    <w:p>
      <w:pPr>
        <w:pStyle w:val="Literaturverzeichnis"/>
      </w:pPr>
      <w:r>
        <w:t xml:space="preserve">39.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83"/>
    <w:bookmarkStart w:id="84" w:name="Xa7779c494ab5882c81b02dfe0cfa23203039787"/>
    <w:p>
      <w:pPr>
        <w:pStyle w:val="Literaturverzeichnis"/>
      </w:pPr>
      <w:r>
        <w:t xml:space="preserve">40. Royal College of Paediatrics and Child Health.</w:t>
      </w:r>
      <w:r>
        <w:t xml:space="preserve"> </w:t>
      </w:r>
      <w:r>
        <w:rPr>
          <w:i/>
        </w:rPr>
        <w:t xml:space="preserve">The health impacts of screen time: A guide for clinicians and parents.</w:t>
      </w:r>
      <w:r>
        <w:t xml:space="preserve"> </w:t>
      </w:r>
      <w:r>
        <w:t xml:space="preserve">(2019).</w:t>
      </w:r>
    </w:p>
    <w:bookmarkEnd w:id="84"/>
    <w:bookmarkStart w:id="86" w:name="ref-pagePRISMA2020Statement2020"/>
    <w:p>
      <w:pPr>
        <w:pStyle w:val="Literaturverzeichnis"/>
      </w:pPr>
      <w:r>
        <w:t xml:space="preserve">41.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85">
        <w:r>
          <w:rPr>
            <w:rStyle w:val="Hyperlink"/>
          </w:rPr>
          <w:t xml:space="preserve">10.31222/osf.io/v7gm2</w:t>
        </w:r>
      </w:hyperlink>
      <w:r>
        <w:t xml:space="preserve">.</w:t>
      </w:r>
    </w:p>
    <w:bookmarkEnd w:id="86"/>
    <w:bookmarkStart w:id="87" w:name="X1622a13c71fefd4fa62b8aed2044e1aca625882"/>
    <w:p>
      <w:pPr>
        <w:pStyle w:val="Literaturverzeichnis"/>
      </w:pPr>
      <w:r>
        <w:t xml:space="preserve">42.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87"/>
    <w:bookmarkStart w:id="88" w:name="ref-byrneMeasurementScreenTime2021"/>
    <w:p>
      <w:pPr>
        <w:pStyle w:val="Literaturverzeichnis"/>
      </w:pPr>
      <w:r>
        <w:t xml:space="preserve">43.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88"/>
    <w:bookmarkStart w:id="89" w:name="ref-smithFeasibilityAutomatedCameras2019"/>
    <w:p>
      <w:pPr>
        <w:pStyle w:val="Literaturverzeichnis"/>
      </w:pPr>
      <w:r>
        <w:t xml:space="preserve">44.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89"/>
    <w:bookmarkStart w:id="90" w:name="ref-rydingPassiveObjectiveMeasures2020"/>
    <w:p>
      <w:pPr>
        <w:pStyle w:val="Literaturverzeichnis"/>
      </w:pPr>
      <w:r>
        <w:t xml:space="preserve">45.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90"/>
    <w:bookmarkStart w:id="91" w:name="X273798adfea2fce3f1845a8e1bd699c817aaf5b"/>
    <w:p>
      <w:pPr>
        <w:pStyle w:val="Literaturverzeichnis"/>
      </w:pPr>
      <w:r>
        <w:t xml:space="preserve">46.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91"/>
    <w:bookmarkStart w:id="92" w:name="ref-twengeMoreTimeTechnology2019"/>
    <w:p>
      <w:pPr>
        <w:pStyle w:val="Literaturverzeichnis"/>
      </w:pPr>
      <w:r>
        <w:t xml:space="preserve">47.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92"/>
    <w:bookmarkStart w:id="93" w:name="ref-kellySocialMediaUse2018"/>
    <w:p>
      <w:pPr>
        <w:pStyle w:val="Literaturverzeichnis"/>
      </w:pPr>
      <w:r>
        <w:t xml:space="preserve">48.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93"/>
    <w:bookmarkStart w:id="94" w:name="ref-NHLBIQualityAssessmentSystematic2014"/>
    <w:p>
      <w:pPr>
        <w:pStyle w:val="Literaturverzeichnis"/>
      </w:pPr>
      <w:r>
        <w:t xml:space="preserve">49. National Health, Lung, and Blood Institute.</w:t>
      </w:r>
      <w:r>
        <w:t xml:space="preserve"> </w:t>
      </w:r>
      <w:r>
        <w:rPr>
          <w:i/>
        </w:rPr>
        <w:t xml:space="preserve">Quality Assessment of Systematic Reviews and Meta-Analyses</w:t>
      </w:r>
      <w:r>
        <w:t xml:space="preserve">. (2014).</w:t>
      </w:r>
    </w:p>
    <w:bookmarkEnd w:id="94"/>
    <w:bookmarkStart w:id="95" w:name="ref-bowmanEffectSizesStatistical2012"/>
    <w:p>
      <w:pPr>
        <w:pStyle w:val="Literaturverzeichnis"/>
      </w:pPr>
      <w:r>
        <w:t xml:space="preserve">50.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95"/>
    <w:bookmarkStart w:id="96" w:name="X28222e0a00c3a1bb883085ca4953aa45a58e4dd"/>
    <w:p>
      <w:pPr>
        <w:pStyle w:val="Literaturverzeichnis"/>
      </w:pPr>
      <w:r>
        <w:t xml:space="preserve">51.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96"/>
    <w:bookmarkStart w:id="97" w:name="ref-funderEvaluatingEffectSize2019"/>
    <w:p>
      <w:pPr>
        <w:pStyle w:val="Literaturverzeichnis"/>
      </w:pPr>
      <w:r>
        <w:t xml:space="preserve">52.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97"/>
    <w:bookmarkStart w:id="98" w:name="ref-gignacEffectSizeGuidelines2016"/>
    <w:p>
      <w:pPr>
        <w:pStyle w:val="Literaturverzeichnis"/>
      </w:pPr>
      <w:r>
        <w:t xml:space="preserve">53.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98"/>
    <w:bookmarkStart w:id="99" w:name="ref-R-metafor"/>
    <w:p>
      <w:pPr>
        <w:pStyle w:val="Literaturverzeichnis"/>
      </w:pPr>
      <w:r>
        <w:t xml:space="preserve">54. Viechtbauer, W.</w:t>
      </w:r>
      <w:r>
        <w:t xml:space="preserve"> </w:t>
      </w:r>
      <w:r>
        <w:rPr>
          <w:i/>
        </w:rPr>
        <w:t xml:space="preserve">Metafor: Meta-analysis package for r</w:t>
      </w:r>
      <w:r>
        <w:t xml:space="preserve">. (2023).</w:t>
      </w:r>
    </w:p>
    <w:bookmarkEnd w:id="99"/>
    <w:bookmarkStart w:id="100" w:name="ref-R-base"/>
    <w:p>
      <w:pPr>
        <w:pStyle w:val="Literaturverzeichnis"/>
      </w:pPr>
      <w:r>
        <w:t xml:space="preserve">55. R Core Team.</w:t>
      </w:r>
      <w:r>
        <w:t xml:space="preserve"> </w:t>
      </w:r>
      <w:r>
        <w:rPr>
          <w:i/>
        </w:rPr>
        <w:t xml:space="preserve">R: A language and environment for statistical computing</w:t>
      </w:r>
      <w:r>
        <w:t xml:space="preserve">. (R Foundation for Statistical Computing, 2023).</w:t>
      </w:r>
    </w:p>
    <w:bookmarkEnd w:id="100"/>
    <w:bookmarkStart w:id="101" w:name="ref-eggerBiasMetaanalysisDetected1997"/>
    <w:p>
      <w:pPr>
        <w:pStyle w:val="Literaturverzeichnis"/>
      </w:pPr>
      <w:r>
        <w:t xml:space="preserve">56.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01"/>
    <w:bookmarkStart w:id="102" w:name="ref-pageChapter13Assessing2021"/>
    <w:p>
      <w:pPr>
        <w:pStyle w:val="Literaturverzeichnis"/>
      </w:pPr>
      <w:r>
        <w:t xml:space="preserve">57.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02"/>
    <w:bookmarkStart w:id="103" w:name="ref-ioannidisExploratoryTestExcess2007"/>
    <w:p>
      <w:pPr>
        <w:pStyle w:val="Literaturverzeichnis"/>
      </w:pPr>
      <w:r>
        <w:t xml:space="preserve">58.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03"/>
    <w:bookmarkStart w:id="104" w:name="X06fd504ce36b3f21caca6eb0766200d9b01623a"/>
    <w:p>
      <w:pPr>
        <w:pStyle w:val="Literaturverzeichnis"/>
      </w:pPr>
      <w:r>
        <w:t xml:space="preserve">59.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04"/>
    <w:bookmarkEnd w:id="105"/>
    <w:p>
      <w:r>
        <w:br w:type="page"/>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85" Target="https://doi.org/10.31222/osf.io/v7gm2" TargetMode="External" /><Relationship Type="http://schemas.openxmlformats.org/officeDocument/2006/relationships/hyperlink" Id="rId36" Target="https://github.com/motivation-and-Behaviour/screen_umbrella" TargetMode="External" /><Relationship Type="http://schemas.openxmlformats.org/officeDocument/2006/relationships/hyperlink" Id="rId37"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85" Target="https://doi.org/10.31222/osf.io/v7gm2" TargetMode="External" /><Relationship Type="http://schemas.openxmlformats.org/officeDocument/2006/relationships/hyperlink" Id="rId36" Target="https://github.com/motivation-and-Behaviour/screen_umbrella" TargetMode="External" /><Relationship Type="http://schemas.openxmlformats.org/officeDocument/2006/relationships/hyperlink" Id="rId37"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2023-06-20T05:42:04Z</dcterms:created>
  <dcterms:modified xsi:type="dcterms:W3CDTF">2023-06-20T05:42:04Z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5405</vt:lpwstr>
  </property>
</Properties>
</file>