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w:t>
      </w:r>
      <w:r>
        <w:rPr>
          <w:vertAlign w:val="superscript"/>
        </w:rPr>
        <w:t xml:space="preserve">3</w:t>
      </w:r>
      <w:r>
        <w:t xml:space="preserve">,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Sciences,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The Centre for Social Impact, University of New South Wales, Sydney, Australia</w:t>
      </w:r>
    </w:p>
    <w:p>
      <w:pPr>
        <w:pStyle w:val="Author"/>
      </w:pPr>
      <w:r>
        <w:rPr>
          <w:vertAlign w:val="superscript"/>
        </w:rPr>
        <w:t xml:space="preserve">8</w:t>
      </w:r>
      <w:r>
        <w:t xml:space="preserve"> </w:t>
      </w:r>
      <w:r>
        <w:t xml:space="preserve">The University of Queensland, Health and Wellbeing Centre for Research Innovation, School of Human Movement and Nutrition Sciences,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review, we harmonised 255 effects representing unique combinations of exposures and outcomes from 103 meta-analyses (2,496 primary studies; 2,026,054 participants).</w:t>
      </w:r>
      <w:r>
        <w:t xml:space="preserve"> </w:t>
      </w:r>
      <w:r>
        <w:t xml:space="preserve">Some types of screen use, such as social media, were consistently correlated with risks to health.</w:t>
      </w:r>
      <w:r>
        <w:t xml:space="preserve"> </w:t>
      </w:r>
      <w:r>
        <w:t xml:space="preserve">However, other forms of screen use showed associations with benefits.</w:t>
      </w:r>
      <w:r>
        <w:t xml:space="preserve"> </w:t>
      </w:r>
      <w:r>
        <w:t xml:space="preserve">For example, experimental evidence showed that video games improve aspects of cognitive function.</w:t>
      </w:r>
      <w:r>
        <w:t xml:space="preserve"> </w:t>
      </w:r>
      <w:r>
        <w:t xml:space="preserve">Some types of screen use have complex associations with outcomes.</w:t>
      </w:r>
      <w:r>
        <w:t xml:space="preserve"> </w:t>
      </w:r>
      <w:r>
        <w:t xml:space="preserve">For example, general screen use (i.e., content not indicated) showed correlations with harm for body composition, depression, and learning.</w:t>
      </w:r>
      <w:r>
        <w:t xml:space="preserve"> </w:t>
      </w:r>
      <w:r>
        <w:t xml:space="preserve">However, when parents watched with their children or the content was educational, general screen use was associated with greater learning.</w:t>
      </w:r>
      <w:r>
        <w:t xml:space="preserve"> </w:t>
      </w:r>
      <w:r>
        <w:t xml:space="preserve">More nuanced guidelines are needed to help parents, teachers, and practitioners ensure that youth benefit from their interactions with screens.</w:t>
      </w:r>
    </w:p>
    <w:p>
      <w:pPr>
        <w:pStyle w:val="Textkrper"/>
      </w:pPr>
      <w:r>
        <w:rPr>
          <w:i/>
        </w:rPr>
        <w:t xml:space="preserve">Word count:</w:t>
      </w:r>
      <w:r>
        <w:t xml:space="preserve"> </w:t>
      </w:r>
      <w:r>
        <w:t xml:space="preserve">5394</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w:t>
      </w:r>
      <w:r>
        <w:t xml:space="preserve"> </w:t>
      </w:r>
      <w:r>
        <w:t xml:space="preserve">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p>
    <w:p>
      <w:r>
        <w:br w:type="page"/>
      </w:r>
    </w:p>
    <w:p>
      <w:pPr>
        <w:pStyle w:val="berschrift1"/>
      </w:pPr>
      <w:bookmarkStart w:id="22" w:name="results"/>
      <w:r>
        <w:t xml:space="preserve">Results</w:t>
      </w:r>
      <w:bookmarkEnd w:id="22"/>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218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5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25), depression (</w:t>
      </w:r>
      <w:r>
        <w:rPr>
          <w:i/>
        </w:rPr>
        <w:t xml:space="preserve">n</w:t>
      </w:r>
      <w:r>
        <w:t xml:space="preserve"> </w:t>
      </w:r>
      <w:r>
        <w:t xml:space="preserve">= 13), and general literacy (</w:t>
      </w:r>
      <w:r>
        <w:rPr>
          <w:i/>
        </w:rPr>
        <w:t xml:space="preserve">n</w:t>
      </w:r>
      <w:r>
        <w:t xml:space="preserve"> </w:t>
      </w:r>
      <w:r>
        <w:t xml:space="preserve">= 12).</w:t>
      </w:r>
      <w:r>
        <w:t xml:space="preserve"> </w:t>
      </w:r>
      <w:r>
        <w:t xml:space="preserve">Of the 274 unique exposure/outcome combinations, 242 occurred in only one review, with 23 appearing twice, and 9 appearing three or more times.</w:t>
      </w:r>
      <w:r>
        <w:t xml:space="preserve"> </w:t>
      </w:r>
      <w:r>
        <w:t xml:space="preserve">Full characteristics of the included studies are provided in Table 1.</w:t>
      </w:r>
      <w:r>
        <w:t xml:space="preserve"> </w:t>
      </w:r>
      <w:r>
        <w:t xml:space="preserve">After removing reviews with duplicate exposure/outcome combinations, our process yielded 255 unique effect/outcome combinations (retaining multiple effects for different age groups or study designs) contributed from 103 reviews.</w:t>
      </w:r>
      <w:r>
        <w:t xml:space="preserve"> </w:t>
      </w:r>
      <w:r>
        <w:t xml:space="preserve">These effects represent the findings of 2,496 primary studies, involving 2,026,054 participants.</w:t>
      </w:r>
      <w:r>
        <w:t xml:space="preserve"> </w:t>
      </w:r>
      <w:r>
        <w:t xml:space="preserve">The characteristics of the included effects are available in Supplementary File 9.</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94/103, 91% of meta-analyses), reported the characteristics of the included studies (</w:t>
      </w:r>
      <w:r>
        <w:rPr>
          <w:i/>
        </w:rPr>
        <w:t xml:space="preserve">n</w:t>
      </w:r>
      <w:r>
        <w:t xml:space="preserve"> </w:t>
      </w:r>
      <w:r>
        <w:t xml:space="preserve">low risk = 87/103, 84%), and used a comprehensive and systematic search strategy (</w:t>
      </w:r>
      <w:r>
        <w:rPr>
          <w:i/>
        </w:rPr>
        <w:t xml:space="preserve">n</w:t>
      </w:r>
      <w:r>
        <w:t xml:space="preserve"> </w:t>
      </w:r>
      <w:r>
        <w:t xml:space="preserve">low risk = 72/103, 70%).</w:t>
      </w:r>
      <w:r>
        <w:t xml:space="preserve"> </w:t>
      </w:r>
      <w:r>
        <w:t xml:space="preserve">Most reviews did not clearly report if their eligibility criteria were predefined (</w:t>
      </w:r>
      <w:r>
        <w:rPr>
          <w:i/>
        </w:rPr>
        <w:t xml:space="preserve">n</w:t>
      </w:r>
      <w:r>
        <w:t xml:space="preserve"> </w:t>
      </w:r>
      <w:r>
        <w:t xml:space="preserve">unclear = 72/103, 70%).</w:t>
      </w:r>
      <w:r>
        <w:t xml:space="preserve"> </w:t>
      </w:r>
      <w:r>
        <w:t xml:space="preserve">Many papers also did not complete dual independent screening of abstracts and full text (</w:t>
      </w:r>
      <w:r>
        <w:rPr>
          <w:i/>
        </w:rPr>
        <w:t xml:space="preserve">n</w:t>
      </w:r>
      <w:r>
        <w:t xml:space="preserve"> </w:t>
      </w:r>
      <w:r>
        <w:t xml:space="preserve">high risk = 20/103, 19%) or did not clearly report the method of screening (</w:t>
      </w:r>
      <w:r>
        <w:rPr>
          <w:i/>
        </w:rPr>
        <w:t xml:space="preserve">n</w:t>
      </w:r>
      <w:r>
        <w:t xml:space="preserve"> </w:t>
      </w:r>
      <w:r>
        <w:t xml:space="preserve">unclear = 38/103, 37%).</w:t>
      </w:r>
      <w:r>
        <w:t xml:space="preserve"> </w:t>
      </w:r>
      <w:r>
        <w:t xml:space="preserve">A similar trend was observed for dual independent quality assessment (</w:t>
      </w:r>
      <w:r>
        <w:rPr>
          <w:i/>
        </w:rPr>
        <w:t xml:space="preserve">n</w:t>
      </w:r>
      <w:r>
        <w:t xml:space="preserve"> </w:t>
      </w:r>
      <w:r>
        <w:t xml:space="preserve">high risk = 53/103, 51%; n high risk = 19/103, 18%).</w:t>
      </w:r>
      <w:r>
        <w:t xml:space="preserve"> </w:t>
      </w:r>
      <w:r>
        <w:t xml:space="preserve">Overall, only 7 meta-analyses were graded as low risk of bias on all criteria.</w:t>
      </w:r>
    </w:p>
    <w:p>
      <w:pPr>
        <w:pStyle w:val="Textkrper"/>
      </w:pPr>
      <w:r>
        <w:t xml:space="preserve">There were 89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6.</w:t>
      </w:r>
      <w:r>
        <w:t xml:space="preserve"> </w:t>
      </w:r>
      <w:r>
        <w:t xml:space="preserve">The remaining 23 effects met our criteria for statistical credibility and are described in Figure 2.</w:t>
      </w:r>
      <w:r>
        <w:t xml:space="preserve"> </w:t>
      </w:r>
      <w:r>
        <w:t xml:space="preserve">These 23 effects came from 18 meta-analytic reviews analysing data from 338 empirical studies with 262,537 individual participants.</w:t>
      </w:r>
    </w:p>
    <w:p>
      <w:pPr>
        <w:pStyle w:val="Textkrper"/>
      </w:pPr>
      <w:r>
        <w:t xml:space="preserve">Among the statistically credible effects, general screen use, television viewing, and video games were all negatively associated with learning.</w:t>
      </w:r>
      <w:r>
        <w:t xml:space="preserve"> </w:t>
      </w:r>
      <w:r>
        <w:t xml:space="preserve">E-books that included narration, as well as touch screen education interventions, and augmented reality education interventions were positively associated with learning.</w:t>
      </w:r>
      <w:r>
        <w:t xml:space="preserve"> </w:t>
      </w:r>
      <w:r>
        <w:t xml:space="preserve">General screen use was negatively associated with literacy outcomes.</w:t>
      </w:r>
      <w:r>
        <w:t xml:space="preserve"> </w:t>
      </w:r>
      <w:r>
        <w:t xml:space="preserve">However, if the screen use involved co-viewing (e.g., watching with a parent), or the content of television programs was educational, the association with literacy was positive and significant at the 95% confidence level (weak evidence).</w:t>
      </w:r>
      <w:r>
        <w:t xml:space="preserve"> </w:t>
      </w:r>
      <w:r>
        <w:t xml:space="preserve">Numeracy outcomes were positively associated with screen-based mathematics interventions and video games that contained numeracy content.</w:t>
      </w:r>
    </w:p>
    <w:p>
      <w:pPr>
        <w:pStyle w:val="Textkrper"/>
      </w:pPr>
      <w:r>
        <w:t xml:space="preserve">As shown in Figure 2, most of the credible results (14 of 23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w:t>
      </w:r>
      <w:r>
        <w:t xml:space="preserve"> </w:t>
      </w:r>
      <w:r>
        <w:t xml:space="preserve">The largest effect size observed was for augmented reality-based education interventions on general learning (</w:t>
      </w:r>
      <m:oMath>
        <m:r>
          <m:t>r</m:t>
        </m:r>
        <m:r>
          <m:t>=</m:t>
        </m:r>
        <m:r>
          <m:t>0.33</m:t>
        </m:r>
        <m:r>
          <m:t>,</m:t>
        </m:r>
        <m:r>
          <m:t>k</m:t>
        </m:r>
        <m:r>
          <m:t>=</m:t>
        </m:r>
        <m:r>
          <m:t>15</m:t>
        </m:r>
        <m:r>
          <m:t>,</m:t>
        </m:r>
        <m:r>
          <m:t>N</m:t>
        </m:r>
        <m:r>
          <m:t>=</m:t>
        </m:r>
        <m:r>
          <m:t>1</m:t>
        </m:r>
        <m:r>
          <m:t>,</m:t>
        </m:r>
        <m:r>
          <m:t>474</m:t>
        </m:r>
      </m:oMath>
      <w:r>
        <w:t xml:space="preserve">).</w:t>
      </w:r>
      <w:r>
        <w:t xml:space="preserve"> </w:t>
      </w:r>
      <w:r>
        <w:t xml:space="preserve">Most effects showed high levels of heterogeneity (18 of 23 with</w:t>
      </w:r>
      <w:r>
        <w:t xml:space="preserve"> </w:t>
      </w:r>
      <m:oMath>
        <m:sSup>
          <m:e>
            <m:r>
              <m:t>I</m:t>
            </m:r>
          </m:e>
          <m:sup>
            <m:r>
              <m:t>2</m:t>
            </m:r>
          </m:sup>
        </m:sSup>
        <m:r>
          <m:t>&gt;</m:t>
        </m:r>
        <m:r>
          <m:t>50</m:t>
        </m:r>
        <m:r>
          <m:t>%</m:t>
        </m:r>
      </m:oMath>
      <w:r>
        <w:t xml:space="preserve">).</w:t>
      </w:r>
    </w:p>
    <w:p>
      <w:pPr>
        <w:pStyle w:val="Textkrper"/>
      </w:pPr>
      <w:r>
        <w:t xml:space="preserve">We identified 165 unique outcome-exposure combinations associated with health or health-related behaviour outcomes.</w:t>
      </w:r>
      <w:r>
        <w:t xml:space="preserve"> </w:t>
      </w:r>
      <w:r>
        <w:t xml:space="preserve">We removed 41 effects that did not provide individual study-level data, 50 effects with samples &lt; 1,000, and 53 effects with a significant Egger’s test or insufficient studies to conduct the test.</w:t>
      </w:r>
      <w:r>
        <w:t xml:space="preserve"> </w:t>
      </w:r>
      <w:r>
        <w:t xml:space="preserve">No remaining studies showed evidence of excessive significance.</w:t>
      </w:r>
      <w:r>
        <w:t xml:space="preserve"> </w:t>
      </w:r>
      <w:r>
        <w:t xml:space="preserve">Effects not meeting one or more of these standards are presented in Supplementary File 7.</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and video games developed by a brand for promotion—were associated with higher unhealthy food intake.</w:t>
      </w:r>
      <w:r>
        <w:t xml:space="preserve"> </w:t>
      </w:r>
      <w:r>
        <w:t xml:space="preserve">Social media use and sexual content were positively associated with risky behaviors (e.g., sexual activity, risk taking, and substance abuse).</w:t>
      </w:r>
      <w:r>
        <w:t xml:space="preserve"> </w:t>
      </w:r>
      <w:r>
        <w:t xml:space="preserve">General screen use was positively associated with depression, with stronger associations observed for adolescents than other groups.</w:t>
      </w:r>
      <w:r>
        <w:t xml:space="preserve"> </w:t>
      </w:r>
      <w:r>
        <w:t xml:space="preserve">Television viewing was negatively correlated with sleep duration, but with stronger evidence only observed for younger children.</w:t>
      </w:r>
      <w:r>
        <w:t xml:space="preserve"> </w:t>
      </w:r>
      <w:r>
        <w:t xml:space="preserve">All forms of screen use (general, television, and video games) were associated with body composition (e.g., higher BMI).</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screen use and sleep duration the largest at</w:t>
      </w:r>
      <w:r>
        <w:t xml:space="preserve"> </w:t>
      </w:r>
      <m:oMath>
        <m:r>
          <m:t>r</m:t>
        </m:r>
        <m:r>
          <m:t>=</m:t>
        </m:r>
        <m:r>
          <m:t>−</m:t>
        </m:r>
        <m:r>
          <m:t>0.37</m:t>
        </m:r>
      </m:oMath>
      <w:r>
        <w:t xml:space="preserve"> </w:t>
      </w:r>
      <w:r>
        <w:t xml:space="preserve">(</w:t>
      </w:r>
      <m:oMath>
        <m:r>
          <m:t>k</m:t>
        </m:r>
        <m:r>
          <m:t>=</m:t>
        </m:r>
        <m:r>
          <m:t>10</m:t>
        </m:r>
        <m:r>
          <m:t>,</m:t>
        </m:r>
        <m:r>
          <m:t>N</m:t>
        </m:r>
        <m:r>
          <m:t>=</m:t>
        </m:r>
        <m:r>
          <m:t>56</m:t>
        </m:r>
        <m:r>
          <m:t>,</m:t>
        </m:r>
        <m:r>
          <m:t>720</m:t>
        </m:r>
      </m:oMath>
      <w:r>
        <w:t xml:space="preserve">).</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3" w:name="discussion"/>
      <w:r>
        <w:t xml:space="preserve">Discussion</w:t>
      </w:r>
      <w:bookmarkEnd w:id="23"/>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statistically robust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6 &amp; 7)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r>
        <w:t xml:space="preserve">Largely owing to a small number of studies or missing individual study data, there were few age-based conclusions that could be drawn from reviews which met our criteria for statistical certainty.</w:t>
      </w:r>
      <w:r>
        <w:t xml:space="preserve"> </w:t>
      </w:r>
      <w:r>
        <w:t xml:space="preserve">If we expand to include those reviews which did not meet this threshold, there remained no clear pattern although there were some age-specific differences in associations (data available in Supplementary Materials).</w:t>
      </w:r>
      <w:r>
        <w:t xml:space="preserve"> </w:t>
      </w:r>
      <w:r>
        <w:t xml:space="preserve">For example, advertising of unhealthy food was associated with unhealthy food choice for young children, but was not statistically significant for other age groups.</w:t>
      </w:r>
      <w:r>
        <w:rPr>
          <w:vertAlign w:val="superscript"/>
        </w:rPr>
        <w:t xml:space="preserve">36</w:t>
      </w:r>
      <w:r>
        <w:t xml:space="preserve"> </w:t>
      </w:r>
      <w:r>
        <w:t xml:space="preserve">Conversely, TV programs and movies were more strongly associated with lower physical activity for adolescents than for younger age groups.</w:t>
      </w:r>
      <w:r>
        <w:rPr>
          <w:vertAlign w:val="superscript"/>
        </w:rPr>
        <w:t xml:space="preserve">37</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38–40</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our findings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41</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42</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43</w:t>
      </w:r>
      <w:r>
        <w:t xml:space="preserve"> </w:t>
      </w:r>
      <w:r>
        <w:t xml:space="preserve">While some researchers have started using newer methods of capturing screen behaviours—such as wearable cameras</w:t>
      </w:r>
      <w:r>
        <w:rPr>
          <w:vertAlign w:val="superscript"/>
        </w:rPr>
        <w:t xml:space="preserve">44</w:t>
      </w:r>
      <w:r>
        <w:t xml:space="preserve"> </w:t>
      </w:r>
      <w:r>
        <w:t xml:space="preserve">or device-based loggers</w:t>
      </w:r>
      <w:r>
        <w:rPr>
          <w:vertAlign w:val="superscript"/>
        </w:rPr>
        <w:t xml:space="preserve">45</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2,496 primary studies comprised of 2,026,054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46</w:t>
      </w:r>
      <w:r>
        <w:t xml:space="preserve">).</w:t>
      </w:r>
      <w:r>
        <w:t xml:space="preserve"> </w:t>
      </w:r>
      <w:r>
        <w:t xml:space="preserve">As such, we made decisions regarding the credibility of evidence, where others may have used different thresholds or metrics.</w:t>
      </w:r>
      <w:r>
        <w:t xml:space="preserve"> </w:t>
      </w:r>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the supplementary material, along with the dataset for others to consider alternative criteria.</w:t>
      </w:r>
    </w:p>
    <w:p>
      <w:pPr>
        <w:pStyle w:val="Textkrper"/>
      </w:pPr>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p>
    <w:p>
      <w:pPr>
        <w:pStyle w:val="Textkrper"/>
      </w:pPr>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17,47,48</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r>
        <w:t xml:space="preserve"> </w:t>
      </w:r>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24" w:name="methods"/>
      <w:r>
        <w:t xml:space="preserve">Methods</w:t>
      </w:r>
      <w:bookmarkEnd w:id="24"/>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41</w:t>
      </w:r>
    </w:p>
    <w:p>
      <w:pPr>
        <w:pStyle w:val="berschrift3"/>
      </w:pPr>
      <w:bookmarkStart w:id="25" w:name="eligibility-criteria"/>
      <w:r>
        <w:t xml:space="preserve">Eligibility criteria.</w:t>
      </w:r>
      <w:bookmarkEnd w:id="25"/>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p>
    <w:p>
      <w:pPr>
        <w:pStyle w:val="Textkrper"/>
      </w:pPr>
      <w:r>
        <w:t xml:space="preserve">Outcomes: We included all reported outcomes on benefits and risks.</w:t>
      </w:r>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26" w:name="information-sources"/>
      <w:r>
        <w:t xml:space="preserve">Information sources.</w:t>
      </w:r>
      <w:bookmarkEnd w:id="26"/>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r>
        <w:t xml:space="preserve">We conducted an initial search on August 17, 2018 and refreshed the search on September 27, 2022.</w:t>
      </w:r>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27" w:name="search-strategy"/>
      <w:r>
        <w:t xml:space="preserve">Search strategy.</w:t>
      </w:r>
      <w:bookmarkEnd w:id="27"/>
    </w:p>
    <w:p>
      <w:pPr>
        <w:pStyle w:val="FirstParagraph"/>
      </w:pPr>
      <w:r>
        <w:t xml:space="preserve">The search strategy associated with each of the 12 databases can be found in Supplementary File 1.</w:t>
      </w:r>
      <w:r>
        <w:t xml:space="preserve"> </w:t>
      </w:r>
      <w:r>
        <w:t xml:space="preserve">We hand searched reference lists from any relevant umbrella reviews to identify systematic meta-analyses that our search may have missed.</w:t>
      </w:r>
    </w:p>
    <w:p>
      <w:pPr>
        <w:pStyle w:val="berschrift3"/>
      </w:pPr>
      <w:bookmarkStart w:id="28" w:name="selection-process"/>
      <w:r>
        <w:t xml:space="preserve">Selection process.</w:t>
      </w:r>
      <w:bookmarkEnd w:id="28"/>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29" w:name="data-items"/>
      <w:r>
        <w:t xml:space="preserve">Data items.</w:t>
      </w:r>
      <w:bookmarkEnd w:id="29"/>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30" w:name="study-risk-of-bias-assessment"/>
      <w:r>
        <w:t xml:space="preserve">Study risk of bias assessment.</w:t>
      </w:r>
      <w:bookmarkEnd w:id="30"/>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49</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31" w:name="effect-measures"/>
      <w:r>
        <w:t xml:space="preserve">Effect measures.</w:t>
      </w:r>
      <w:bookmarkEnd w:id="31"/>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50,51</w:t>
      </w:r>
      <w:r>
        <w:t xml:space="preserve"> </w:t>
      </w:r>
      <w:r>
        <w:t xml:space="preserve">Effect sizes on the original metric are provided in Supplementary File 2.</w:t>
      </w:r>
      <w:r>
        <w:t xml:space="preserve"> </w:t>
      </w:r>
      <w:r>
        <w:t xml:space="preserve">Throughout the results section we interpret the size of the effects using Funder and Ozer’s guidelines:</w:t>
      </w:r>
      <w:r>
        <w:rPr>
          <w:vertAlign w:val="superscript"/>
        </w:rPr>
        <w:t xml:space="preserve">52</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53</w:t>
      </w:r>
    </w:p>
    <w:p>
      <w:pPr>
        <w:pStyle w:val="berschrift3"/>
      </w:pPr>
      <w:bookmarkStart w:id="32" w:name="synthesis-methods"/>
      <w:r>
        <w:t xml:space="preserve">Synthesis methods.</w:t>
      </w:r>
      <w:bookmarkEnd w:id="32"/>
    </w:p>
    <w:p>
      <w:pPr>
        <w:pStyle w:val="FirstParagraph"/>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54</w:t>
      </w:r>
      <w:r>
        <w:t xml:space="preserve"> </w:t>
      </w:r>
      <w:r>
        <w:t xml:space="preserve">in R</w:t>
      </w:r>
      <w:r>
        <w:rPr>
          <w:vertAlign w:val="superscript"/>
        </w:rPr>
        <w:t xml:space="preserve">55</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56</w:t>
      </w:r>
      <w:r>
        <w:t xml:space="preserve"> </w:t>
      </w:r>
      <w:r>
        <w:t xml:space="preserve">when the number of studies within the review was ten or more,</w:t>
      </w:r>
      <w:r>
        <w:rPr>
          <w:vertAlign w:val="superscript"/>
        </w:rPr>
        <w:t xml:space="preserve">57</w:t>
      </w:r>
      <w:r>
        <w:t xml:space="preserve"> </w:t>
      </w:r>
      <w:r>
        <w:t xml:space="preserve">and conducted a test of excess significance.</w:t>
      </w:r>
      <w:r>
        <w:rPr>
          <w:vertAlign w:val="superscript"/>
        </w:rPr>
        <w:t xml:space="preserve">58</w:t>
      </w:r>
      <w:r>
        <w:t xml:space="preserve"> </w:t>
      </w:r>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p>
    <w:p>
      <w:pPr>
        <w:pStyle w:val="berschrift3"/>
      </w:pPr>
      <w:bookmarkStart w:id="33" w:name="evidence-assessment-criteria"/>
      <w:r>
        <w:t xml:space="preserve">Evidence assessment criteria.</w:t>
      </w:r>
      <w:bookmarkEnd w:id="33"/>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59</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and</w:t>
      </w:r>
      <w:r>
        <w:t xml:space="preserve"> </w:t>
      </w:r>
      <m:oMath>
        <m:r>
          <m:t>P</m:t>
        </m:r>
        <m:r>
          <m:t>&lt;</m:t>
        </m:r>
        <m:sSup>
          <m:e>
            <m:r>
              <m:t>10</m:t>
            </m:r>
          </m:e>
          <m:sup>
            <m:r>
              <m:t>−</m:t>
            </m:r>
            <m:r>
              <m:t>3</m:t>
            </m:r>
          </m:sup>
        </m:sSup>
      </m:oMath>
      <w:r>
        <w:t xml:space="preserve"> </w:t>
      </w:r>
      <w:r>
        <w:t xml:space="preserve">for strong evidence.</w:t>
      </w:r>
      <w:r>
        <w:t xml:space="preserve"> </w:t>
      </w:r>
      <w:r>
        <w:t xml:space="preserve">An effect with statistical credibility but with</w:t>
      </w:r>
      <w:r>
        <w:t xml:space="preserve"> </w:t>
      </w:r>
      <m:oMath>
        <m:r>
          <m:t>P</m:t>
        </m:r>
        <m:r>
          <m:t>&gt;</m:t>
        </m:r>
        <m:r>
          <m:t>.05</m:t>
        </m:r>
      </m:oMath>
      <w:r>
        <w:t xml:space="preserve"> </w:t>
      </w:r>
      <w:r>
        <w:t xml:space="preserve">was taken to indicate no association of interest.</w:t>
      </w:r>
    </w:p>
    <w:p>
      <w:pPr>
        <w:pStyle w:val="berschrift3"/>
      </w:pPr>
      <w:bookmarkStart w:id="34" w:name="deviations-from-protocol"/>
      <w:r>
        <w:t xml:space="preserve">Deviations from protocol.</w:t>
      </w:r>
      <w:bookmarkEnd w:id="34"/>
    </w:p>
    <w:p>
      <w:pPr>
        <w:pStyle w:val="FirstParagraph"/>
      </w:pP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4.</w:t>
      </w:r>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35" w:name="data-availability-statement"/>
      <w:r>
        <w:t xml:space="preserve">Data availability statement</w:t>
      </w:r>
      <w:bookmarkEnd w:id="35"/>
    </w:p>
    <w:p>
      <w:pPr>
        <w:pStyle w:val="FirstParagraph"/>
      </w:pPr>
      <w:r>
        <w:t xml:space="preserve">All data for this review are available from the authors’ GitHub repository (</w:t>
      </w:r>
      <w:hyperlink r:id="rId36">
        <w:r>
          <w:rPr>
            <w:rStyle w:val="Hyperlink"/>
          </w:rPr>
          <w:t xml:space="preserve">https://github.com/motivation-and-Behaviour/screen_umbrella</w:t>
        </w:r>
      </w:hyperlink>
      <w:r>
        <w:t xml:space="preserve">) or from the Open Science Foundation (</w:t>
      </w:r>
      <w:hyperlink r:id="rId37">
        <w:r>
          <w:rPr>
            <w:rStyle w:val="Hyperlink"/>
          </w:rPr>
          <w:t xml:space="preserve">https://osf.io/3ubqp/</w:t>
        </w:r>
      </w:hyperlink>
      <w:r>
        <w:t xml:space="preserve">).</w:t>
      </w:r>
    </w:p>
    <w:p>
      <w:pPr>
        <w:pStyle w:val="berschrift2"/>
      </w:pPr>
      <w:bookmarkStart w:id="38" w:name="code-availability-statement"/>
      <w:r>
        <w:t xml:space="preserve">Code availability statement</w:t>
      </w:r>
      <w:bookmarkEnd w:id="38"/>
    </w:p>
    <w:p>
      <w:pPr>
        <w:pStyle w:val="FirstParagraph"/>
      </w:pPr>
      <w:r>
        <w:t xml:space="preserve">All code used in these analyses are available on the authors’ GitHub repository (</w:t>
      </w:r>
      <w:hyperlink r:id="rId36">
        <w:r>
          <w:rPr>
            <w:rStyle w:val="Hyperlink"/>
          </w:rPr>
          <w:t xml:space="preserve">https://github.com/motivation-and-Behaviour/screen_umbrella</w:t>
        </w:r>
      </w:hyperlink>
      <w:r>
        <w:t xml:space="preserve">).</w:t>
      </w:r>
    </w:p>
    <w:p>
      <w:r>
        <w:br w:type="page"/>
      </w:r>
    </w:p>
    <w:p>
      <w:pPr>
        <w:pStyle w:val="berschrift1"/>
      </w:pPr>
      <w:bookmarkStart w:id="39" w:name="references"/>
      <w:r>
        <w:t xml:space="preserve">References</w:t>
      </w:r>
      <w:bookmarkEnd w:id="39"/>
    </w:p>
    <w:bookmarkStart w:id="100" w:name="refs"/>
    <w:bookmarkStart w:id="40"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40"/>
    <w:bookmarkStart w:id="41" w:name="ref-bell1883sanitarian"/>
    <w:p>
      <w:pPr>
        <w:pStyle w:val="Literaturverzeichnis"/>
      </w:pPr>
      <w:r>
        <w:t xml:space="preserve">2. Bell, A. N.</w:t>
      </w:r>
      <w:r>
        <w:t xml:space="preserve"> </w:t>
      </w:r>
      <w:r>
        <w:rPr>
          <w:i/>
        </w:rPr>
        <w:t xml:space="preserve">The sanitarian</w:t>
      </w:r>
      <w:r>
        <w:t xml:space="preserve">. vol. 11 (AN Bell, 1883).</w:t>
      </w:r>
    </w:p>
    <w:bookmarkEnd w:id="41"/>
    <w:bookmarkStart w:id="42"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42"/>
    <w:bookmarkStart w:id="43"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43"/>
    <w:bookmarkStart w:id="44"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44"/>
    <w:bookmarkStart w:id="45"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45"/>
    <w:bookmarkStart w:id="46"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46"/>
    <w:bookmarkStart w:id="47"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47"/>
    <w:bookmarkStart w:id="48"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48"/>
    <w:bookmarkStart w:id="49"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49"/>
    <w:bookmarkStart w:id="50"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50"/>
    <w:bookmarkStart w:id="51"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51"/>
    <w:bookmarkStart w:id="52"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52"/>
    <w:bookmarkStart w:id="53"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53"/>
    <w:bookmarkStart w:id="54"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54"/>
    <w:bookmarkStart w:id="55"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55"/>
    <w:bookmarkStart w:id="56"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56"/>
    <w:bookmarkStart w:id="57"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57"/>
    <w:bookmarkStart w:id="58"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58"/>
    <w:bookmarkStart w:id="59"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59"/>
    <w:bookmarkStart w:id="60"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60"/>
    <w:bookmarkStart w:id="61"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61"/>
    <w:bookmarkStart w:id="62"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62"/>
    <w:bookmarkStart w:id="63"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63"/>
    <w:bookmarkStart w:id="64"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64"/>
    <w:bookmarkStart w:id="65"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65"/>
    <w:bookmarkStart w:id="66"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66"/>
    <w:bookmarkStart w:id="67"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67"/>
    <w:bookmarkStart w:id="68"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68"/>
    <w:bookmarkStart w:id="69"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69"/>
    <w:bookmarkStart w:id="70"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70"/>
    <w:bookmarkStart w:id="71"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71"/>
    <w:bookmarkStart w:id="72"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72"/>
    <w:bookmarkStart w:id="73"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73"/>
    <w:bookmarkStart w:id="74"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74"/>
    <w:bookmarkStart w:id="75" w:name="ref-sadeghiradInfluenceUnhealthyFood2016"/>
    <w:p>
      <w:pPr>
        <w:pStyle w:val="Literaturverzeichnis"/>
      </w:pPr>
      <w:r>
        <w:t xml:space="preserve">36. Sadeghirad, B., Duhaney, T., Motaghipisheh, S., Campbell, N. R. C. &amp; Johnston, B. C. Influence of unhealthy food and beverage marketing on children’s dietary intake and preference: A systematic review and meta-analysis of randomized trials.</w:t>
      </w:r>
      <w:r>
        <w:t xml:space="preserve"> </w:t>
      </w:r>
      <w:r>
        <w:rPr>
          <w:i/>
        </w:rPr>
        <w:t xml:space="preserve">Obesity Reviews</w:t>
      </w:r>
      <w:r>
        <w:t xml:space="preserve"> </w:t>
      </w:r>
      <w:r>
        <w:rPr>
          <w:b/>
        </w:rPr>
        <w:t xml:space="preserve">17</w:t>
      </w:r>
      <w:r>
        <w:t xml:space="preserve">, 945–959 (2016).</w:t>
      </w:r>
    </w:p>
    <w:bookmarkEnd w:id="75"/>
    <w:bookmarkStart w:id="76" w:name="ref-marshallRelationshipsMediaUse2004"/>
    <w:p>
      <w:pPr>
        <w:pStyle w:val="Literaturverzeichnis"/>
      </w:pPr>
      <w:r>
        <w:t xml:space="preserve">37. Marshall, S. J., Biddle, S. J. H., Gorely, T., Cameron, N. &amp; Murdey, I. Relationships between media use, body fatness and physical activity in children and youth: A meta-analysis.</w:t>
      </w:r>
      <w:r>
        <w:t xml:space="preserve"> </w:t>
      </w:r>
      <w:r>
        <w:rPr>
          <w:i/>
        </w:rPr>
        <w:t xml:space="preserve">International Journal of Obesity</w:t>
      </w:r>
      <w:r>
        <w:t xml:space="preserve"> </w:t>
      </w:r>
      <w:r>
        <w:rPr>
          <w:b/>
        </w:rPr>
        <w:t xml:space="preserve">28</w:t>
      </w:r>
      <w:r>
        <w:t xml:space="preserve">, 1238–1246 (2004).</w:t>
      </w:r>
    </w:p>
    <w:bookmarkEnd w:id="76"/>
    <w:bookmarkStart w:id="77" w:name="ref-elsonPolicyStatementsMedia2019"/>
    <w:p>
      <w:pPr>
        <w:pStyle w:val="Literaturverzeichnis"/>
      </w:pPr>
      <w:r>
        <w:t xml:space="preserve">38.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77"/>
    <w:bookmarkStart w:id="78" w:name="ref-ashtonScreenTimeChildren2019"/>
    <w:p>
      <w:pPr>
        <w:pStyle w:val="Literaturverzeichnis"/>
      </w:pPr>
      <w:r>
        <w:t xml:space="preserve">39.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78"/>
    <w:bookmarkStart w:id="79" w:name="Xa7779c494ab5882c81b02dfe0cfa23203039787"/>
    <w:p>
      <w:pPr>
        <w:pStyle w:val="Literaturverzeichnis"/>
      </w:pPr>
      <w:r>
        <w:t xml:space="preserve">40. Royal College of Paediatrics and Child Health.</w:t>
      </w:r>
      <w:r>
        <w:t xml:space="preserve"> </w:t>
      </w:r>
      <w:r>
        <w:rPr>
          <w:i/>
        </w:rPr>
        <w:t xml:space="preserve">The health impacts of screen time: A guide for clinicians and parents.</w:t>
      </w:r>
      <w:r>
        <w:t xml:space="preserve"> </w:t>
      </w:r>
      <w:r>
        <w:t xml:space="preserve">(2019).</w:t>
      </w:r>
    </w:p>
    <w:bookmarkEnd w:id="79"/>
    <w:bookmarkStart w:id="81" w:name="ref-pagePRISMA2020Statement2020"/>
    <w:p>
      <w:pPr>
        <w:pStyle w:val="Literaturverzeichnis"/>
      </w:pPr>
      <w:r>
        <w:t xml:space="preserve">41.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80">
        <w:r>
          <w:rPr>
            <w:rStyle w:val="Hyperlink"/>
          </w:rPr>
          <w:t xml:space="preserve">10.31222/osf.io/v7gm2</w:t>
        </w:r>
      </w:hyperlink>
      <w:r>
        <w:t xml:space="preserve">.</w:t>
      </w:r>
    </w:p>
    <w:bookmarkEnd w:id="81"/>
    <w:bookmarkStart w:id="82" w:name="X1622a13c71fefd4fa62b8aed2044e1aca625882"/>
    <w:p>
      <w:pPr>
        <w:pStyle w:val="Literaturverzeichnis"/>
      </w:pPr>
      <w:r>
        <w:t xml:space="preserve">42.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82"/>
    <w:bookmarkStart w:id="83" w:name="ref-byrneMeasurementScreenTime2021"/>
    <w:p>
      <w:pPr>
        <w:pStyle w:val="Literaturverzeichnis"/>
      </w:pPr>
      <w:r>
        <w:t xml:space="preserve">43.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83"/>
    <w:bookmarkStart w:id="84" w:name="ref-smithFeasibilityAutomatedCameras2019"/>
    <w:p>
      <w:pPr>
        <w:pStyle w:val="Literaturverzeichnis"/>
      </w:pPr>
      <w:r>
        <w:t xml:space="preserve">44.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84"/>
    <w:bookmarkStart w:id="85" w:name="ref-rydingPassiveObjectiveMeasures2020"/>
    <w:p>
      <w:pPr>
        <w:pStyle w:val="Literaturverzeichnis"/>
      </w:pPr>
      <w:r>
        <w:t xml:space="preserve">45.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85"/>
    <w:bookmarkStart w:id="86" w:name="X273798adfea2fce3f1845a8e1bd699c817aaf5b"/>
    <w:p>
      <w:pPr>
        <w:pStyle w:val="Literaturverzeichnis"/>
      </w:pPr>
      <w:r>
        <w:t xml:space="preserve">46.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86"/>
    <w:bookmarkStart w:id="87" w:name="ref-twengeMoreTimeTechnology2019"/>
    <w:p>
      <w:pPr>
        <w:pStyle w:val="Literaturverzeichnis"/>
      </w:pPr>
      <w:r>
        <w:t xml:space="preserve">47.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87"/>
    <w:bookmarkStart w:id="88" w:name="ref-kellySocialMediaUse2018"/>
    <w:p>
      <w:pPr>
        <w:pStyle w:val="Literaturverzeichnis"/>
      </w:pPr>
      <w:r>
        <w:t xml:space="preserve">48.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88"/>
    <w:bookmarkStart w:id="89" w:name="ref-NHLBIQualityAssessmentSystematic2014"/>
    <w:p>
      <w:pPr>
        <w:pStyle w:val="Literaturverzeichnis"/>
      </w:pPr>
      <w:r>
        <w:t xml:space="preserve">49. National Health, Lung, and Blood Institute.</w:t>
      </w:r>
      <w:r>
        <w:t xml:space="preserve"> </w:t>
      </w:r>
      <w:r>
        <w:rPr>
          <w:i/>
        </w:rPr>
        <w:t xml:space="preserve">Quality Assessment of Systematic Reviews and Meta-Analyses</w:t>
      </w:r>
      <w:r>
        <w:t xml:space="preserve">. (2014).</w:t>
      </w:r>
    </w:p>
    <w:bookmarkEnd w:id="89"/>
    <w:bookmarkStart w:id="90" w:name="ref-bowmanEffectSizesStatistical2012"/>
    <w:p>
      <w:pPr>
        <w:pStyle w:val="Literaturverzeichnis"/>
      </w:pPr>
      <w:r>
        <w:t xml:space="preserve">50.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90"/>
    <w:bookmarkStart w:id="91" w:name="X28222e0a00c3a1bb883085ca4953aa45a58e4dd"/>
    <w:p>
      <w:pPr>
        <w:pStyle w:val="Literaturverzeichnis"/>
      </w:pPr>
      <w:r>
        <w:t xml:space="preserve">51.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91"/>
    <w:bookmarkStart w:id="92" w:name="ref-funderEvaluatingEffectSize2019"/>
    <w:p>
      <w:pPr>
        <w:pStyle w:val="Literaturverzeichnis"/>
      </w:pPr>
      <w:r>
        <w:t xml:space="preserve">52.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92"/>
    <w:bookmarkStart w:id="93" w:name="ref-gignacEffectSizeGuidelines2016"/>
    <w:p>
      <w:pPr>
        <w:pStyle w:val="Literaturverzeichnis"/>
      </w:pPr>
      <w:r>
        <w:t xml:space="preserve">53.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93"/>
    <w:bookmarkStart w:id="94" w:name="ref-R-metafor"/>
    <w:p>
      <w:pPr>
        <w:pStyle w:val="Literaturverzeichnis"/>
      </w:pPr>
      <w:r>
        <w:t xml:space="preserve">54. Viechtbauer, W.</w:t>
      </w:r>
      <w:r>
        <w:t xml:space="preserve"> </w:t>
      </w:r>
      <w:r>
        <w:rPr>
          <w:i/>
        </w:rPr>
        <w:t xml:space="preserve">Metafor: Meta-analysis package for r</w:t>
      </w:r>
      <w:r>
        <w:t xml:space="preserve">. (2022).</w:t>
      </w:r>
    </w:p>
    <w:bookmarkEnd w:id="94"/>
    <w:bookmarkStart w:id="95" w:name="ref-R-base"/>
    <w:p>
      <w:pPr>
        <w:pStyle w:val="Literaturverzeichnis"/>
      </w:pPr>
      <w:r>
        <w:t xml:space="preserve">55. R Core Team.</w:t>
      </w:r>
      <w:r>
        <w:t xml:space="preserve"> </w:t>
      </w:r>
      <w:r>
        <w:rPr>
          <w:i/>
        </w:rPr>
        <w:t xml:space="preserve">R: A language and environment for statistical computing</w:t>
      </w:r>
      <w:r>
        <w:t xml:space="preserve">. (R Foundation for Statistical Computing, 2023).</w:t>
      </w:r>
    </w:p>
    <w:bookmarkEnd w:id="95"/>
    <w:bookmarkStart w:id="96" w:name="ref-eggerBiasMetaanalysisDetected1997"/>
    <w:p>
      <w:pPr>
        <w:pStyle w:val="Literaturverzeichnis"/>
      </w:pPr>
      <w:r>
        <w:t xml:space="preserve">56.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96"/>
    <w:bookmarkStart w:id="97" w:name="ref-pageChapter13Assessing2021"/>
    <w:p>
      <w:pPr>
        <w:pStyle w:val="Literaturverzeichnis"/>
      </w:pPr>
      <w:r>
        <w:t xml:space="preserve">57.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97"/>
    <w:bookmarkStart w:id="98" w:name="ref-ioannidisExploratoryTestExcess2007"/>
    <w:p>
      <w:pPr>
        <w:pStyle w:val="Literaturverzeichnis"/>
      </w:pPr>
      <w:r>
        <w:t xml:space="preserve">58.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98"/>
    <w:bookmarkStart w:id="99" w:name="X06fd504ce36b3f21caca6eb0766200d9b01623a"/>
    <w:p>
      <w:pPr>
        <w:pStyle w:val="Literaturverzeichnis"/>
      </w:pPr>
      <w:r>
        <w:t xml:space="preserve">59.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99"/>
    <w:bookmarkEnd w:id="100"/>
    <w:p>
      <w:r>
        <w:br w:type="page"/>
      </w:r>
    </w:p>
    <w:p>
      <w:pPr>
        <w:pStyle w:val="berschrift1"/>
      </w:pPr>
      <w:bookmarkStart w:id="101" w:name="acknowledgements"/>
      <w:r>
        <w:t xml:space="preserve">Acknowledgements</w:t>
      </w:r>
      <w:bookmarkEnd w:id="101"/>
    </w:p>
    <w:p>
      <w:pPr>
        <w:pStyle w:val="FirstParagraph"/>
      </w:pPr>
      <w:r>
        <w:t xml:space="preserve">The authors received no specific funding for this work.</w:t>
      </w:r>
    </w:p>
    <w:p>
      <w:pPr>
        <w:pStyle w:val="berschrift1"/>
      </w:pPr>
      <w:bookmarkStart w:id="102" w:name="author-contributions"/>
      <w:r>
        <w:t xml:space="preserve">Author contributions</w:t>
      </w:r>
      <w:bookmarkEnd w:id="102"/>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103" w:name="competing-interests"/>
      <w:r>
        <w:t xml:space="preserve">Competing interests</w:t>
      </w:r>
      <w:bookmarkEnd w:id="103"/>
    </w:p>
    <w:p>
      <w:pPr>
        <w:pStyle w:val="FirstParagraph"/>
      </w:pPr>
      <w:r>
        <w:t xml:space="preserve">The authors declare no conflicts of interest.</w:t>
      </w:r>
    </w:p>
    <w:p>
      <w:pPr>
        <w:pStyle w:val="berschrift1"/>
      </w:pPr>
      <w:bookmarkStart w:id="104" w:name="figure-legends"/>
      <w:r>
        <w:t xml:space="preserve">Figure legends</w:t>
      </w:r>
      <w:bookmarkEnd w:id="104"/>
    </w:p>
    <w:p>
      <w:pPr>
        <w:pStyle w:val="FirstParagraph"/>
      </w:pPr>
      <w:r>
        <w:rPr>
          <w:i/>
        </w:rPr>
        <w:t xml:space="preserve">Figure 1: PRISMA Diagram.</w:t>
      </w:r>
    </w:p>
    <w:p>
      <w:pPr>
        <w:pStyle w:val="Textkrper"/>
      </w:pPr>
      <w:r>
        <w:rPr>
          <w:i/>
        </w:rPr>
        <w:t xml:space="preserve">Figure 2: Education outcomes. Results for 23 unique effect sizes related to educational outcomes which met the criteria for statistical certainty. Findings are presented as correlations with both 95% and 99.9% confidence intervals.</w:t>
      </w:r>
    </w:p>
    <w:p>
      <w:pPr>
        <w:pStyle w:val="Textkrper"/>
      </w:pPr>
      <w:r>
        <w:rPr>
          <w:i/>
        </w:rPr>
        <w:t xml:space="preserve">Figure 3: Health and health-related behaviour outcomes. Results for 21 unique effect sizes related to health and health-related behaviour outcomes which met the criteria for statistical certainty. Findings are presented as correlations with both 95% and 99.9% confidence intervals.</w:t>
      </w:r>
    </w:p>
    <w:p>
      <w:pPr>
        <w:pStyle w:val="berschrift1"/>
      </w:pPr>
      <w:bookmarkStart w:id="105" w:name="tables"/>
      <w:r>
        <w:t xml:space="preserve">Tables</w:t>
      </w:r>
      <w:bookmarkEnd w:id="105"/>
    </w:p>
    <w:p>
      <w:pPr>
        <w:pStyle w:val="FirstParagraph"/>
      </w:pPr>
      <w:r>
        <w:rPr>
          <w:i/>
        </w:rPr>
        <w:t xml:space="preserve">Table 1: Review characteristics and quality assessment for meta-analyses providing unique effects</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80" Target="https://doi.org/10.31222/osf.io/v7gm2" TargetMode="External" /><Relationship Type="http://schemas.openxmlformats.org/officeDocument/2006/relationships/hyperlink" Id="rId36" Target="https://github.com/motivation-and-Behaviour/screen_umbrella" TargetMode="External" /><Relationship Type="http://schemas.openxmlformats.org/officeDocument/2006/relationships/hyperlink" Id="rId37"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80" Target="https://doi.org/10.31222/osf.io/v7gm2" TargetMode="External" /><Relationship Type="http://schemas.openxmlformats.org/officeDocument/2006/relationships/hyperlink" Id="rId36" Target="https://github.com/motivation-and-Behaviour/screen_umbrella" TargetMode="External" /><Relationship Type="http://schemas.openxmlformats.org/officeDocument/2006/relationships/hyperlink" Id="rId37"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2023-06-15T05:49:00Z</dcterms:created>
  <dcterms:modified xsi:type="dcterms:W3CDTF">2023-06-15T05:49:00Z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5394</vt:lpwstr>
  </property>
</Properties>
</file>