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8.pdf" ContentType="application/pdf"/>
  <Override PartName="/word/media/rId52.png" ContentType="image/png"/>
  <Override PartName="/word/media/rId5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274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harmonised, resulting in 255 effects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
        </w:rPr>
        <w:t xml:space="preserve">Keywords:</w:t>
      </w:r>
      <w:r>
        <w:t xml:space="preserve"> </w:t>
      </w:r>
      <w:r>
        <w:t xml:space="preserve">screen time; youth; health; education</w:t>
      </w:r>
    </w:p>
    <w:p>
      <w:pPr>
        <w:pStyle w:val="Textkrper"/>
      </w:pPr>
      <w:r>
        <w:rPr>
          <w:i/>
        </w:rPr>
        <w:t xml:space="preserve">Word count:</w:t>
      </w:r>
      <w:r>
        <w:t xml:space="preserve"> </w:t>
      </w:r>
      <w:r>
        <w:t xml:space="preserve">5406</w:t>
      </w:r>
    </w:p>
    <w:p>
      <w:pPr>
        <w:pStyle w:val="h1-pagebreak"/>
      </w:pPr>
      <w:r>
        <w:t xml:space="preserve">Benefits and risks associated with children’s and adolescents’ interactions with electronic screens: An umbrella review</w:t>
      </w:r>
    </w:p>
    <w:p>
      <w:pPr>
        <w:pStyle w:val="berschrift1"/>
      </w:pPr>
      <w:bookmarkStart w:id="21" w:name="summary"/>
      <w:r>
        <w:t xml:space="preserve">Summary</w:t>
      </w:r>
      <w:bookmarkEnd w:id="21"/>
    </w:p>
    <w:p>
      <w:pPr>
        <w:pStyle w:val="FirstParagraph"/>
      </w:pPr>
      <w:r>
        <w:t xml:space="preserve">Children’s engagement in screen time is a complex issue.</w:t>
      </w:r>
      <w:r>
        <w:t xml:space="preserve"> </w:t>
      </w:r>
      <w:r>
        <w:t xml:space="preserve">Parents, policymakers, and educators need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harmonise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p>
      <w:pPr>
        <w:pStyle w:val="berschrift1"/>
      </w:pPr>
      <w:bookmarkStart w:id="22" w:name="background"/>
      <w:r>
        <w:t xml:space="preserve">Background</w:t>
      </w:r>
      <w:bookmarkEnd w:id="22"/>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in Western countries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w:t>
      </w:r>
      <w:r>
        <w:t xml:space="preserve">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bookmarkStart w:id="23" w:name="r2_8"/>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no more than one hour engaged in recreational sedentary screen use per day, while children aged 5-12 and adolescents should spend no more than two hours.</w:t>
      </w:r>
      <w:r>
        <w:t xml:space="preserve"> </w:t>
      </w:r>
      <w:r>
        <w:t xml:space="preserve">However, recent evidence suggests that longer exposures may not have adverse effects on children’s behaviour or mental health—and might, in fact, benefit their well-being—as long as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r>
        <w:t xml:space="preserve"> </w:t>
      </w:r>
      <w:bookmarkEnd w:id="23"/>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5"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4" w:name="r1_2"/>
      <w:r>
        <w:t xml:space="preserve"> </w:t>
      </w:r>
      <w:r>
        <w:t xml:space="preserve">Focusing on a single domain or exposure makes it difficult to understand what trade-offs are involved in any guidelines around screen use.</w:t>
      </w:r>
      <w:r>
        <w:t xml:space="preserve"> </w:t>
      </w:r>
      <w:r>
        <w:t xml:space="preserve">For example, prohibiting screen use might reduce exposure to advertising but may also thwart learning opportunities from interactive educational tools. Reviews on either of these exposures or outcomes would likely miss being able to quantify these trade-offs.</w:t>
      </w:r>
      <w:r>
        <w:t xml:space="preserve"> </w:t>
      </w:r>
      <w:r>
        <w:t xml:space="preserve">Overviews are one method of evidence synthesis that helps address these trade-offs, by providing</w:t>
      </w:r>
      <w:r>
        <w:t xml:space="preserve"> </w:t>
      </w:r>
      <w:r>
        <w:t xml:space="preserve">‘</w:t>
      </w:r>
      <w:r>
        <w:t xml:space="preserve">user-friendly</w:t>
      </w:r>
      <w:r>
        <w:t xml:space="preserve">’</w:t>
      </w:r>
      <w:r>
        <w:t xml:space="preserve"> </w:t>
      </w:r>
      <w:r>
        <w:t xml:space="preserve">summaries of a field of research.</w:t>
      </w:r>
      <w:r>
        <w:rPr>
          <w:vertAlign w:val="superscript"/>
        </w:rPr>
        <w:t xml:space="preserve">25</w:t>
      </w:r>
      <w:r>
        <w:t xml:space="preserve"> </w:t>
      </w:r>
      <w:r>
        <w:t xml:space="preserve">These overviews provide a reference point for the field and allow for easier comparison of risks and benefits for the same behaviour.</w:t>
      </w:r>
      <w:r>
        <w:t xml:space="preserve"> </w:t>
      </w:r>
      <w:r>
        <w:t xml:space="preserve">By analogy, reading is a sedentary behaviour, and only by comparing the health risks against the educational benefits can researchers and policymakers make clear recommendations about what young people should do.</w:t>
      </w:r>
      <w:bookmarkEnd w:id="24"/>
      <w:bookmarkEnd w:id="25"/>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6" w:name="r2_6"/>
      <w:r>
        <w:t xml:space="preserve">This review synthesises evidence on any outcome of electronic media exposure.</w:t>
      </w:r>
      <w:r>
        <w:t xml:space="preserve"> </w:t>
      </w:r>
      <w:r>
        <w:t xml:space="preserve">We deliberately did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6"/>
    </w:p>
    <w:p>
      <w:r>
        <w:br w:type="page"/>
      </w:r>
    </w:p>
    <w:p>
      <w:pPr>
        <w:pStyle w:val="berschrift1"/>
      </w:pPr>
      <w:bookmarkStart w:id="27" w:name="methods"/>
      <w:r>
        <w:t xml:space="preserve">Methods</w:t>
      </w:r>
      <w:bookmarkEnd w:id="27"/>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26</w:t>
      </w:r>
    </w:p>
    <w:p>
      <w:pPr>
        <w:pStyle w:val="berschrift3"/>
      </w:pPr>
      <w:bookmarkStart w:id="28" w:name="eligibility-criteria"/>
      <w:r>
        <w:t xml:space="preserve">Eligibility criteria.</w:t>
      </w:r>
      <w:bookmarkEnd w:id="28"/>
    </w:p>
    <w:p>
      <w:pPr>
        <w:pStyle w:val="FirstParagraph"/>
      </w:pPr>
      <w:r>
        <w:rPr>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9"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9"/>
    </w:p>
    <w:p>
      <w:pPr>
        <w:pStyle w:val="Textkrper"/>
      </w:pPr>
      <w:r>
        <w:rPr>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30"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30"/>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
        </w:rPr>
        <w:t xml:space="preserve">treat</w:t>
      </w:r>
      <w:r>
        <w:t xml:space="preserve"> </w:t>
      </w:r>
      <w:r>
        <w:t xml:space="preserve">clinical depression delivered by a mobile phone app would be excluded.</w:t>
      </w:r>
      <w:r>
        <w:t xml:space="preserve"> </w:t>
      </w:r>
      <w:bookmarkStart w:id="31" w:name="r3_7"/>
      <w:r>
        <w:t xml:space="preserve"> </w:t>
      </w:r>
      <w:r>
        <w:rPr>
          <w:i/>
        </w:rPr>
        <w:t xml:space="preserve">Outcomes</w:t>
      </w:r>
      <w:r>
        <w:t xml:space="preserve">: We included all reported outcomes on benefits and risks.</w:t>
      </w:r>
      <w:r>
        <w:t xml:space="preserve"> </w:t>
      </w:r>
      <w:bookmarkEnd w:id="31"/>
    </w:p>
    <w:p>
      <w:pPr>
        <w:pStyle w:val="Textkrper"/>
      </w:pPr>
      <w:r>
        <w:rPr>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p>
      <w:pPr>
        <w:pStyle w:val="berschrift3"/>
      </w:pPr>
      <w:bookmarkStart w:id="32" w:name="information-sources"/>
      <w:r>
        <w:t xml:space="preserve">Information sources.</w:t>
      </w:r>
      <w:bookmarkEnd w:id="32"/>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3" w:name="r3_2"/>
      <w:r>
        <w:t xml:space="preserve">We conducted an initial search on August 17, 2018 and refreshed the search on September 27, 2022.</w:t>
      </w:r>
      <w:bookmarkEnd w:id="33"/>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p>
      <w:pPr>
        <w:pStyle w:val="berschrift3"/>
      </w:pPr>
      <w:bookmarkStart w:id="34" w:name="search-strategy"/>
      <w:r>
        <w:t xml:space="preserve">Search strategy.</w:t>
      </w:r>
      <w:bookmarkEnd w:id="34"/>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p>
      <w:pPr>
        <w:pStyle w:val="berschrift3"/>
      </w:pPr>
      <w:bookmarkStart w:id="35" w:name="selection-process"/>
      <w:r>
        <w:t xml:space="preserve">Selection process.</w:t>
      </w:r>
      <w:bookmarkEnd w:id="35"/>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p>
      <w:pPr>
        <w:pStyle w:val="berschrift3"/>
      </w:pPr>
      <w:bookmarkStart w:id="36" w:name="data-items"/>
      <w:r>
        <w:t xml:space="preserve">Data items.</w:t>
      </w:r>
      <w:bookmarkEnd w:id="36"/>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p>
      <w:pPr>
        <w:pStyle w:val="berschrift3"/>
      </w:pPr>
      <w:bookmarkStart w:id="37" w:name="study-risk-of-bias-assessment"/>
      <w:r>
        <w:t xml:space="preserve">Study risk of bias assessment.</w:t>
      </w:r>
      <w:bookmarkEnd w:id="37"/>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27</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p>
      <w:pPr>
        <w:pStyle w:val="berschrift3"/>
      </w:pPr>
      <w:bookmarkStart w:id="38" w:name="effect-measures"/>
      <w:r>
        <w:t xml:space="preserve">Effect measures.</w:t>
      </w:r>
      <w:bookmarkEnd w:id="38"/>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28,29</w:t>
      </w:r>
      <w:r>
        <w:t xml:space="preserve"> </w:t>
      </w:r>
      <w:r>
        <w:t xml:space="preserve">Effect sizes on the original metric are provided in Supplementary File 2.</w:t>
      </w:r>
      <w:r>
        <w:t xml:space="preserve"> </w:t>
      </w:r>
      <w:bookmarkStart w:id="39" w:name="r2_27"/>
      <w:r>
        <w:t xml:space="preserve">Throughout the results section we interpret the size of the effects using Funder and Ozer’s guidelines:</w:t>
      </w:r>
      <w:r>
        <w:rPr>
          <w:vertAlign w:val="superscript"/>
        </w:rPr>
        <w:t xml:space="preserve">30</w:t>
      </w:r>
      <w:r>
        <w:t xml:space="preserve"> </w:t>
      </w:r>
      <w:r>
        <w:t xml:space="preserve">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31</w:t>
      </w:r>
      <w:bookmarkEnd w:id="39"/>
    </w:p>
    <w:p>
      <w:pPr>
        <w:pStyle w:val="berschrift3"/>
      </w:pPr>
      <w:bookmarkStart w:id="40" w:name="synthesis-methods"/>
      <w:r>
        <w:t xml:space="preserve">Synthesis methods.</w:t>
      </w:r>
      <w:bookmarkEnd w:id="40"/>
    </w:p>
    <w:p>
      <w:pPr>
        <w:pStyle w:val="FirstParagraph"/>
      </w:pPr>
      <w:bookmarkStart w:id="41"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41"/>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32</w:t>
      </w:r>
      <w:r>
        <w:t xml:space="preserve"> </w:t>
      </w:r>
      <w:r>
        <w:t xml:space="preserve">in R</w:t>
      </w:r>
      <w:r>
        <w:rPr>
          <w:vertAlign w:val="superscript"/>
        </w:rPr>
        <w:t xml:space="preserve">33</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34</w:t>
      </w:r>
      <w:r>
        <w:t xml:space="preserve"> </w:t>
      </w:r>
      <w:r>
        <w:t xml:space="preserve">when the number of studies within the review was ten or more,</w:t>
      </w:r>
      <w:r>
        <w:rPr>
          <w:vertAlign w:val="superscript"/>
        </w:rPr>
        <w:t xml:space="preserve">35</w:t>
      </w:r>
      <w:r>
        <w:t xml:space="preserve"> </w:t>
      </w:r>
      <w:r>
        <w:t xml:space="preserve">and conducted a test of excess significance.</w:t>
      </w:r>
      <w:r>
        <w:rPr>
          <w:vertAlign w:val="superscript"/>
        </w:rPr>
        <w:t xml:space="preserve">36</w:t>
      </w:r>
      <w:r>
        <w:t xml:space="preserve"> </w:t>
      </w:r>
      <w:bookmarkStart w:id="42"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42"/>
    </w:p>
    <w:p>
      <w:pPr>
        <w:pStyle w:val="berschrift3"/>
      </w:pPr>
      <w:bookmarkStart w:id="43" w:name="evidence-assessment-criteria"/>
      <w:r>
        <w:t xml:space="preserve">Evidence assessment criteria.</w:t>
      </w:r>
      <w:bookmarkEnd w:id="43"/>
    </w:p>
    <w:p>
      <w:pPr>
        <w:pStyle w:val="FirstParagraph"/>
      </w:pPr>
      <w:r>
        <w:rPr>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 participants</w:t>
      </w:r>
      <w:r>
        <w:rPr>
          <w:vertAlign w:val="superscript"/>
        </w:rPr>
        <w:t xml:space="preserve">37</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t>&lt;</m:t>
        </m:r>
        <m:r>
          <m:t>50</m:t>
        </m:r>
        <m: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t>&gt;</m:t>
        </m:r>
        <m:r>
          <m:t>50</m:t>
        </m:r>
        <m:r>
          <m:t>%</m:t>
        </m:r>
      </m:oMath>
      <w:r>
        <w:t xml:space="preserve"> </w:t>
      </w:r>
      <w:r>
        <w:t xml:space="preserve">were taken to indicate an effect was potentially heterogeneous within the population.</w:t>
      </w:r>
    </w:p>
    <w:p>
      <w:pPr>
        <w:pStyle w:val="Textkrper"/>
      </w:pPr>
      <w:r>
        <w:rPr>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t>&lt;</m:t>
        </m:r>
        <m:r>
          <m:t>.05</m:t>
        </m:r>
      </m:oMath>
      <w:r>
        <w:t xml:space="preserve"> </w:t>
      </w:r>
      <w:r>
        <w:t xml:space="preserve">for weak evidence and</w:t>
      </w:r>
      <w:r>
        <w:t xml:space="preserve"> </w:t>
      </w:r>
      <m:oMath>
        <m:r>
          <m:t>P</m:t>
        </m:r>
        <m:r>
          <m:t>&lt;</m:t>
        </m:r>
        <m:sSup>
          <m:e>
            <m:r>
              <m:t>10</m:t>
            </m:r>
          </m:e>
          <m:sup>
            <m:r>
              <m:t>−</m:t>
            </m:r>
            <m:r>
              <m:t>3</m:t>
            </m:r>
          </m:sup>
        </m:sSup>
      </m:oMath>
      <w:r>
        <w:t xml:space="preserve"> </w:t>
      </w:r>
      <w:r>
        <w:t xml:space="preserve">for strong evidence.</w:t>
      </w:r>
      <w:r>
        <w:t xml:space="preserve"> </w:t>
      </w:r>
      <w:r>
        <w:t xml:space="preserve">An effect with statistical credibility but with</w:t>
      </w:r>
      <w:r>
        <w:t xml:space="preserve"> </w:t>
      </w:r>
      <m:oMath>
        <m:r>
          <m:t>P</m:t>
        </m:r>
        <m:r>
          <m:t>&gt;</m:t>
        </m:r>
        <m:r>
          <m:t>.05</m:t>
        </m:r>
      </m:oMath>
      <w:r>
        <w:t xml:space="preserve"> </w:t>
      </w:r>
      <w:r>
        <w:t xml:space="preserve">was taken to indicate no association of interest.</w:t>
      </w:r>
    </w:p>
    <w:p>
      <w:pPr>
        <w:pStyle w:val="berschrift3"/>
      </w:pPr>
      <w:bookmarkStart w:id="44" w:name="deviations-from-protocol"/>
      <w:r>
        <w:t xml:space="preserve">Deviations from protocol.</w:t>
      </w:r>
      <w:bookmarkEnd w:id="44"/>
    </w:p>
    <w:p>
      <w:pPr>
        <w:pStyle w:val="FirstParagraph"/>
      </w:pPr>
      <w:bookmarkStart w:id="45" w:name="r2_20"/>
      <w:r>
        <w:t xml:space="preserve"> </w:t>
      </w:r>
      <w:r>
        <w:t xml:space="preserve">As described above, we have summarised the meta-analytic findings from all included systematic reviews.</w:t>
      </w:r>
      <w:r>
        <w:t xml:space="preserve"> </w:t>
      </w:r>
      <w:r>
        <w:t xml:space="preserve">In our protocol, we originally planned to also conduct a narrative synthesis of all systematic reviews, even those without meta-analyses.</w:t>
      </w:r>
      <w:r>
        <w:t xml:space="preserve"> </w:t>
      </w:r>
      <w:r>
        <w:t xml:space="preserve">However, we determined that combining results from the meta-analyses alone allow readers to compare relative strength of associations more easily.</w:t>
      </w:r>
      <w:r>
        <w:t xml:space="preserve"> </w:t>
      </w:r>
      <w:r>
        <w:t xml:space="preserve">Readers interested in the relevant systematic reviews (i.e., without meta-analysis) can consult the list of references in Supplementary File 4.</w:t>
      </w:r>
      <w:r>
        <w:t xml:space="preserve"> </w:t>
      </w:r>
      <w:bookmarkEnd w:id="45"/>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p>
      <w:pPr>
        <w:pStyle w:val="berschrift1"/>
      </w:pPr>
      <w:bookmarkStart w:id="46" w:name="results"/>
      <w:r>
        <w:t xml:space="preserve">Results</w:t>
      </w:r>
      <w:bookmarkEnd w:id="46"/>
    </w:p>
    <w:p>
      <w:pPr>
        <w:pStyle w:val="berschrift3"/>
      </w:pPr>
      <w:bookmarkStart w:id="47" w:name="search-results"/>
      <w:r>
        <w:t xml:space="preserve">Search Results.</w:t>
      </w:r>
      <w:bookmarkEnd w:id="47"/>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90529"/>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8"/>
                    <a:stretch>
                      <a:fillRect/>
                    </a:stretch>
                  </pic:blipFill>
                  <pic:spPr bwMode="auto">
                    <a:xfrm>
                      <a:off x="0" y="0"/>
                      <a:ext cx="5969000" cy="42905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PRISMA Diagram</w:t>
      </w:r>
    </w:p>
    <w:p>
      <w:pPr>
        <w:pStyle w:val="Textkrper"/>
      </w:pPr>
      <w:r>
        <w:t xml:space="preserve">The most frequently reported exposures were physically active video games (</w:t>
      </w:r>
      <w:r>
        <w:rPr>
          <w:i/>
        </w:rPr>
        <w:t xml:space="preserve">n</w:t>
      </w:r>
      <w:r>
        <w:t xml:space="preserve"> </w:t>
      </w:r>
      <w:r>
        <w:t xml:space="preserve">= 31), general screen use (</w:t>
      </w:r>
      <w:r>
        <w:rPr>
          <w:i/>
        </w:rPr>
        <w:t xml:space="preserve">n</w:t>
      </w:r>
      <w:r>
        <w:t xml:space="preserve"> </w:t>
      </w:r>
      <w:r>
        <w:t xml:space="preserve">= 27), general TV programs and movies (</w:t>
      </w:r>
      <w:r>
        <w:rPr>
          <w:i/>
        </w:rPr>
        <w:t xml:space="preserve">n</w:t>
      </w:r>
      <w:r>
        <w:t xml:space="preserve"> </w:t>
      </w:r>
      <w:r>
        <w:t xml:space="preserve">= 20), and screen-based interventions to promote health (</w:t>
      </w:r>
      <w:r>
        <w:rPr>
          <w:i/>
        </w:rPr>
        <w:t xml:space="preserve">n</w:t>
      </w:r>
      <w:r>
        <w:t xml:space="preserve"> </w:t>
      </w:r>
      <w:r>
        <w:t xml:space="preserve">= 14).</w:t>
      </w:r>
      <w:r>
        <w:t xml:space="preserve"> </w:t>
      </w:r>
      <w:r>
        <w:t xml:space="preserve">Supplementary File 5 provides a list of all exposures identified.</w:t>
      </w:r>
      <w:r>
        <w:t xml:space="preserve"> </w:t>
      </w:r>
      <w:r>
        <w:t xml:space="preserve">The most frequently reported outcomes were body composition (</w:t>
      </w:r>
      <w:r>
        <w:rPr>
          <w:i/>
        </w:rPr>
        <w:t xml:space="preserve">n</w:t>
      </w:r>
      <w:r>
        <w:t xml:space="preserve"> </w:t>
      </w:r>
      <w:r>
        <w:t xml:space="preserve">= 30), general learning (</w:t>
      </w:r>
      <w:r>
        <w:rPr>
          <w:i/>
        </w:rPr>
        <w:t xml:space="preserve">n</w:t>
      </w:r>
      <w:r>
        <w:t xml:space="preserve"> </w:t>
      </w:r>
      <w:r>
        <w:t xml:space="preserve">= 25), depression (</w:t>
      </w:r>
      <w:r>
        <w:rPr>
          <w:i/>
        </w:rPr>
        <w:t xml:space="preserve">n</w:t>
      </w:r>
      <w:r>
        <w:t xml:space="preserve"> </w:t>
      </w:r>
      <w:r>
        <w:t xml:space="preserve">= 13), and general literacy (</w:t>
      </w:r>
      <w:r>
        <w:rPr>
          <w:i/>
        </w:rPr>
        <w:t xml:space="preserve">n</w:t>
      </w:r>
      <w:r>
        <w:t xml:space="preserve"> </w:t>
      </w:r>
      <w:r>
        <w:t xml:space="preserve">= 12).</w:t>
      </w:r>
      <w:r>
        <w:t xml:space="preserve"> </w:t>
      </w:r>
      <w:bookmarkStart w:id="49" w:name="r2_25"/>
      <w:r>
        <w:t xml:space="preserve">Of the 274 unique exposure/outcome combinations, 242 occurred in only one review, with 23 appearing twice, and 9 appearing three or more times.</w:t>
      </w:r>
      <w:r>
        <w:t xml:space="preserve"> </w:t>
      </w:r>
      <w:r>
        <w:t xml:space="preserve">Full characteristics of the included studies are provided in Table 1.</w:t>
      </w:r>
      <w:bookmarkEnd w:id="49"/>
      <w:r>
        <w:t xml:space="preserve"> </w:t>
      </w:r>
      <w:bookmarkStart w:id="50" w:name="r2_23"/>
      <w:r>
        <w:t xml:space="preserve">After removing reviews with duplicate exposure/outcome combinations, our process yielded 255 unique effect/outcome combinations (retaining multiple effects for different age groups or study designs) contributed from 103 reviews.</w:t>
      </w:r>
      <w:bookmarkEnd w:id="50"/>
      <w:r>
        <w:t xml:space="preserve"> </w:t>
      </w:r>
      <w:r>
        <w:t xml:space="preserve">These effects represent the findings of 2,496 primary studies comprised of 2,026,054 participants.</w:t>
      </w:r>
      <w:r>
        <w:t xml:space="preserve"> </w:t>
      </w:r>
      <w:r>
        <w:t xml:space="preserve">The characteristics of the included effects are available in Supplementary File 9.</w:t>
      </w:r>
    </w:p>
    <w:p>
      <w:pPr>
        <w:pStyle w:val="Textkrper"/>
      </w:pPr>
      <w:r>
        <w:rPr>
          <w:b/>
        </w:rPr>
        <w:t xml:space="preserve">TABLE 1</w:t>
      </w:r>
    </w:p>
    <w:p>
      <w:pPr>
        <w:pStyle w:val="Textkrper"/>
      </w:pPr>
      <w:r>
        <w:t xml:space="preserve">The quality of the included meta-analyses was mixed (see Table 1).</w:t>
      </w:r>
      <w:r>
        <w:t xml:space="preserve"> </w:t>
      </w:r>
      <w:r>
        <w:t xml:space="preserve">Most assessed heterogeneity (</w:t>
      </w:r>
      <w:r>
        <w:rPr>
          <w:i/>
        </w:rPr>
        <w:t xml:space="preserve">n</w:t>
      </w:r>
      <w:r>
        <w:t xml:space="preserve"> </w:t>
      </w:r>
      <w:r>
        <w:t xml:space="preserve">low risk = 94/103, 91% of meta-analyses), reported the characteristics of the included studies (</w:t>
      </w:r>
      <w:r>
        <w:rPr>
          <w:i/>
        </w:rPr>
        <w:t xml:space="preserve">n</w:t>
      </w:r>
      <w:r>
        <w:t xml:space="preserve"> </w:t>
      </w:r>
      <w:r>
        <w:t xml:space="preserve">low risk = 87/103, 84%), and used a comprehensive and systematic search strategy (</w:t>
      </w:r>
      <w:r>
        <w:rPr>
          <w:i/>
        </w:rPr>
        <w:t xml:space="preserve">n</w:t>
      </w:r>
      <w:r>
        <w:t xml:space="preserve"> </w:t>
      </w:r>
      <w:r>
        <w:t xml:space="preserve">low risk = 72/103, 70%).</w:t>
      </w:r>
      <w:r>
        <w:t xml:space="preserve"> </w:t>
      </w:r>
      <w:r>
        <w:t xml:space="preserve">Most reviews did not clearly report if their eligibility criteria were predefined (</w:t>
      </w:r>
      <w:r>
        <w:rPr>
          <w:i/>
        </w:rPr>
        <w:t xml:space="preserve">n</w:t>
      </w:r>
      <w:r>
        <w:t xml:space="preserve"> </w:t>
      </w:r>
      <w:r>
        <w:t xml:space="preserve">unclear = 72/103, 70%).</w:t>
      </w:r>
      <w:r>
        <w:t xml:space="preserve"> </w:t>
      </w:r>
      <w:r>
        <w:t xml:space="preserve">Many papers also did not complete dual independent screening of abstracts and full text (</w:t>
      </w:r>
      <w:r>
        <w:rPr>
          <w:i/>
        </w:rPr>
        <w:t xml:space="preserve">n</w:t>
      </w:r>
      <w:r>
        <w:t xml:space="preserve"> </w:t>
      </w:r>
      <w:r>
        <w:t xml:space="preserve">high risk = 20/103, 19%) or did not clearly report the method of screening (</w:t>
      </w:r>
      <w:r>
        <w:rPr>
          <w:i/>
        </w:rPr>
        <w:t xml:space="preserve">n</w:t>
      </w:r>
      <w:r>
        <w:t xml:space="preserve"> </w:t>
      </w:r>
      <w:r>
        <w:t xml:space="preserve">unclear = 38/103, 37%).</w:t>
      </w:r>
      <w:r>
        <w:t xml:space="preserve"> </w:t>
      </w:r>
      <w:r>
        <w:t xml:space="preserve">A similar trend was observed for dual independent quality assessment (</w:t>
      </w:r>
      <w:r>
        <w:rPr>
          <w:i/>
        </w:rPr>
        <w:t xml:space="preserve">n</w:t>
      </w:r>
      <w:r>
        <w:t xml:space="preserve"> </w:t>
      </w:r>
      <w:r>
        <w:t xml:space="preserve">high risk = 53/103, 51%; n high risk = 19/103, 18%).</w:t>
      </w:r>
      <w:r>
        <w:t xml:space="preserve"> </w:t>
      </w:r>
      <w:r>
        <w:t xml:space="preserve">Overall, only 7 meta-analyses were graded as low risk of bias on all criteria.</w:t>
      </w:r>
    </w:p>
    <w:p>
      <w:pPr>
        <w:pStyle w:val="berschrift3"/>
      </w:pPr>
      <w:bookmarkStart w:id="51" w:name="education-outcomes"/>
      <w:r>
        <w:t xml:space="preserve">Education Outcomes.</w:t>
      </w:r>
      <w:bookmarkEnd w:id="51"/>
    </w:p>
    <w:p>
      <w:pPr>
        <w:pStyle w:val="FirstParagraph"/>
      </w:pPr>
      <w:r>
        <w:t xml:space="preserve">There were 89 unique effects associated with education outcomes, including general learning outcomes, literacy, numeracy, and science.</w:t>
      </w:r>
      <w:r>
        <w:t xml:space="preserve"> </w:t>
      </w:r>
      <w:r>
        <w:t xml:space="preserve">We removed 28 effects that did not provide individual study-level data, 19 effects with samples &lt; 1,000, and 19 effects with a significant Egger’s test or insufficient studies to conduct the test.</w:t>
      </w:r>
      <w:r>
        <w:t xml:space="preserve"> </w:t>
      </w:r>
      <w:r>
        <w:t xml:space="preserve">Effects not meeting one or more of these standards are presented in Supplementary File 6.</w:t>
      </w:r>
      <w:r>
        <w:t xml:space="preserve"> </w:t>
      </w:r>
      <w:r>
        <w:t xml:space="preserve">The remaining 23 effects met our criteria for statistical credibility and are described in Figure</w:t>
      </w:r>
      <w:r>
        <w:t xml:space="preserve"> </w:t>
      </w:r>
      <w:r>
        <w:t xml:space="preserve">2</w:t>
      </w:r>
      <w:r>
        <w:t xml:space="preserve">.</w:t>
      </w:r>
      <w:r>
        <w:t xml:space="preserve"> </w:t>
      </w:r>
      <w:r>
        <w:t xml:space="preserve">These 23 effects came from 18 meta-analytic reviews analysing data from 338 empirical studies with 262,537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(14 of 23 effects) showed statistically significant associations, with 99.9% confidence intervals not encompassing zero (strong evidence).</w:t>
      </w:r>
      <w:r>
        <w:t xml:space="preserve"> </w:t>
      </w:r>
      <w:r>
        <w:t xml:space="preserve">The remaining six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38</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39</w:t>
      </w:r>
      <w:r>
        <w:t xml:space="preserve">).</w:t>
      </w:r>
      <w:r>
        <w:t xml:space="preserve"> </w:t>
      </w:r>
      <w:r>
        <w:t xml:space="preserve">The largest effect size observed was for augmented reality-based education interventions on general learning (</w:t>
      </w:r>
      <m:oMath>
        <m:r>
          <m:t>r</m:t>
        </m:r>
        <m:r>
          <m:t>=</m:t>
        </m:r>
        <m:r>
          <m:t>0.33</m:t>
        </m:r>
        <m:r>
          <m:t>,</m:t>
        </m:r>
        <m:r>
          <m:t>k</m:t>
        </m:r>
        <m:r>
          <m:t>=</m:t>
        </m:r>
        <m:r>
          <m:t>15</m:t>
        </m:r>
        <m:r>
          <m:t>,</m:t>
        </m:r>
        <m:r>
          <m:t>N</m:t>
        </m:r>
        <m:r>
          <m:t>=</m:t>
        </m:r>
        <m:r>
          <m:t>1</m:t>
        </m:r>
        <m:r>
          <m:t>,</m:t>
        </m:r>
        <m:r>
          <m:t>474</m:t>
        </m:r>
      </m:oMath>
      <w:r>
        <w:t xml:space="preserve">).</w:t>
      </w:r>
      <w:r>
        <w:t xml:space="preserve"> </w:t>
      </w:r>
      <w:r>
        <w:t xml:space="preserve">Most effects showed high levels of heterogeneity (18 of 23 with</w:t>
      </w:r>
      <w:r>
        <w:t xml:space="preserve"> </w:t>
      </w:r>
      <m:oMath>
        <m:sSup>
          <m:e>
            <m:r>
              <m:t>I</m:t>
            </m:r>
          </m:e>
          <m:sup>
            <m:r>
              <m:t>2</m:t>
            </m:r>
          </m:sup>
        </m:sSup>
        <m:r>
          <m:t>&gt;</m:t>
        </m:r>
        <m:r>
          <m:t>50</m:t>
        </m:r>
        <m:r>
          <m:t>%</m:t>
        </m:r>
      </m:oMath>
      <w:r>
        <w:t xml:space="preserve">).</w:t>
      </w:r>
    </w:p>
    <w:p>
      <w:pPr>
        <w:pStyle w:val="berschrift3"/>
      </w:pPr>
      <w:bookmarkStart w:id="53" w:name="health-and-health-related-behaviours"/>
      <w:r>
        <w:t xml:space="preserve">Health and Health-related Behaviours.</w:t>
      </w:r>
      <w:bookmarkEnd w:id="53"/>
    </w:p>
    <w:p>
      <w:pPr>
        <w:pStyle w:val="FirstParagraph"/>
      </w:pPr>
      <w:r>
        <w:t xml:space="preserve">We identified 165 unique outcome-exposure combinations associated with health or health-related behaviour outcomes.</w:t>
      </w:r>
      <w:r>
        <w:t xml:space="preserve"> </w:t>
      </w:r>
      <w:r>
        <w:t xml:space="preserve">We removed 41 effects that did not provide individual study-level data, 50 effects with samples &lt; 1,000, and 53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7.</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t>&gt;</m:t>
        </m:r>
        <m:r>
          <m:t>75</m:t>
        </m:r>
        <m:r>
          <m:t>%</m:t>
        </m:r>
      </m:oMath>
      <w:r>
        <w:t xml:space="preserve">.</w:t>
      </w:r>
      <w:r>
        <w:t xml:space="preserve"> </w:t>
      </w:r>
      <w:r>
        <w:t xml:space="preserve">Additionally, most effects were small, with the association between screen use and sleep duration the largest at</w:t>
      </w:r>
      <w:r>
        <w:t xml:space="preserve"> </w:t>
      </w:r>
      <m:oMath>
        <m:r>
          <m:t>r</m:t>
        </m:r>
        <m:r>
          <m:t>=</m:t>
        </m:r>
        <m:r>
          <m:t>−</m:t>
        </m:r>
        <m:r>
          <m:t>0.37</m:t>
        </m:r>
      </m:oMath>
      <w:r>
        <w:t xml:space="preserve"> </w:t>
      </w:r>
      <w:r>
        <w:t xml:space="preserve">(</w:t>
      </w:r>
      <m:oMath>
        <m:r>
          <m:t>k</m:t>
        </m:r>
        <m:r>
          <m:t>=</m:t>
        </m:r>
        <m:r>
          <m:t>10</m:t>
        </m:r>
        <m:r>
          <m:t>,</m:t>
        </m:r>
        <m:r>
          <m:t>N</m:t>
        </m:r>
        <m:r>
          <m:t>=</m:t>
        </m:r>
        <m:r>
          <m:t>56</m:t>
        </m:r>
        <m:r>
          <m:t>,</m:t>
        </m:r>
        <m:r>
          <m:t>720</m:t>
        </m:r>
      </m:oMath>
      <w:r>
        <w:t xml:space="preserve">).</w:t>
      </w:r>
      <w:r>
        <w:t xml:space="preserve"> </w:t>
      </w:r>
      <w:r>
        <w:t xml:space="preserve">Most of the effect sizes (17/21) had an absolute value of</w:t>
      </w:r>
      <w:r>
        <w:t xml:space="preserve"> </w:t>
      </w:r>
      <m:oMath>
        <m:r>
          <m:t>r</m:t>
        </m:r>
        <m:r>
          <m:t>&lt;</m:t>
        </m:r>
        <m:r>
          <m:t>0.2</m:t>
        </m:r>
      </m:oMath>
      <w:r>
        <w:t xml:space="preserve">.</w:t>
      </w:r>
    </w:p>
    <w:p>
      <w:pPr>
        <w:pStyle w:val="berschrift1"/>
      </w:pPr>
      <w:bookmarkStart w:id="55" w:name="discussion"/>
      <w:r>
        <w:t xml:space="preserve">Discussion</w:t>
      </w:r>
      <w:bookmarkEnd w:id="55"/>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39</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40</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39,41</w:t>
      </w:r>
      <w:r>
        <w:t xml:space="preserve"> </w:t>
      </w:r>
      <w:r>
        <w:t xml:space="preserve">However, when the video game were designed specifically to teach numeracy, playing these games showed learning benefits.</w:t>
      </w:r>
      <w:r>
        <w:rPr>
          <w:vertAlign w:val="superscript"/>
        </w:rPr>
        <w:t xml:space="preserve">42</w:t>
      </w:r>
      <w:r>
        <w:t xml:space="preserve"> </w:t>
      </w:r>
      <w:r>
        <w:t xml:space="preserve">One might expect that video games designed to be physically active could confer health benefits, but none of the meta-analyses examining this hypothesis met our thresholds for statistical credibility (see Supplementary Files 6 &amp; 7)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43</w:t>
      </w:r>
      <w:r>
        <w:t xml:space="preserve"> </w:t>
      </w:r>
      <w:r>
        <w:t xml:space="preserve">These results align with meta-analytic evidence from adults indicating that social media use is also associated with increased risk of depression.</w:t>
      </w:r>
      <w:r>
        <w:rPr>
          <w:vertAlign w:val="superscript"/>
        </w:rPr>
        <w:t xml:space="preserve">44,45</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46</w:t>
      </w:r>
    </w:p>
    <w:p>
      <w:pPr>
        <w:pStyle w:val="Textkrper"/>
      </w:pPr>
      <w:r>
        <w:t xml:space="preserve">One category of exposure appeared to be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38</w:t>
      </w:r>
      <w:r>
        <w:t xml:space="preserve"> </w:t>
      </w:r>
      <w:r>
        <w:t xml:space="preserve">as did augmented reality.</w:t>
      </w:r>
      <w:r>
        <w:rPr>
          <w:vertAlign w:val="superscript"/>
        </w:rPr>
        <w:t xml:space="preserve">47</w:t>
      </w:r>
    </w:p>
    <w:p>
      <w:pPr>
        <w:pStyle w:val="Textkrper"/>
      </w:pPr>
      <w:bookmarkStart w:id="56" w:name="r1_5"/>
      <w:r>
        <w:t xml:space="preserve"> </w:t>
      </w: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available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48</w:t>
      </w:r>
      <w:r>
        <w:t xml:space="preserve"> </w:t>
      </w:r>
      <w:r>
        <w:t xml:space="preserve">Conversely, TV programs and movies were more strongly associated with lower physical activity for adolescents than for younger age groups.</w:t>
      </w:r>
      <w:r>
        <w:rPr>
          <w:vertAlign w:val="superscript"/>
        </w:rPr>
        <w:t xml:space="preserve">49</w:t>
      </w:r>
      <w:r>
        <w:t xml:space="preserve"> </w:t>
      </w:r>
      <w:r>
        <w:t xml:space="preserve">Given the differences in development across childhood and adolescence and the different ways children of various ages use screens, further examination of age-based differences is needed.</w:t>
      </w:r>
      <w:r>
        <w:t xml:space="preserve"> </w:t>
      </w:r>
      <w:r>
        <w:t xml:space="preserve">However, in the absence of this work, our study has shown how children are affected by screens in general.</w:t>
      </w:r>
      <w:r>
        <w:t xml:space="preserve"> </w:t>
      </w:r>
      <w:bookmarkEnd w:id="56"/>
    </w:p>
    <w:p>
      <w:pPr>
        <w:pStyle w:val="Textkrper"/>
      </w:pPr>
      <w:r>
        <w:t xml:space="preserve">Among studies that met our criteria for statistical certainty heterogeneity was high, with almost all effects having</w:t>
      </w:r>
      <w:r>
        <w:t xml:space="preserve"> </w:t>
      </w:r>
      <m:oMath>
        <m:sSup>
          <m:e>
            <m:r>
              <m:t>I</m:t>
            </m:r>
          </m:e>
          <m:sup>
            <m:r>
              <m:t>2</m:t>
            </m:r>
          </m:sup>
        </m:sSup>
        <m:r>
          <m:t>&gt;</m:t>
        </m:r>
        <m:r>
          <m:t>50</m:t>
        </m:r>
        <m: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p>
      <w:pPr>
        <w:pStyle w:val="berschrift2"/>
      </w:pPr>
      <w:bookmarkStart w:id="57" w:name="implications-for-policy-and-practice"/>
      <w:r>
        <w:t xml:space="preserve">Implications for Policy and Practice</w:t>
      </w:r>
      <w:bookmarkEnd w:id="57"/>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50–52</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p>
      <w:pPr>
        <w:pStyle w:val="Textkrper"/>
      </w:pPr>
      <w:bookmarkStart w:id="58" w:name="r2_7"/>
      <w:r>
        <w:t xml:space="preserve"> </w:t>
      </w:r>
      <w:r>
        <w:t xml:space="preserve">In particular, our results support the the continuing trend of guidelines moving away from recommendations to reduce</w:t>
      </w:r>
      <w:r>
        <w:t xml:space="preserve"> </w:t>
      </w:r>
      <w:r>
        <w:t xml:space="preserve">‘</w:t>
      </w:r>
      <w:r>
        <w:t xml:space="preserve">screen time</w:t>
      </w:r>
      <w:r>
        <w:t xml:space="preserve">’</w:t>
      </w:r>
      <w:r>
        <w:t xml:space="preserve">, and instead focusing on the type of screen time.</w:t>
      </w:r>
      <w:r>
        <w:t xml:space="preserve"> </w:t>
      </w:r>
      <w:r>
        <w:t xml:space="preserve">For example, our findings suggest that guidelines should discourage high levels of social media and internet use.</w:t>
      </w:r>
      <w:r>
        <w:t xml:space="preserve"> </w:t>
      </w:r>
      <w:r>
        <w:t xml:space="preserve">Guidelines may also consider adapting recommendations that promote the use of educational apps and video games, although these recommendations need to be balanced against the (very small) risks to adiposity.</w:t>
      </w:r>
      <w:r>
        <w:t xml:space="preserve"> </w:t>
      </w:r>
      <w:bookmarkEnd w:id="58"/>
    </w:p>
    <w:p>
      <w:pPr>
        <w:pStyle w:val="berschrift2"/>
      </w:pPr>
      <w:bookmarkStart w:id="59" w:name="implications-for-future-research"/>
      <w:r>
        <w:t xml:space="preserve">Implications for Future Research</w:t>
      </w:r>
      <w:bookmarkEnd w:id="59"/>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26</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60"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60"/>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w:t>
      </w:r>
      <w:r>
        <w:t xml:space="preserve">66 of the 67 included studies used self-reported data for</w:t>
      </w:r>
      <w:r>
        <w:t xml:space="preserve"> </w:t>
      </w:r>
      <w:r>
        <w:rPr>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53</w:t>
      </w:r>
      <w:r>
        <w:t xml:space="preserve"> </w:t>
      </w:r>
      <w:r>
        <w:t xml:space="preserve">found that the measures were only moderately correlated (</w:t>
      </w:r>
      <m:oMath>
        <m:r>
          <m:t>r</m:t>
        </m:r>
        <m:r>
          <m:t>=</m:t>
        </m:r>
        <m:r>
          <m:t>0.38</m:t>
        </m:r>
      </m:oMath>
      <w:r>
        <w:t xml:space="preserve">), with self-reported problematic usage fairing worse (</w:t>
      </w:r>
      <m:oMath>
        <m:r>
          <m:t>r</m:t>
        </m:r>
        <m: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54</w:t>
      </w:r>
      <w:r>
        <w:t xml:space="preserve"> </w:t>
      </w:r>
      <w:r>
        <w:t xml:space="preserve">While some researchers have started using newer methods of capturing screen behaviours—such as wearable cameras</w:t>
      </w:r>
      <w:r>
        <w:rPr>
          <w:vertAlign w:val="superscript"/>
        </w:rPr>
        <w:t xml:space="preserve">55</w:t>
      </w:r>
      <w:r>
        <w:t xml:space="preserve"> </w:t>
      </w:r>
      <w:r>
        <w:t xml:space="preserve">or device-based loggers</w:t>
      </w:r>
      <w:r>
        <w:rPr>
          <w:vertAlign w:val="superscript"/>
        </w:rPr>
        <w:t xml:space="preserve">56</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p>
      <w:pPr>
        <w:pStyle w:val="berschrift2"/>
      </w:pPr>
      <w:bookmarkStart w:id="61" w:name="strengths-and-limitations"/>
      <w:r>
        <w:t xml:space="preserve">Strengths and Limitations</w:t>
      </w:r>
      <w:bookmarkEnd w:id="61"/>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57</w:t>
      </w:r>
      <w:r>
        <w:t xml:space="preserve">).</w:t>
      </w:r>
      <w:r>
        <w:t xml:space="preserve"> </w:t>
      </w:r>
      <w:r>
        <w:t xml:space="preserve">As such, we made decisions regarding the credibility of evidence, where others may have used different thresholds or metrics.</w:t>
      </w:r>
      <w:r>
        <w:t xml:space="preserve"> </w:t>
      </w:r>
      <w:bookmarkStart w:id="62" w:name="r2_24"/>
      <w:r>
        <w:t xml:space="preserve">In addition, when faced with duplicate outcome/exposure combinations we chose to keep the one with the largest pooled sample size, assuming that this would capture the most comprehensive and most recent review.</w:t>
      </w:r>
      <w:r>
        <w:t xml:space="preserve"> </w:t>
      </w:r>
      <w:r>
        <w:t xml:space="preserve">Inspection of the excluded effect sizes suggests that this decision was not that impactful: our results would have been almost exactly the same has we used the number of included studies (</w:t>
      </w:r>
      <w:r>
        <w:rPr>
          <w:i/>
        </w:rPr>
        <w:t xml:space="preserve">k</w:t>
      </w:r>
      <w:r>
        <w:t xml:space="preserve">) or the most recent review by publication year.</w:t>
      </w:r>
      <w:r>
        <w:t xml:space="preserve"> </w:t>
      </w:r>
      <w:r>
        <w:t xml:space="preserve">However, we provide the complete results in the supplementary material, along with the dataset for others to consider alternative criteria.</w:t>
      </w:r>
      <w:bookmarkEnd w:id="62"/>
    </w:p>
    <w:p>
      <w:pPr>
        <w:pStyle w:val="Textkrper"/>
      </w:pPr>
      <w:bookmarkStart w:id="63" w:name="r1_4"/>
      <w:r>
        <w:t xml:space="preserve">Our high-level approach also means that we could not engage with the specific mechanisms behind each association, and as such, we cannot make strong claims on the directions of causality.</w:t>
      </w:r>
      <w:r>
        <w:t xml:space="preserve"> </w:t>
      </w:r>
      <w:r>
        <w:t xml:space="preserve">These likely depend on the specific exposure and outcome.</w:t>
      </w:r>
      <w:r>
        <w:t xml:space="preserve"> </w:t>
      </w:r>
      <w:r>
        <w:t xml:space="preserve">It is tempting for people to draw inferences that the associations are due to screen time causing these outcomes, but we cannot rule out reverse causality, a third variable, or some combination of influences.</w:t>
      </w:r>
      <w:r>
        <w:t xml:space="preserve"> </w:t>
      </w:r>
      <w:r>
        <w:t xml:space="preserve">Many of the individual reviews go into more detail about the strength of the evidence for causal associations, but those judgements were difficult to synthesise across more than 200 reviews.</w:t>
      </w:r>
      <w:r>
        <w:t xml:space="preserve"> </w:t>
      </w:r>
      <w:r>
        <w:t xml:space="preserve">Readers who wish to more deeply understand one specific relationship are directed to the cited review for that effect, where the authors could engage more deeply with the mechanisms.</w:t>
      </w:r>
      <w:bookmarkEnd w:id="63"/>
    </w:p>
    <w:p>
      <w:pPr>
        <w:pStyle w:val="Textkrper"/>
      </w:pPr>
      <w:bookmarkStart w:id="64" w:name="r2_16"/>
      <w:r>
        <w:t xml:space="preserve">We converted all effect sizes to a common metric (Pearson’s r) to allow for comparisons of magnitude, but acknowledge that this assumes a linear relationship between the variables.</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17,58,59</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64"/>
      <w:r>
        <w:t xml:space="preserve"> </w:t>
      </w:r>
      <w:bookmarkStart w:id="65"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65"/>
    </w:p>
    <w:p>
      <w:pPr>
        <w:pStyle w:val="berschrift2"/>
      </w:pPr>
      <w:bookmarkStart w:id="66" w:name="conclusions"/>
      <w:r>
        <w:t xml:space="preserve">Conclusions</w:t>
      </w:r>
      <w:bookmarkEnd w:id="66"/>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p>
      <w:pPr>
        <w:pStyle w:val="berschrift1"/>
      </w:pPr>
      <w:bookmarkStart w:id="67" w:name="references"/>
      <w:r>
        <w:t xml:space="preserve">References</w:t>
      </w:r>
      <w:bookmarkEnd w:id="67"/>
    </w:p>
    <w:bookmarkStart w:id="128" w:name="refs"/>
    <w:bookmarkStart w:id="68" w:name="ref-thelancetSocialMediaScreen2019"/>
    <w:p>
      <w:pPr>
        <w:pStyle w:val="Literaturverzeichnis"/>
      </w:pPr>
      <w:r>
        <w:t xml:space="preserve">1. The Lancet. Social media, screen time, and young people’s mental health.</w:t>
      </w:r>
      <w:r>
        <w:t xml:space="preserve"> </w:t>
      </w:r>
      <w:r>
        <w:rPr>
          <w:i/>
        </w:rPr>
        <w:t xml:space="preserve">The Lancet</w:t>
      </w:r>
      <w:r>
        <w:t xml:space="preserve"> </w:t>
      </w:r>
      <w:r>
        <w:rPr>
          <w:b/>
        </w:rPr>
        <w:t xml:space="preserve">393</w:t>
      </w:r>
      <w:r>
        <w:t xml:space="preserve">, 611 (2019).</w:t>
      </w:r>
    </w:p>
    <w:bookmarkEnd w:id="68"/>
    <w:bookmarkStart w:id="69" w:name="ref-blairReadingStrategiesCoping2003"/>
    <w:p>
      <w:pPr>
        <w:pStyle w:val="Literaturverzeichnis"/>
      </w:pPr>
      <w:r>
        <w:t xml:space="preserve">2. Blair, A. Reading Strategies for Coping With Information Overload ca.1550-1700.</w:t>
      </w:r>
      <w:r>
        <w:t xml:space="preserve"> </w:t>
      </w:r>
      <w:r>
        <w:rPr>
          <w:i/>
        </w:rPr>
        <w:t xml:space="preserve">Journal of the History of Ideas</w:t>
      </w:r>
      <w:r>
        <w:t xml:space="preserve"> </w:t>
      </w:r>
      <w:r>
        <w:rPr>
          <w:b/>
        </w:rPr>
        <w:t xml:space="preserve">64</w:t>
      </w:r>
      <w:r>
        <w:t xml:space="preserve">, 11–28 (2003).</w:t>
      </w:r>
    </w:p>
    <w:bookmarkEnd w:id="69"/>
    <w:bookmarkStart w:id="70" w:name="ref-bell1883sanitarian"/>
    <w:p>
      <w:pPr>
        <w:pStyle w:val="Literaturverzeichnis"/>
      </w:pPr>
      <w:r>
        <w:t xml:space="preserve">3. Bell, A. N.</w:t>
      </w:r>
      <w:r>
        <w:t xml:space="preserve"> </w:t>
      </w:r>
      <w:r>
        <w:rPr>
          <w:i/>
        </w:rPr>
        <w:t xml:space="preserve">The sanitarian</w:t>
      </w:r>
      <w:r>
        <w:t xml:space="preserve">. vol. 11 (AN Bell, 1883).</w:t>
      </w:r>
    </w:p>
    <w:bookmarkEnd w:id="70"/>
    <w:bookmarkStart w:id="71" w:name="ref-dill2013oxford"/>
    <w:p>
      <w:pPr>
        <w:pStyle w:val="Literaturverzeichnis"/>
      </w:pPr>
      <w:r>
        <w:t xml:space="preserve">4. Dill, K. E.</w:t>
      </w:r>
      <w:r>
        <w:t xml:space="preserve"> </w:t>
      </w:r>
      <w:r>
        <w:rPr>
          <w:i/>
        </w:rPr>
        <w:t xml:space="preserve">The Oxford handbook of media psychology</w:t>
      </w:r>
      <w:r>
        <w:t xml:space="preserve">. (Oxford University Press, 2013).</w:t>
      </w:r>
    </w:p>
    <w:bookmarkEnd w:id="71"/>
    <w:bookmarkStart w:id="72" w:name="ref-wartellaChildrenComputersNew2000"/>
    <w:p>
      <w:pPr>
        <w:pStyle w:val="Literaturverzeichnis"/>
      </w:pPr>
      <w:r>
        <w:t xml:space="preserve">5. Wartella, E. A. &amp; Jennings, N. Children and computers: New technology. Old concerns.</w:t>
      </w:r>
      <w:r>
        <w:t xml:space="preserve"> </w:t>
      </w:r>
      <w:r>
        <w:rPr>
          <w:i/>
        </w:rPr>
        <w:t xml:space="preserve">The future of children</w:t>
      </w:r>
      <w:r>
        <w:t xml:space="preserve"> </w:t>
      </w:r>
      <w:r>
        <w:t xml:space="preserve">31–43 (2000).</w:t>
      </w:r>
    </w:p>
    <w:bookmarkEnd w:id="72"/>
    <w:bookmarkStart w:id="73" w:name="ref-rhodes2015top"/>
    <w:p>
      <w:pPr>
        <w:pStyle w:val="Literaturverzeichnis"/>
      </w:pPr>
      <w:r>
        <w:t xml:space="preserve">6. Rhodes, A.</w:t>
      </w:r>
      <w:r>
        <w:t xml:space="preserve"> </w:t>
      </w:r>
      <w:r>
        <w:rPr>
          <w:i/>
        </w:rPr>
        <w:t xml:space="preserve">Top ten child health problems: What the public thinks</w:t>
      </w:r>
      <w:r>
        <w:t xml:space="preserve">. (2015).</w:t>
      </w:r>
    </w:p>
    <w:bookmarkEnd w:id="73"/>
    <w:bookmarkStart w:id="74" w:name="ref-haleScreenTimeSleep2015"/>
    <w:p>
      <w:pPr>
        <w:pStyle w:val="Literaturverzeichnis"/>
      </w:pPr>
      <w:r>
        <w:t xml:space="preserve">7. Hale, L. &amp; Guan, S. Screen time and sleep among school-aged children and adolescents: A systematic literature review.</w:t>
      </w:r>
      <w:r>
        <w:t xml:space="preserve"> </w:t>
      </w:r>
      <w:r>
        <w:rPr>
          <w:i/>
        </w:rPr>
        <w:t xml:space="preserve">Sleep Medicine Reviews</w:t>
      </w:r>
      <w:r>
        <w:t xml:space="preserve"> </w:t>
      </w:r>
      <w:r>
        <w:rPr>
          <w:b/>
        </w:rPr>
        <w:t xml:space="preserve">21</w:t>
      </w:r>
      <w:r>
        <w:t xml:space="preserve">, 50–58 (2015).</w:t>
      </w:r>
    </w:p>
    <w:bookmarkEnd w:id="74"/>
    <w:bookmarkStart w:id="75" w:name="ref-sweetserActivePassiveScreen2012"/>
    <w:p>
      <w:pPr>
        <w:pStyle w:val="Literaturverzeichnis"/>
      </w:pPr>
      <w:r>
        <w:t xml:space="preserve">8. Sweetser, P., Johnson, D., Ozdowska, A. &amp; Wyeth, P. Active versus passive screen time for young children.</w:t>
      </w:r>
      <w:r>
        <w:t xml:space="preserve"> </w:t>
      </w:r>
      <w:r>
        <w:rPr>
          <w:i/>
        </w:rPr>
        <w:t xml:space="preserve">Australasian Journal of Early Childhood</w:t>
      </w:r>
      <w:r>
        <w:t xml:space="preserve"> </w:t>
      </w:r>
      <w:r>
        <w:rPr>
          <w:b/>
        </w:rPr>
        <w:t xml:space="preserve">37</w:t>
      </w:r>
      <w:r>
        <w:t xml:space="preserve">, 94–98 (2012).</w:t>
      </w:r>
    </w:p>
    <w:bookmarkEnd w:id="75"/>
    <w:bookmarkStart w:id="76" w:name="ref-liEarlyChildhoodComputer2004"/>
    <w:p>
      <w:pPr>
        <w:pStyle w:val="Literaturverzeichnis"/>
      </w:pPr>
      <w:r>
        <w:t xml:space="preserve">9. Li, X. &amp; Atkins, M. S. Early childhood computer experience and cognitive and motor development.</w:t>
      </w:r>
      <w:r>
        <w:t xml:space="preserve"> </w:t>
      </w:r>
      <w:r>
        <w:rPr>
          <w:i/>
        </w:rPr>
        <w:t xml:space="preserve">Pediatrics</w:t>
      </w:r>
      <w:r>
        <w:t xml:space="preserve"> </w:t>
      </w:r>
      <w:r>
        <w:rPr>
          <w:b/>
        </w:rPr>
        <w:t xml:space="preserve">113</w:t>
      </w:r>
      <w:r>
        <w:t xml:space="preserve">, 1715–1722 (2004).</w:t>
      </w:r>
    </w:p>
    <w:bookmarkEnd w:id="76"/>
    <w:bookmarkStart w:id="77" w:name="ref-warburton2017children"/>
    <w:p>
      <w:pPr>
        <w:pStyle w:val="Literaturverzeichnis"/>
      </w:pPr>
      <w:r>
        <w:t xml:space="preserve">10. Warburton, W. &amp; Highfield, K. Children and technology in a smart device world. in</w:t>
      </w:r>
      <w:r>
        <w:t xml:space="preserve"> </w:t>
      </w:r>
      <w:r>
        <w:rPr>
          <w:i/>
        </w:rPr>
        <w:t xml:space="preserve">Children, Families and Communities</w:t>
      </w:r>
      <w:r>
        <w:t xml:space="preserve"> </w:t>
      </w:r>
      <w:r>
        <w:t xml:space="preserve">195–221 (Oxford University Press, 2017).</w:t>
      </w:r>
    </w:p>
    <w:bookmarkEnd w:id="77"/>
    <w:bookmarkStart w:id="78" w:name="Xba72e297d9cbf8518b6b834b3bc3a29e46328b2"/>
    <w:p>
      <w:pPr>
        <w:pStyle w:val="Literaturverzeichnis"/>
      </w:pPr>
      <w:r>
        <w:t xml:space="preserve">11. Nature Human Behaviour. Screen time: How much is too much?</w:t>
      </w:r>
      <w:r>
        <w:t xml:space="preserve"> </w:t>
      </w:r>
      <w:r>
        <w:rPr>
          <w:i/>
        </w:rPr>
        <w:t xml:space="preserve">Nature</w:t>
      </w:r>
      <w:r>
        <w:t xml:space="preserve"> </w:t>
      </w:r>
      <w:r>
        <w:rPr>
          <w:b/>
        </w:rPr>
        <w:t xml:space="preserve">565</w:t>
      </w:r>
      <w:r>
        <w:t xml:space="preserve">, 265–266 (2019).</w:t>
      </w:r>
    </w:p>
    <w:bookmarkEnd w:id="78"/>
    <w:bookmarkStart w:id="79" w:name="ref-whoGuidelinesPhysicalActivity2019"/>
    <w:p>
      <w:pPr>
        <w:pStyle w:val="Literaturverzeichnis"/>
      </w:pPr>
      <w:r>
        <w:t xml:space="preserve">12. World Health Organization.</w:t>
      </w:r>
      <w:r>
        <w:t xml:space="preserve"> </w:t>
      </w:r>
      <w:r>
        <w:rPr>
          <w:i/>
        </w:rPr>
        <w:t xml:space="preserve">Guidelines on physical activity, sedentary behaviour and sleep for children under 5 years of age</w:t>
      </w:r>
      <w:r>
        <w:t xml:space="preserve">. 33 p. (World Health Organization, 2019).</w:t>
      </w:r>
    </w:p>
    <w:bookmarkEnd w:id="79"/>
    <w:bookmarkStart w:id="80" w:name="X8588d9d7f9ed485dd77d344ac578c697e5191f7"/>
    <w:p>
      <w:pPr>
        <w:pStyle w:val="Literaturverzeichnis"/>
      </w:pPr>
      <w:r>
        <w:t xml:space="preserve">13. Australian Government.</w:t>
      </w:r>
      <w:r>
        <w:t xml:space="preserve"> </w:t>
      </w:r>
      <w:r>
        <w:rPr>
          <w:i/>
        </w:rPr>
        <w:t xml:space="preserve">Physical activity and exercise guidelines for all Australians</w:t>
      </w:r>
      <w:r>
        <w:t xml:space="preserve">. (2021).</w:t>
      </w:r>
    </w:p>
    <w:bookmarkEnd w:id="80"/>
    <w:bookmarkStart w:id="81" w:name="ref-Canadian24HourMovement2016"/>
    <w:p>
      <w:pPr>
        <w:pStyle w:val="Literaturverzeichnis"/>
      </w:pPr>
      <w:r>
        <w:t xml:space="preserve">14. Canadian Society for Exercise Physiology.</w:t>
      </w:r>
      <w:r>
        <w:t xml:space="preserve"> </w:t>
      </w:r>
      <w:r>
        <w:rPr>
          <w:i/>
        </w:rPr>
        <w:t xml:space="preserve">Canadian 24-Hour Movement Guidelines for Children and Youth: An Integration of Physical Activity, Sedentary Behaviour, and Sleep</w:t>
      </w:r>
      <w:r>
        <w:t xml:space="preserve">. (2016).</w:t>
      </w:r>
    </w:p>
    <w:bookmarkEnd w:id="81"/>
    <w:bookmarkStart w:id="82" w:name="ref-AAPMediaUseSchoolAged2016"/>
    <w:p>
      <w:pPr>
        <w:pStyle w:val="Literaturverzeichnis"/>
      </w:pPr>
      <w:r>
        <w:t xml:space="preserve">15. Council On Communication and Media. Media Use in School-Aged Children and Adolescents.</w:t>
      </w:r>
      <w:r>
        <w:t xml:space="preserve"> </w:t>
      </w:r>
      <w:r>
        <w:rPr>
          <w:i/>
        </w:rPr>
        <w:t xml:space="preserve">Pediatrics</w:t>
      </w:r>
      <w:r>
        <w:t xml:space="preserve"> </w:t>
      </w:r>
      <w:r>
        <w:rPr>
          <w:b/>
        </w:rPr>
        <w:t xml:space="preserve">138</w:t>
      </w:r>
      <w:r>
        <w:t xml:space="preserve">, e20162592 (2016).</w:t>
      </w:r>
    </w:p>
    <w:bookmarkEnd w:id="82"/>
    <w:bookmarkStart w:id="83" w:name="X489b8b306f94f031197b219102b7890e218ac60"/>
    <w:p>
      <w:pPr>
        <w:pStyle w:val="Literaturverzeichnis"/>
      </w:pPr>
      <w:r>
        <w:t xml:space="preserve">16. Ferguson, C. J. Everything in Moderation: Moderate Use of Screens Unassociated with Child Behavior Problems.</w:t>
      </w:r>
      <w:r>
        <w:t xml:space="preserve"> </w:t>
      </w:r>
      <w:r>
        <w:rPr>
          <w:i/>
        </w:rPr>
        <w:t xml:space="preserve">Psychiatric Quarterly</w:t>
      </w:r>
      <w:r>
        <w:t xml:space="preserve"> </w:t>
      </w:r>
      <w:r>
        <w:rPr>
          <w:b/>
        </w:rPr>
        <w:t xml:space="preserve">88</w:t>
      </w:r>
      <w:r>
        <w:t xml:space="preserve">, 797–805 (2017).</w:t>
      </w:r>
    </w:p>
    <w:bookmarkEnd w:id="83"/>
    <w:bookmarkStart w:id="84" w:name="Xf37392443a0d0d7ceef3a5245221577b66850d1"/>
    <w:p>
      <w:pPr>
        <w:pStyle w:val="Literaturverzeichnis"/>
      </w:pPr>
      <w:r>
        <w:t xml:space="preserve">17. Przybylski, A. K. &amp; Weinstein, N. A Large-Scale Test of the Goldilocks Hypothesis: Quantifying the Relations Between Digital-Screen Use and the Mental Well-Being of Adolescents.</w:t>
      </w:r>
      <w:r>
        <w:t xml:space="preserve"> </w:t>
      </w:r>
      <w:r>
        <w:rPr>
          <w:i/>
        </w:rPr>
        <w:t xml:space="preserve">Psychological Science</w:t>
      </w:r>
      <w:r>
        <w:t xml:space="preserve"> </w:t>
      </w:r>
      <w:r>
        <w:rPr>
          <w:b/>
        </w:rPr>
        <w:t xml:space="preserve">28</w:t>
      </w:r>
      <w:r>
        <w:t xml:space="preserve">, 204–215 (2017).</w:t>
      </w:r>
    </w:p>
    <w:bookmarkEnd w:id="84"/>
    <w:bookmarkStart w:id="85" w:name="ref-sandersTypeScreenTime2019"/>
    <w:p>
      <w:pPr>
        <w:pStyle w:val="Literaturverzeichnis"/>
      </w:pPr>
      <w:r>
        <w:t xml:space="preserve">18. Sanders, T., Parker, P. D., del Pozo-Cruz, B., Noetel, M. &amp; Lonsdale, C. Type of screen time moderates effects on outcomes in 4013 children: Evidence from the Longitudinal Study of Australian Children.</w:t>
      </w:r>
      <w:r>
        <w:t xml:space="preserve"> </w:t>
      </w:r>
      <w:r>
        <w:rPr>
          <w:i/>
        </w:rPr>
        <w:t xml:space="preserve">International Journal of Behavioral Nutrition and Physical Activity</w:t>
      </w:r>
      <w:r>
        <w:t xml:space="preserve"> </w:t>
      </w:r>
      <w:r>
        <w:rPr>
          <w:b/>
        </w:rPr>
        <w:t xml:space="preserve">16</w:t>
      </w:r>
      <w:r>
        <w:t xml:space="preserve">, 117 (2019).</w:t>
      </w:r>
    </w:p>
    <w:bookmarkEnd w:id="85"/>
    <w:bookmarkStart w:id="86" w:name="X732dd09b1852abffa67a560d2f1a5008ba51954"/>
    <w:p>
      <w:pPr>
        <w:pStyle w:val="Literaturverzeichnis"/>
      </w:pPr>
      <w:r>
        <w:t xml:space="preserve">19. Kaye, L. K., Orben, A., Ellis, D. A., Hunter, S. C. &amp; Houghton, S. The Conceptual and Methodological Mayhem of ‘Screen Time’.</w:t>
      </w:r>
      <w:r>
        <w:t xml:space="preserve"> </w:t>
      </w:r>
      <w:r>
        <w:rPr>
          <w:i/>
        </w:rPr>
        <w:t xml:space="preserve">International Journal of Environmental Research and Public Health</w:t>
      </w:r>
      <w:r>
        <w:t xml:space="preserve"> </w:t>
      </w:r>
      <w:r>
        <w:rPr>
          <w:b/>
        </w:rPr>
        <w:t xml:space="preserve">17</w:t>
      </w:r>
      <w:r>
        <w:t xml:space="preserve">, 3661 (2020).</w:t>
      </w:r>
    </w:p>
    <w:bookmarkEnd w:id="86"/>
    <w:bookmarkStart w:id="87" w:name="Xd9ea48f2081c97cc01a86ff90acd7a44bcc3ee6"/>
    <w:p>
      <w:pPr>
        <w:pStyle w:val="Literaturverzeichnis"/>
      </w:pPr>
      <w:r>
        <w:t xml:space="preserve">20. Chassiakos, Y. L. R.</w:t>
      </w:r>
      <w:r>
        <w:t xml:space="preserve"> </w:t>
      </w:r>
      <w:r>
        <w:rPr>
          <w:i/>
        </w:rPr>
        <w:t xml:space="preserve">et al.</w:t>
      </w:r>
      <w:r>
        <w:t xml:space="preserve"> </w:t>
      </w:r>
      <w:r>
        <w:t xml:space="preserve">Children and Adolescents and Digital Media.</w:t>
      </w:r>
      <w:r>
        <w:t xml:space="preserve"> </w:t>
      </w:r>
      <w:r>
        <w:rPr>
          <w:i/>
        </w:rPr>
        <w:t xml:space="preserve">Pediatrics</w:t>
      </w:r>
      <w:r>
        <w:t xml:space="preserve"> </w:t>
      </w:r>
      <w:r>
        <w:rPr>
          <w:b/>
        </w:rPr>
        <w:t xml:space="preserve">138</w:t>
      </w:r>
      <w:r>
        <w:t xml:space="preserve">, e20162593 (2016).</w:t>
      </w:r>
    </w:p>
    <w:bookmarkEnd w:id="87"/>
    <w:bookmarkStart w:id="88" w:name="ref-stiglicEffectsScreentimeHealth2019"/>
    <w:p>
      <w:pPr>
        <w:pStyle w:val="Literaturverzeichnis"/>
      </w:pPr>
      <w:r>
        <w:t xml:space="preserve">21. Stiglic, N. &amp; Viner, R. M. Effects of screentime on the health and well-being of children and adolescents: A systematic review of reviews.</w:t>
      </w:r>
      <w:r>
        <w:t xml:space="preserve"> </w:t>
      </w:r>
      <w:r>
        <w:rPr>
          <w:i/>
        </w:rPr>
        <w:t xml:space="preserve">BMJ Open</w:t>
      </w:r>
      <w:r>
        <w:t xml:space="preserve"> </w:t>
      </w:r>
      <w:r>
        <w:rPr>
          <w:b/>
        </w:rPr>
        <w:t xml:space="preserve">9</w:t>
      </w:r>
      <w:r>
        <w:t xml:space="preserve">, e023191 (2019).</w:t>
      </w:r>
    </w:p>
    <w:bookmarkEnd w:id="88"/>
    <w:bookmarkStart w:id="89" w:name="ref-valkenburgSocialMediaUse2022"/>
    <w:p>
      <w:pPr>
        <w:pStyle w:val="Literaturverzeichnis"/>
      </w:pPr>
      <w:r>
        <w:t xml:space="preserve">22. Valkenburg, P. M., Meier, A. &amp; Beyens, I. Social media use and its impact on adolescent mental health: An umbrella review of the evidence.</w:t>
      </w:r>
      <w:r>
        <w:t xml:space="preserve"> </w:t>
      </w:r>
      <w:r>
        <w:rPr>
          <w:i/>
        </w:rPr>
        <w:t xml:space="preserve">Current Opinion in Psychology</w:t>
      </w:r>
      <w:r>
        <w:t xml:space="preserve"> </w:t>
      </w:r>
      <w:r>
        <w:rPr>
          <w:b/>
        </w:rPr>
        <w:t xml:space="preserve">44</w:t>
      </w:r>
      <w:r>
        <w:t xml:space="preserve">, 58–68 (2022).</w:t>
      </w:r>
    </w:p>
    <w:bookmarkEnd w:id="89"/>
    <w:bookmarkStart w:id="90" w:name="X8f5b5b681c3530c1044dd81a9d95caf728d6cbf"/>
    <w:p>
      <w:pPr>
        <w:pStyle w:val="Literaturverzeichnis"/>
      </w:pPr>
      <w:r>
        <w:t xml:space="preserve">23. Arias-de la Torre, J.</w:t>
      </w:r>
      <w:r>
        <w:t xml:space="preserve"> </w:t>
      </w:r>
      <w:r>
        <w:rPr>
          <w:i/>
        </w:rPr>
        <w:t xml:space="preserve">et al.</w:t>
      </w:r>
      <w:r>
        <w:t xml:space="preserve"> </w:t>
      </w:r>
      <w:r>
        <w:t xml:space="preserve">Relationship Between Depression and the Use of Mobile Technologies and Social Media Among Adolescents: Umbrella Review.</w:t>
      </w:r>
      <w:r>
        <w:t xml:space="preserve"> </w:t>
      </w:r>
      <w:r>
        <w:rPr>
          <w:i/>
        </w:rPr>
        <w:t xml:space="preserve">Journal of Medical Internet Research</w:t>
      </w:r>
      <w:r>
        <w:t xml:space="preserve"> </w:t>
      </w:r>
      <w:r>
        <w:rPr>
          <w:b/>
        </w:rPr>
        <w:t xml:space="preserve">22</w:t>
      </w:r>
      <w:r>
        <w:t xml:space="preserve">, e16388 (2020).</w:t>
      </w:r>
    </w:p>
    <w:bookmarkEnd w:id="90"/>
    <w:bookmarkStart w:id="91" w:name="ref-orbenTeenagersScreensSocial2020"/>
    <w:p>
      <w:pPr>
        <w:pStyle w:val="Literaturverzeichnis"/>
      </w:pPr>
      <w:r>
        <w:t xml:space="preserve">24. Orben, A. Teenagers, screens and social media: A narrative review of reviews and key studies.</w:t>
      </w:r>
      <w:r>
        <w:t xml:space="preserve"> </w:t>
      </w:r>
      <w:r>
        <w:rPr>
          <w:i/>
        </w:rPr>
        <w:t xml:space="preserve">Social Psychiatry and Psychiatric Epidemiology</w:t>
      </w:r>
      <w:r>
        <w:t xml:space="preserve"> </w:t>
      </w:r>
      <w:r>
        <w:rPr>
          <w:b/>
        </w:rPr>
        <w:t xml:space="preserve">55</w:t>
      </w:r>
      <w:r>
        <w:t xml:space="preserve">, 407–414 (2020).</w:t>
      </w:r>
    </w:p>
    <w:bookmarkEnd w:id="91"/>
    <w:bookmarkStart w:id="92" w:name="ref-pollockChapterOverviewsReviews2022"/>
    <w:p>
      <w:pPr>
        <w:pStyle w:val="Literaturverzeichnis"/>
      </w:pPr>
      <w:r>
        <w:t xml:space="preserve">25. Pollock, M., Fernandes, R., Becker, L., Pieper, D. &amp; Hartling, L. Chapter V: Overviews of Reviews. in</w:t>
      </w:r>
      <w:r>
        <w:t xml:space="preserve"> </w:t>
      </w:r>
      <w:r>
        <w:rPr>
          <w:i/>
        </w:rPr>
        <w:t xml:space="preserve">Cochrane Handbook for Systematic Reviews of Interventions</w:t>
      </w:r>
      <w:r>
        <w:t xml:space="preserve"> </w:t>
      </w:r>
      <w:r>
        <w:t xml:space="preserve">(eds. Higgins, J. P. et al.) (Cochrane, 2022).</w:t>
      </w:r>
    </w:p>
    <w:bookmarkEnd w:id="92"/>
    <w:bookmarkStart w:id="94" w:name="ref-pagePRISMA2020Statement2020"/>
    <w:p>
      <w:pPr>
        <w:pStyle w:val="Literaturverzeichnis"/>
      </w:pPr>
      <w:r>
        <w:t xml:space="preserve">26. Page, M. J.</w:t>
      </w:r>
      <w:r>
        <w:t xml:space="preserve"> </w:t>
      </w:r>
      <w:r>
        <w:rPr>
          <w:i/>
        </w:rPr>
        <w:t xml:space="preserve">et al.</w:t>
      </w:r>
      <w:r>
        <w:t xml:space="preserve"> </w:t>
      </w:r>
      <w:r>
        <w:rPr>
          <w:i/>
        </w:rPr>
        <w:t xml:space="preserve">The PRISMA 2020 statement: An updated guideline for reporting systematic reviews</w:t>
      </w:r>
      <w:r>
        <w:t xml:space="preserve">. (2020) doi:</w:t>
      </w:r>
      <w:hyperlink r:id="rId93">
        <w:r>
          <w:rPr>
            <w:rStyle w:val="Hyperlink"/>
          </w:rPr>
          <w:t xml:space="preserve">10.31222/osf.io/v7gm2</w:t>
        </w:r>
      </w:hyperlink>
      <w:r>
        <w:t xml:space="preserve">.</w:t>
      </w:r>
    </w:p>
    <w:bookmarkEnd w:id="94"/>
    <w:bookmarkStart w:id="95" w:name="ref-NHLBIQualityAssessmentSystematic2014"/>
    <w:p>
      <w:pPr>
        <w:pStyle w:val="Literaturverzeichnis"/>
      </w:pPr>
      <w:r>
        <w:t xml:space="preserve">27. National Health, Lung, and Blood Institute.</w:t>
      </w:r>
      <w:r>
        <w:t xml:space="preserve"> </w:t>
      </w:r>
      <w:r>
        <w:rPr>
          <w:i/>
        </w:rPr>
        <w:t xml:space="preserve">Quality Assessment of Systematic Reviews and Meta-Analyses</w:t>
      </w:r>
      <w:r>
        <w:t xml:space="preserve">. (2014).</w:t>
      </w:r>
    </w:p>
    <w:bookmarkEnd w:id="95"/>
    <w:bookmarkStart w:id="96" w:name="ref-bowmanEffectSizesStatistical2012"/>
    <w:p>
      <w:pPr>
        <w:pStyle w:val="Literaturverzeichnis"/>
      </w:pPr>
      <w:r>
        <w:t xml:space="preserve">28. Bowman, N. A. Effect Sizes and Statistical Methods for Meta-Analysis in Higher Education.</w:t>
      </w:r>
      <w:r>
        <w:t xml:space="preserve"> </w:t>
      </w:r>
      <w:r>
        <w:rPr>
          <w:i/>
        </w:rPr>
        <w:t xml:space="preserve">Research in Higher Education</w:t>
      </w:r>
      <w:r>
        <w:t xml:space="preserve"> </w:t>
      </w:r>
      <w:r>
        <w:rPr>
          <w:b/>
        </w:rPr>
        <w:t xml:space="preserve">53</w:t>
      </w:r>
      <w:r>
        <w:t xml:space="preserve">, 375–382 (2012).</w:t>
      </w:r>
    </w:p>
    <w:bookmarkEnd w:id="96"/>
    <w:bookmarkStart w:id="97" w:name="X28222e0a00c3a1bb883085ca4953aa45a58e4dd"/>
    <w:p>
      <w:pPr>
        <w:pStyle w:val="Literaturverzeichnis"/>
      </w:pPr>
      <w:r>
        <w:t xml:space="preserve">29. Jacobs, P. &amp; Viechtbauer, W. Estimation of the biserial correlation and its sampling variance for use in meta-analysis: Biserial Correlation.</w:t>
      </w:r>
      <w:r>
        <w:t xml:space="preserve"> </w:t>
      </w:r>
      <w:r>
        <w:rPr>
          <w:i/>
        </w:rPr>
        <w:t xml:space="preserve">Research Synthesis Methods</w:t>
      </w:r>
      <w:r>
        <w:t xml:space="preserve"> </w:t>
      </w:r>
      <w:r>
        <w:rPr>
          <w:b/>
        </w:rPr>
        <w:t xml:space="preserve">8</w:t>
      </w:r>
      <w:r>
        <w:t xml:space="preserve">, 161–180 (2017).</w:t>
      </w:r>
    </w:p>
    <w:bookmarkEnd w:id="97"/>
    <w:bookmarkStart w:id="98" w:name="ref-funderEvaluatingEffectSize2019"/>
    <w:p>
      <w:pPr>
        <w:pStyle w:val="Literaturverzeichnis"/>
      </w:pPr>
      <w:r>
        <w:t xml:space="preserve">30. Funder, D. C. &amp; Ozer, D. J. Evaluating Effect Size in Psychological Research: Sense and Nonsense.</w:t>
      </w:r>
      <w:r>
        <w:t xml:space="preserve"> </w:t>
      </w:r>
      <w:r>
        <w:rPr>
          <w:i/>
        </w:rPr>
        <w:t xml:space="preserve">Advances in Methods and Practices in Psychological Science</w:t>
      </w:r>
      <w:r>
        <w:t xml:space="preserve"> </w:t>
      </w:r>
      <w:r>
        <w:rPr>
          <w:b/>
        </w:rPr>
        <w:t xml:space="preserve">2</w:t>
      </w:r>
      <w:r>
        <w:t xml:space="preserve">, 156–168 (2019).</w:t>
      </w:r>
    </w:p>
    <w:bookmarkEnd w:id="98"/>
    <w:bookmarkStart w:id="99" w:name="ref-gignacEffectSizeGuidelines2016"/>
    <w:p>
      <w:pPr>
        <w:pStyle w:val="Literaturverzeichnis"/>
      </w:pPr>
      <w:r>
        <w:t xml:space="preserve">31. Gignac, G. E. &amp; Szodorai, E. T. Effect size guidelines for individual differences researchers.</w:t>
      </w:r>
      <w:r>
        <w:t xml:space="preserve"> </w:t>
      </w:r>
      <w:r>
        <w:rPr>
          <w:i/>
        </w:rPr>
        <w:t xml:space="preserve">Personality and Individual Differences</w:t>
      </w:r>
      <w:r>
        <w:t xml:space="preserve"> </w:t>
      </w:r>
      <w:r>
        <w:rPr>
          <w:b/>
        </w:rPr>
        <w:t xml:space="preserve">102</w:t>
      </w:r>
      <w:r>
        <w:t xml:space="preserve">, 74–78 (2016).</w:t>
      </w:r>
    </w:p>
    <w:bookmarkEnd w:id="99"/>
    <w:bookmarkStart w:id="100" w:name="ref-R-metafor"/>
    <w:p>
      <w:pPr>
        <w:pStyle w:val="Literaturverzeichnis"/>
      </w:pPr>
      <w:r>
        <w:t xml:space="preserve">32. Viechtbauer, W.</w:t>
      </w:r>
      <w:r>
        <w:t xml:space="preserve"> </w:t>
      </w:r>
      <w:r>
        <w:rPr>
          <w:i/>
        </w:rPr>
        <w:t xml:space="preserve">Metafor: Meta-analysis package for r</w:t>
      </w:r>
      <w:r>
        <w:t xml:space="preserve">. (2022).</w:t>
      </w:r>
    </w:p>
    <w:bookmarkEnd w:id="100"/>
    <w:bookmarkStart w:id="101" w:name="ref-R-base"/>
    <w:p>
      <w:pPr>
        <w:pStyle w:val="Literaturverzeichnis"/>
      </w:pPr>
      <w:r>
        <w:t xml:space="preserve">33. R Core Team.</w:t>
      </w:r>
      <w:r>
        <w:t xml:space="preserve"> </w:t>
      </w:r>
      <w:r>
        <w:rPr>
          <w:i/>
        </w:rPr>
        <w:t xml:space="preserve">R: A language and environment for statistical computing</w:t>
      </w:r>
      <w:r>
        <w:t xml:space="preserve">. (R Foundation for Statistical Computing, 2022).</w:t>
      </w:r>
    </w:p>
    <w:bookmarkEnd w:id="101"/>
    <w:bookmarkStart w:id="102" w:name="ref-eggerBiasMetaanalysisDetected1997"/>
    <w:p>
      <w:pPr>
        <w:pStyle w:val="Literaturverzeichnis"/>
      </w:pPr>
      <w:r>
        <w:t xml:space="preserve">34. Egger, M., Smith, G. D., Schneider, M. &amp; Minder, C. Bias in meta-analysis detected by a simple, graphical test.</w:t>
      </w:r>
      <w:r>
        <w:t xml:space="preserve"> </w:t>
      </w:r>
      <w:r>
        <w:rPr>
          <w:i/>
        </w:rPr>
        <w:t xml:space="preserve">BMJ</w:t>
      </w:r>
      <w:r>
        <w:t xml:space="preserve"> </w:t>
      </w:r>
      <w:r>
        <w:rPr>
          <w:b/>
        </w:rPr>
        <w:t xml:space="preserve">315</w:t>
      </w:r>
      <w:r>
        <w:t xml:space="preserve">, 629–634 (1997).</w:t>
      </w:r>
    </w:p>
    <w:bookmarkEnd w:id="102"/>
    <w:bookmarkStart w:id="103" w:name="ref-pageChapter13Assessing2021"/>
    <w:p>
      <w:pPr>
        <w:pStyle w:val="Literaturverzeichnis"/>
      </w:pPr>
      <w:r>
        <w:t xml:space="preserve">35. Page, M. J., Higgins, J. P. &amp; Sterne, J. A. Chapter 13: Assessing risk of bias due to missing results in a synthesis. in</w:t>
      </w:r>
      <w:r>
        <w:t xml:space="preserve"> </w:t>
      </w:r>
      <w:r>
        <w:rPr>
          <w:i/>
        </w:rPr>
        <w:t xml:space="preserve">Cochrane Handbook for Systematic Reviews of Interventions</w:t>
      </w:r>
      <w:r>
        <w:t xml:space="preserve"> </w:t>
      </w:r>
      <w:r>
        <w:t xml:space="preserve">(eds. Higgins, J. P. et al.) (Cochrane, 2021).</w:t>
      </w:r>
    </w:p>
    <w:bookmarkEnd w:id="103"/>
    <w:bookmarkStart w:id="104" w:name="ref-ioannidisExploratoryTestExcess2007"/>
    <w:p>
      <w:pPr>
        <w:pStyle w:val="Literaturverzeichnis"/>
      </w:pPr>
      <w:r>
        <w:t xml:space="preserve">36. Ioannidis, J. P. &amp; Trikalinos, T. A. An exploratory test for an excess of significant findings.</w:t>
      </w:r>
      <w:r>
        <w:t xml:space="preserve"> </w:t>
      </w:r>
      <w:r>
        <w:rPr>
          <w:i/>
        </w:rPr>
        <w:t xml:space="preserve">Clinical Trials</w:t>
      </w:r>
      <w:r>
        <w:t xml:space="preserve"> </w:t>
      </w:r>
      <w:r>
        <w:rPr>
          <w:b/>
        </w:rPr>
        <w:t xml:space="preserve">4</w:t>
      </w:r>
      <w:r>
        <w:t xml:space="preserve">, 245–253 (2007).</w:t>
      </w:r>
    </w:p>
    <w:bookmarkEnd w:id="104"/>
    <w:bookmarkStart w:id="105" w:name="X06fd504ce36b3f21caca6eb0766200d9b01623a"/>
    <w:p>
      <w:pPr>
        <w:pStyle w:val="Literaturverzeichnis"/>
      </w:pPr>
      <w:r>
        <w:t xml:space="preserve">37. Papadimitriou, N.</w:t>
      </w:r>
      <w:r>
        <w:t xml:space="preserve"> </w:t>
      </w:r>
      <w:r>
        <w:rPr>
          <w:i/>
        </w:rPr>
        <w:t xml:space="preserve">et al.</w:t>
      </w:r>
      <w:r>
        <w:t xml:space="preserve"> </w:t>
      </w:r>
      <w:r>
        <w:t xml:space="preserve">An umbrella review of the evidence associating diet and cancer risk at 11 anatomical sites.</w:t>
      </w:r>
      <w:r>
        <w:t xml:space="preserve"> </w:t>
      </w:r>
      <w:r>
        <w:rPr>
          <w:i/>
        </w:rPr>
        <w:t xml:space="preserve">Nature Communications</w:t>
      </w:r>
      <w:r>
        <w:t xml:space="preserve"> </w:t>
      </w:r>
      <w:r>
        <w:rPr>
          <w:b/>
        </w:rPr>
        <w:t xml:space="preserve">12</w:t>
      </w:r>
      <w:r>
        <w:t xml:space="preserve">, 4579 (2021).</w:t>
      </w:r>
    </w:p>
    <w:bookmarkEnd w:id="105"/>
    <w:bookmarkStart w:id="106" w:name="ref-xieCanTouchscreenDevices2018"/>
    <w:p>
      <w:pPr>
        <w:pStyle w:val="Literaturverzeichnis"/>
      </w:pPr>
      <w:r>
        <w:t xml:space="preserve">38. Xie, H.</w:t>
      </w:r>
      <w:r>
        <w:t xml:space="preserve"> </w:t>
      </w:r>
      <w:r>
        <w:rPr>
          <w:i/>
        </w:rPr>
        <w:t xml:space="preserve">et al.</w:t>
      </w:r>
      <w:r>
        <w:t xml:space="preserve"> </w:t>
      </w:r>
      <w:r>
        <w:t xml:space="preserve">Can Touchscreen Devices be Used to Facilitate Young Children’s Learning? A Meta-Analysis of Touchscreen Learning Effect.</w:t>
      </w:r>
      <w:r>
        <w:t xml:space="preserve"> </w:t>
      </w:r>
      <w:r>
        <w:rPr>
          <w:i/>
        </w:rPr>
        <w:t xml:space="preserve">Frontiers in Psychology</w:t>
      </w:r>
      <w:r>
        <w:t xml:space="preserve"> </w:t>
      </w:r>
      <w:r>
        <w:rPr>
          <w:b/>
        </w:rPr>
        <w:t xml:space="preserve">9</w:t>
      </w:r>
      <w:r>
        <w:t xml:space="preserve">, 2580 (2018).</w:t>
      </w:r>
    </w:p>
    <w:bookmarkEnd w:id="106"/>
    <w:bookmarkStart w:id="107" w:name="X1e43e764f509d799cbc769ff2c7a2cf0d00018a"/>
    <w:p>
      <w:pPr>
        <w:pStyle w:val="Literaturverzeichnis"/>
      </w:pPr>
      <w:r>
        <w:t xml:space="preserve">39. Adelantado-Renau, M.</w:t>
      </w:r>
      <w:r>
        <w:t xml:space="preserve"> </w:t>
      </w:r>
      <w:r>
        <w:rPr>
          <w:i/>
        </w:rPr>
        <w:t xml:space="preserve">et al.</w:t>
      </w:r>
      <w:r>
        <w:t xml:space="preserve"> </w:t>
      </w:r>
      <w:r>
        <w:t xml:space="preserve">Association Between Screen Media Use and Academic Performance Among Children and Adolescents: A Systematic Review and Meta-analysis.</w:t>
      </w:r>
      <w:r>
        <w:t xml:space="preserve"> </w:t>
      </w:r>
      <w:r>
        <w:rPr>
          <w:i/>
        </w:rPr>
        <w:t xml:space="preserve">JAMA Pediatrics</w:t>
      </w:r>
      <w:r>
        <w:t xml:space="preserve"> </w:t>
      </w:r>
      <w:r>
        <w:rPr>
          <w:b/>
        </w:rPr>
        <w:t xml:space="preserve">173</w:t>
      </w:r>
      <w:r>
        <w:t xml:space="preserve">, 1058 (2019).</w:t>
      </w:r>
    </w:p>
    <w:bookmarkEnd w:id="107"/>
    <w:bookmarkStart w:id="108" w:name="ref-madiganAssociationsScreenUse2020"/>
    <w:p>
      <w:pPr>
        <w:pStyle w:val="Literaturverzeichnis"/>
      </w:pPr>
      <w:r>
        <w:t xml:space="preserve">40. Madigan, S., McArthur, B. A., Anhorn, C., Eirich, R. &amp; Christakis, D. A. Associations Between Screen Use and Child Language Skills: A Systematic Review and Meta-analysis.</w:t>
      </w:r>
      <w:r>
        <w:t xml:space="preserve"> </w:t>
      </w:r>
      <w:r>
        <w:rPr>
          <w:i/>
        </w:rPr>
        <w:t xml:space="preserve">JAMA Pediatrics</w:t>
      </w:r>
      <w:r>
        <w:t xml:space="preserve"> </w:t>
      </w:r>
      <w:r>
        <w:rPr>
          <w:b/>
        </w:rPr>
        <w:t xml:space="preserve">174</w:t>
      </w:r>
      <w:r>
        <w:t xml:space="preserve">, 665 (2020).</w:t>
      </w:r>
    </w:p>
    <w:bookmarkEnd w:id="108"/>
    <w:bookmarkStart w:id="109" w:name="Xce1c64a10778ef1313818378dc5846070d5b266"/>
    <w:p>
      <w:pPr>
        <w:pStyle w:val="Literaturverzeichnis"/>
      </w:pPr>
      <w:r>
        <w:t xml:space="preserve">41. Poorolajal, J., Sahraei, F., Mohamdadi, Y., Doosti-Irani, A. &amp; Moradi, L. Behavioral factors influencing childhood obesity: A systematic review and meta-analysis.</w:t>
      </w:r>
      <w:r>
        <w:t xml:space="preserve"> </w:t>
      </w:r>
      <w:r>
        <w:rPr>
          <w:i/>
        </w:rPr>
        <w:t xml:space="preserve">Obesity Research &amp; Clinical Practice</w:t>
      </w:r>
      <w:r>
        <w:t xml:space="preserve"> </w:t>
      </w:r>
      <w:r>
        <w:rPr>
          <w:b/>
        </w:rPr>
        <w:t xml:space="preserve">14</w:t>
      </w:r>
      <w:r>
        <w:t xml:space="preserve">, 109–118 (2020).</w:t>
      </w:r>
    </w:p>
    <w:bookmarkEnd w:id="109"/>
    <w:bookmarkStart w:id="110" w:name="ref-byunDigitalGamebasedLearning2018"/>
    <w:p>
      <w:pPr>
        <w:pStyle w:val="Literaturverzeichnis"/>
      </w:pPr>
      <w:r>
        <w:t xml:space="preserve">42. Byun, J. &amp; Joung, E. Digital game-based learning for K-12 mathematics education: A meta-analysis.</w:t>
      </w:r>
      <w:r>
        <w:t xml:space="preserve"> </w:t>
      </w:r>
      <w:r>
        <w:rPr>
          <w:i/>
        </w:rPr>
        <w:t xml:space="preserve">School Science and Mathematics</w:t>
      </w:r>
      <w:r>
        <w:t xml:space="preserve"> </w:t>
      </w:r>
      <w:r>
        <w:rPr>
          <w:b/>
        </w:rPr>
        <w:t xml:space="preserve">118</w:t>
      </w:r>
      <w:r>
        <w:t xml:space="preserve">, 113–126 (2018).</w:t>
      </w:r>
    </w:p>
    <w:bookmarkEnd w:id="110"/>
    <w:bookmarkStart w:id="111" w:name="ref-vannucciSocialMediaUse2020"/>
    <w:p>
      <w:pPr>
        <w:pStyle w:val="Literaturverzeichnis"/>
      </w:pPr>
      <w:r>
        <w:t xml:space="preserve">43. Vannucci, A., Simpson, E. G., Gagnon, S. &amp; Ohannessian, C. M. Social media use and risky behaviors in adolescents: A meta-analysis.</w:t>
      </w:r>
      <w:r>
        <w:t xml:space="preserve"> </w:t>
      </w:r>
      <w:r>
        <w:rPr>
          <w:i/>
        </w:rPr>
        <w:t xml:space="preserve">Journal of Adolescence</w:t>
      </w:r>
      <w:r>
        <w:t xml:space="preserve"> </w:t>
      </w:r>
      <w:r>
        <w:rPr>
          <w:b/>
        </w:rPr>
        <w:t xml:space="preserve">79</w:t>
      </w:r>
      <w:r>
        <w:t xml:space="preserve">, 258–274 (2020).</w:t>
      </w:r>
    </w:p>
    <w:bookmarkEnd w:id="111"/>
    <w:bookmarkStart w:id="112" w:name="ref-yoonSocialNetworkSite2019"/>
    <w:p>
      <w:pPr>
        <w:pStyle w:val="Literaturverzeichnis"/>
      </w:pPr>
      <w:r>
        <w:t xml:space="preserve">44. Yoon, S., Kleinman, M., Mertz, J. &amp; Brannick, M. Is social network site usage related to depression? A meta-analysis of FacebookDepression relations.</w:t>
      </w:r>
      <w:r>
        <w:t xml:space="preserve"> </w:t>
      </w:r>
      <w:r>
        <w:rPr>
          <w:i/>
        </w:rPr>
        <w:t xml:space="preserve">Journal of Affective Disorders</w:t>
      </w:r>
      <w:r>
        <w:t xml:space="preserve"> </w:t>
      </w:r>
      <w:r>
        <w:rPr>
          <w:b/>
        </w:rPr>
        <w:t xml:space="preserve">248</w:t>
      </w:r>
      <w:r>
        <w:t xml:space="preserve">, 65–72 (2019).</w:t>
      </w:r>
    </w:p>
    <w:bookmarkEnd w:id="112"/>
    <w:bookmarkStart w:id="113" w:name="Xc12e5d5521f7a25e16cff58ff2c30aef0895324"/>
    <w:p>
      <w:pPr>
        <w:pStyle w:val="Literaturverzeichnis"/>
      </w:pPr>
      <w:r>
        <w:t xml:space="preserve">45. Vahedi, Z. &amp; Zannella, L. The association between self-reported depressive symptoms and the use of social networking sites (SNS): A meta-analysis.</w:t>
      </w:r>
      <w:r>
        <w:t xml:space="preserve"> </w:t>
      </w:r>
      <w:r>
        <w:rPr>
          <w:i/>
        </w:rPr>
        <w:t xml:space="preserve">Current Psychology</w:t>
      </w:r>
      <w:r>
        <w:t xml:space="preserve"> </w:t>
      </w:r>
      <w:r>
        <w:rPr>
          <w:b/>
        </w:rPr>
        <w:t xml:space="preserve">40</w:t>
      </w:r>
      <w:r>
        <w:t xml:space="preserve">, 2174–2189 (2021).</w:t>
      </w:r>
    </w:p>
    <w:bookmarkEnd w:id="113"/>
    <w:bookmarkStart w:id="114" w:name="Xfbc0d9c794c9e3bb65b04d2410fb282387d3d70"/>
    <w:p>
      <w:pPr>
        <w:pStyle w:val="Literaturverzeichnis"/>
      </w:pPr>
      <w:r>
        <w:t xml:space="preserve">46. Seetharaman, G. W., Jeff Horwitz and Deepa. Facebook Knows Instagram Is Toxic for Teen Girls, Company Documents Show.</w:t>
      </w:r>
      <w:r>
        <w:t xml:space="preserve"> </w:t>
      </w:r>
      <w:r>
        <w:rPr>
          <w:i/>
        </w:rPr>
        <w:t xml:space="preserve">Wall Street Journal</w:t>
      </w:r>
      <w:r>
        <w:t xml:space="preserve"> </w:t>
      </w:r>
      <w:r>
        <w:t xml:space="preserve">(2021).</w:t>
      </w:r>
    </w:p>
    <w:bookmarkEnd w:id="114"/>
    <w:bookmarkStart w:id="115" w:name="X36eecd0cd843cd0d874b53a91717f080998bcbf"/>
    <w:p>
      <w:pPr>
        <w:pStyle w:val="Literaturverzeichnis"/>
      </w:pPr>
      <w:r>
        <w:t xml:space="preserve">47. Tekedere, H. &amp; Göke, H. Examining the Effectiveness of Augmented Reality Applications in Education: A Meta-Analysis.</w:t>
      </w:r>
      <w:r>
        <w:t xml:space="preserve"> </w:t>
      </w:r>
      <w:r>
        <w:rPr>
          <w:i/>
        </w:rPr>
        <w:t xml:space="preserve">International Journal of Environmental and Science Education</w:t>
      </w:r>
      <w:r>
        <w:t xml:space="preserve"> </w:t>
      </w:r>
      <w:r>
        <w:rPr>
          <w:b/>
        </w:rPr>
        <w:t xml:space="preserve">11</w:t>
      </w:r>
      <w:r>
        <w:t xml:space="preserve">, 9469–9481 (2016).</w:t>
      </w:r>
    </w:p>
    <w:bookmarkEnd w:id="115"/>
    <w:bookmarkStart w:id="116" w:name="ref-sadeghiradInfluenceUnhealthyFood2016"/>
    <w:p>
      <w:pPr>
        <w:pStyle w:val="Literaturverzeichnis"/>
      </w:pPr>
      <w:r>
        <w:t xml:space="preserve">48. Sadeghirad, B., Duhaney, T., Motaghipisheh, S., Campbell, N. R. C. &amp; Johnston, B. C. Influence of unhealthy food and beverage marketing on children’s dietary intake and preference: A systematic review and meta-analysis of randomized trials.</w:t>
      </w:r>
      <w:r>
        <w:t xml:space="preserve"> </w:t>
      </w:r>
      <w:r>
        <w:rPr>
          <w:i/>
        </w:rPr>
        <w:t xml:space="preserve">Obesity Reviews</w:t>
      </w:r>
      <w:r>
        <w:t xml:space="preserve"> </w:t>
      </w:r>
      <w:r>
        <w:rPr>
          <w:b/>
        </w:rPr>
        <w:t xml:space="preserve">17</w:t>
      </w:r>
      <w:r>
        <w:t xml:space="preserve">, 945–959 (2016).</w:t>
      </w:r>
    </w:p>
    <w:bookmarkEnd w:id="116"/>
    <w:bookmarkStart w:id="117" w:name="ref-marshallRelationshipsMediaUse2004"/>
    <w:p>
      <w:pPr>
        <w:pStyle w:val="Literaturverzeichnis"/>
      </w:pPr>
      <w:r>
        <w:t xml:space="preserve">49. Marshall, S. J., Biddle, S. J. H., Gorely, T., Cameron, N. &amp; Murdey, I. Relationships between media use, body fatness and physical activity in children and youth: A meta-analysis.</w:t>
      </w:r>
      <w:r>
        <w:t xml:space="preserve"> </w:t>
      </w:r>
      <w:r>
        <w:rPr>
          <w:i/>
        </w:rPr>
        <w:t xml:space="preserve">International Journal of Obesity</w:t>
      </w:r>
      <w:r>
        <w:t xml:space="preserve"> </w:t>
      </w:r>
      <w:r>
        <w:rPr>
          <w:b/>
        </w:rPr>
        <w:t xml:space="preserve">28</w:t>
      </w:r>
      <w:r>
        <w:t xml:space="preserve">, 1238–1246 (2004).</w:t>
      </w:r>
    </w:p>
    <w:bookmarkEnd w:id="117"/>
    <w:bookmarkStart w:id="118" w:name="ref-elsonPolicyStatementsMedia2019"/>
    <w:p>
      <w:pPr>
        <w:pStyle w:val="Literaturverzeichnis"/>
      </w:pPr>
      <w:r>
        <w:t xml:space="preserve">50. Elson, M.</w:t>
      </w:r>
      <w:r>
        <w:t xml:space="preserve"> </w:t>
      </w:r>
      <w:r>
        <w:rPr>
          <w:i/>
        </w:rPr>
        <w:t xml:space="preserve">et al.</w:t>
      </w:r>
      <w:r>
        <w:t xml:space="preserve"> </w:t>
      </w:r>
      <w:r>
        <w:t xml:space="preserve">Do policy statements on media effects faithfully represent the science?</w:t>
      </w:r>
      <w:r>
        <w:t xml:space="preserve"> </w:t>
      </w:r>
      <w:r>
        <w:rPr>
          <w:i/>
        </w:rPr>
        <w:t xml:space="preserve">Advances in Methods and Practices in Psychological Science</w:t>
      </w:r>
      <w:r>
        <w:t xml:space="preserve"> </w:t>
      </w:r>
      <w:r>
        <w:rPr>
          <w:b/>
        </w:rPr>
        <w:t xml:space="preserve">2</w:t>
      </w:r>
      <w:r>
        <w:t xml:space="preserve">, 12–25 (2019).</w:t>
      </w:r>
    </w:p>
    <w:bookmarkEnd w:id="118"/>
    <w:bookmarkStart w:id="119" w:name="ref-ashtonScreenTimeChildren2019"/>
    <w:p>
      <w:pPr>
        <w:pStyle w:val="Literaturverzeichnis"/>
      </w:pPr>
      <w:r>
        <w:t xml:space="preserve">51. Ashton, J. J. &amp; Beattie, R. M. Screen time in children and adolescents: Is there evidence to guide parents and policy?</w:t>
      </w:r>
      <w:r>
        <w:t xml:space="preserve"> </w:t>
      </w:r>
      <w:r>
        <w:rPr>
          <w:i/>
        </w:rPr>
        <w:t xml:space="preserve">The Lancet Child &amp; Adolescent Health</w:t>
      </w:r>
      <w:r>
        <w:t xml:space="preserve"> </w:t>
      </w:r>
      <w:r>
        <w:rPr>
          <w:b/>
        </w:rPr>
        <w:t xml:space="preserve">3</w:t>
      </w:r>
      <w:r>
        <w:t xml:space="preserve">, 292–294 (2019).</w:t>
      </w:r>
    </w:p>
    <w:bookmarkEnd w:id="119"/>
    <w:bookmarkStart w:id="120" w:name="Xa7779c494ab5882c81b02dfe0cfa23203039787"/>
    <w:p>
      <w:pPr>
        <w:pStyle w:val="Literaturverzeichnis"/>
      </w:pPr>
      <w:r>
        <w:t xml:space="preserve">52. Royal College of Paediatrics and Child Health.</w:t>
      </w:r>
      <w:r>
        <w:t xml:space="preserve"> </w:t>
      </w:r>
      <w:r>
        <w:rPr>
          <w:i/>
        </w:rPr>
        <w:t xml:space="preserve">The health impacts of screen time: A guide for clinicians and parents.</w:t>
      </w:r>
      <w:r>
        <w:t xml:space="preserve"> </w:t>
      </w:r>
      <w:r>
        <w:t xml:space="preserve">(2019).</w:t>
      </w:r>
    </w:p>
    <w:bookmarkEnd w:id="120"/>
    <w:bookmarkStart w:id="121" w:name="X1622a13c71fefd4fa62b8aed2044e1aca625882"/>
    <w:p>
      <w:pPr>
        <w:pStyle w:val="Literaturverzeichnis"/>
      </w:pPr>
      <w:r>
        <w:t xml:space="preserve">53. Parry, D. A.</w:t>
      </w:r>
      <w:r>
        <w:t xml:space="preserve"> </w:t>
      </w:r>
      <w:r>
        <w:rPr>
          <w:i/>
        </w:rPr>
        <w:t xml:space="preserve">et al.</w:t>
      </w:r>
      <w:r>
        <w:t xml:space="preserve"> </w:t>
      </w:r>
      <w:r>
        <w:t xml:space="preserve">A systematic review and meta-analysis of discrepancies between logged and self-reported digital media use.</w:t>
      </w:r>
      <w:r>
        <w:t xml:space="preserve"> </w:t>
      </w:r>
      <w:r>
        <w:rPr>
          <w:i/>
        </w:rPr>
        <w:t xml:space="preserve">Nature Human Behaviour</w:t>
      </w:r>
      <w:r>
        <w:t xml:space="preserve"> </w:t>
      </w:r>
      <w:r>
        <w:rPr>
          <w:b/>
        </w:rPr>
        <w:t xml:space="preserve">5</w:t>
      </w:r>
      <w:r>
        <w:t xml:space="preserve">, 1535–1547 (2021).</w:t>
      </w:r>
    </w:p>
    <w:bookmarkEnd w:id="121"/>
    <w:bookmarkStart w:id="122" w:name="ref-byrneMeasurementScreenTime2021"/>
    <w:p>
      <w:pPr>
        <w:pStyle w:val="Literaturverzeichnis"/>
      </w:pPr>
      <w:r>
        <w:t xml:space="preserve">54. Byrne, R., Terranova, C. O. &amp; Trost, S. G. Measurement of screen time among young children aged 0 years: A systematic review.</w:t>
      </w:r>
      <w:r>
        <w:t xml:space="preserve"> </w:t>
      </w:r>
      <w:r>
        <w:rPr>
          <w:i/>
        </w:rPr>
        <w:t xml:space="preserve">Obesity Reviews</w:t>
      </w:r>
      <w:r>
        <w:t xml:space="preserve"> </w:t>
      </w:r>
      <w:r>
        <w:rPr>
          <w:b/>
        </w:rPr>
        <w:t xml:space="preserve">22</w:t>
      </w:r>
      <w:r>
        <w:t xml:space="preserve">, (2021).</w:t>
      </w:r>
    </w:p>
    <w:bookmarkEnd w:id="122"/>
    <w:bookmarkStart w:id="123" w:name="ref-smithFeasibilityAutomatedCameras2019"/>
    <w:p>
      <w:pPr>
        <w:pStyle w:val="Literaturverzeichnis"/>
      </w:pPr>
      <w:r>
        <w:t xml:space="preserve">55. Smith, C., Galland, B. C., de Bruin, W. E. &amp; Taylor, R. W. Feasibility of automated cameras to measure screen use in adolescents.</w:t>
      </w:r>
      <w:r>
        <w:t xml:space="preserve"> </w:t>
      </w:r>
      <w:r>
        <w:rPr>
          <w:i/>
        </w:rPr>
        <w:t xml:space="preserve">American journal of preventive medicine</w:t>
      </w:r>
      <w:r>
        <w:t xml:space="preserve"> </w:t>
      </w:r>
      <w:r>
        <w:rPr>
          <w:b/>
        </w:rPr>
        <w:t xml:space="preserve">57</w:t>
      </w:r>
      <w:r>
        <w:t xml:space="preserve">, 417–424 (2019).</w:t>
      </w:r>
    </w:p>
    <w:bookmarkEnd w:id="123"/>
    <w:bookmarkStart w:id="124" w:name="ref-rydingPassiveObjectiveMeasures2020"/>
    <w:p>
      <w:pPr>
        <w:pStyle w:val="Literaturverzeichnis"/>
      </w:pPr>
      <w:r>
        <w:t xml:space="preserve">56. Ryding, F. C. &amp; Kuss, D. J. Passive objective measures in the assessment of problematic smartphone use: A systematic review.</w:t>
      </w:r>
      <w:r>
        <w:t xml:space="preserve"> </w:t>
      </w:r>
      <w:r>
        <w:rPr>
          <w:i/>
        </w:rPr>
        <w:t xml:space="preserve">Addictive Behaviors Reports</w:t>
      </w:r>
      <w:r>
        <w:t xml:space="preserve"> </w:t>
      </w:r>
      <w:r>
        <w:rPr>
          <w:b/>
        </w:rPr>
        <w:t xml:space="preserve">11</w:t>
      </w:r>
      <w:r>
        <w:t xml:space="preserve">, 100257 (2020).</w:t>
      </w:r>
    </w:p>
    <w:bookmarkEnd w:id="124"/>
    <w:bookmarkStart w:id="125" w:name="X273798adfea2fce3f1845a8e1bd699c817aaf5b"/>
    <w:p>
      <w:pPr>
        <w:pStyle w:val="Literaturverzeichnis"/>
      </w:pPr>
      <w:r>
        <w:t xml:space="preserve">57. Guyatt, G.</w:t>
      </w:r>
      <w:r>
        <w:t xml:space="preserve"> </w:t>
      </w:r>
      <w:r>
        <w:rPr>
          <w:i/>
        </w:rPr>
        <w:t xml:space="preserve">et al.</w:t>
      </w:r>
      <w:r>
        <w:t xml:space="preserve"> </w:t>
      </w:r>
      <w:r>
        <w:t xml:space="preserve">GRADE guidelines: 1. IntroductionGRADE evidence profiles and summary of findings tables.</w:t>
      </w:r>
      <w:r>
        <w:t xml:space="preserve"> </w:t>
      </w:r>
      <w:r>
        <w:rPr>
          <w:i/>
        </w:rPr>
        <w:t xml:space="preserve">Journal of Clinical Epidemiology</w:t>
      </w:r>
      <w:r>
        <w:t xml:space="preserve"> </w:t>
      </w:r>
      <w:r>
        <w:rPr>
          <w:b/>
        </w:rPr>
        <w:t xml:space="preserve">64</w:t>
      </w:r>
      <w:r>
        <w:t xml:space="preserve">, 383–394 (2011).</w:t>
      </w:r>
    </w:p>
    <w:bookmarkEnd w:id="125"/>
    <w:bookmarkStart w:id="126" w:name="ref-twengeMoreTimeTechnology2019"/>
    <w:p>
      <w:pPr>
        <w:pStyle w:val="Literaturverzeichnis"/>
      </w:pPr>
      <w:r>
        <w:t xml:space="preserve">58. Twenge, J. M. More Time on Technology, Less Happiness? Associations Between Digital-Media Use and Psychological Well-Being.</w:t>
      </w:r>
      <w:r>
        <w:t xml:space="preserve"> </w:t>
      </w:r>
      <w:r>
        <w:rPr>
          <w:i/>
        </w:rPr>
        <w:t xml:space="preserve">Current Directions in Psychological Science</w:t>
      </w:r>
      <w:r>
        <w:t xml:space="preserve"> </w:t>
      </w:r>
      <w:r>
        <w:rPr>
          <w:b/>
        </w:rPr>
        <w:t xml:space="preserve">28</w:t>
      </w:r>
      <w:r>
        <w:t xml:space="preserve">, 372–379 (2019).</w:t>
      </w:r>
    </w:p>
    <w:bookmarkEnd w:id="126"/>
    <w:bookmarkStart w:id="127" w:name="ref-kellySocialMediaUse2018"/>
    <w:p>
      <w:pPr>
        <w:pStyle w:val="Literaturverzeichnis"/>
      </w:pPr>
      <w:r>
        <w:t xml:space="preserve">59. Kelly, Y., Zilanawala, A., Booker, C. &amp; Sacker, A. Social Media Use and Adolescent Mental Health: Findings From the UK Millennium Cohort Study.</w:t>
      </w:r>
      <w:r>
        <w:t xml:space="preserve"> </w:t>
      </w:r>
      <w:r>
        <w:rPr>
          <w:i/>
        </w:rPr>
        <w:t xml:space="preserve">EClinicalMedicine</w:t>
      </w:r>
      <w:r>
        <w:t xml:space="preserve"> </w:t>
      </w:r>
      <w:r>
        <w:rPr>
          <w:b/>
        </w:rPr>
        <w:t xml:space="preserve">6</w:t>
      </w:r>
      <w:r>
        <w:t xml:space="preserve">, 59–68 (2018).</w:t>
      </w:r>
    </w:p>
    <w:bookmarkEnd w:id="127"/>
    <w:bookmarkEnd w:id="12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8" Target="media/rId48.pdf" /><Relationship Type="http://schemas.openxmlformats.org/officeDocument/2006/relationships/image" Id="rId52" Target="media/rId52.png" /><Relationship Type="http://schemas.openxmlformats.org/officeDocument/2006/relationships/image" Id="rId54" Target="media/rId54.pdf" /><Relationship Type="http://schemas.openxmlformats.org/officeDocument/2006/relationships/hyperlink" Id="rId93"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2023-03-12T10:10:54Z</dcterms:created>
  <dcterms:modified xsi:type="dcterms:W3CDTF">2023-03-12T10:10:54Z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/home/taren/Github/screen_umbrella/reports/nature.csl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papaja::apa6_pdf</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5406</vt:lpwstr>
  </property>
</Properties>
</file>