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 Draft</w:t>
      </w:r>
    </w:p>
    <w:p>
      <w:pPr>
        <w:pStyle w:val="Author"/>
      </w:pPr>
      <w:r>
        <w:t xml:space="preserve">Report Author</w:t>
      </w:r>
    </w:p>
    <w:p>
      <w:pPr>
        <w:pStyle w:val="Date"/>
      </w:pPr>
      <w:r>
        <w:t xml:space="preserve">06 December, 2024</w:t>
      </w:r>
    </w:p>
    <w:bookmarkStart w:id="20" w:name="result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Results</w:t>
      </w:r>
    </w:p>
    <w:p>
      <w:pPr>
        <w:pStyle w:val="FirstParagraph"/>
      </w:pPr>
      <w:r>
        <w:t xml:space="preserve">We excluded 242 data points from 49 participants with a reported health condition at the Checkpoint data collection point.</w:t>
      </w:r>
      <w:r>
        <w:t xml:space="preserve"> </w:t>
      </w:r>
      <w:r>
        <w:t xml:space="preserve">Table</w:t>
      </w:r>
      <w:r>
        <w:t xml:space="preserve"> </w:t>
      </w:r>
      <w:r>
        <w:t xml:space="preserve">2.1</w:t>
      </w:r>
      <w:r>
        <w:t xml:space="preserve"> </w:t>
      </w:r>
      <w:r>
        <w:t xml:space="preserve">provides an overview of the demographic, anthropometric, and cardio-metabolic characteristics of the remaining 1,825 participants.</w:t>
      </w:r>
      <w:r>
        <w:t xml:space="preserve"> </w:t>
      </w:r>
      <w:r>
        <w:t xml:space="preserve">The cohort was evenly distributed by sex, with 49% females across all wave points.</w:t>
      </w:r>
      <w:r>
        <w:t xml:space="preserve"> </w:t>
      </w:r>
      <w:r>
        <w:t xml:space="preserve">Majority of participants were non-Indigenous (98%), which is representative of the population.</w:t>
      </w:r>
      <w:r>
        <w:t xml:space="preserve"> </w:t>
      </w:r>
      <w:r>
        <w:t xml:space="preserve">The participant cohort was predominantly in early to mid-puberty, with the majority classified as Tanner stages 2 38% and 3 29%.</w:t>
      </w:r>
      <w:r>
        <w:t xml:space="preserve"> </w:t>
      </w:r>
      <w:r>
        <w:t xml:space="preserve">The LSAC is designed to be representative of the Australian population, and therefore the standardized socioeconomic status indicator is expected to have a mean of 0 (standard deviation = 1).</w:t>
      </w:r>
      <w:r>
        <w:t xml:space="preserve"> </w:t>
      </w:r>
      <w:r>
        <w:t xml:space="preserve">Participants included in the Checkpoint data were on average from slightly higher socioeconomic families than the entire LSAC dataset (Wave 3 mean 0.27; SD = 0.95).</w:t>
      </w:r>
      <w:r>
        <w:t xml:space="preserve"> </w:t>
      </w:r>
      <w:r>
        <w:t xml:space="preserve">Participants average total screen time increased steadily across the study period, from a mean of 133 minutes per week (SD = 77) to 196 minutes per week (SD = 92) in Wave 6.</w:t>
      </w:r>
    </w:p>
    <w:p>
      <w:pPr>
        <w:pStyle w:val="BodyText"/>
      </w:pPr>
      <w:r>
        <w:t xml:space="preserve">We fit latent growth curve models to estimate trajectories of screen time over time, and to examine if these trajectories were associated with health outcomes.</w:t>
      </w:r>
      <w:r>
        <w:t xml:space="preserve"> </w:t>
      </w:r>
      <w:r>
        <w:t xml:space="preserve">The model fit was considered acceptable, with comparative fit indices ranging from 0.90 to 0.97, and root mean square error of approximation ranging from 0.03 to 0.05.</w:t>
      </w:r>
      <w:r>
        <w:t xml:space="preserve"> </w:t>
      </w:r>
      <w:r>
        <w:t xml:space="preserve">There was a negative and statistically significant covariance between the initial screen time intercept and the screen time slope (correlation = -0.03; p = -0.032), suggesting that children with high levels of inital screen time tend to have slower rates of increase than those with low initial levels.</w:t>
      </w:r>
    </w:p>
    <w:p>
      <w:pPr>
        <w:pStyle w:val="BodyText"/>
      </w:pPr>
      <w:r>
        <w:t xml:space="preserve">The results for the association between screen time trajectories and health outcomes are presented in Table @ref(tab:outcomes_table) (full results are available in supplementary materials).</w:t>
      </w:r>
      <w:r>
        <w:t xml:space="preserve"> </w:t>
      </w:r>
      <w:r>
        <w:t xml:space="preserve">After adjusting for movement behaviours, we found no evidence of associations between screen time trajectories and total cardio-metabolic risk score, ApoB/ApoA1 ratio, glycoprotein acetyls, phospholips, triglycerides, glucose, measurse of cholesterol, and measures of blood pressure.</w:t>
      </w:r>
      <w:r>
        <w:t xml:space="preserve"> </w:t>
      </w:r>
      <w:r>
        <w:t xml:space="preserve">We did, however, find evidence that children’s inital screen time (i.e., trajectory intercept) was associated with lower levels of cardiorespiratory fitness (unadjusted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= -3.21; 95%CI, -4.38–2.04), higher waist circumference (unadjusted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= 1.18; 95%CI, 0.40-1.96), waist-to-height ratio (unadjusted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= 0.01; 95%CI, 0.01-0.02), body mass index (z-score; unadjusted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= 0.16; 95%CI, 0.06-0.26), and body fat percentage (unadjusted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= 2.04; 95%CI, 1.19-2.88).</w:t>
      </w:r>
      <w:r>
        <w:t xml:space="preserve"> </w:t>
      </w:r>
      <w:r>
        <w:t xml:space="preserve">Contrary to our hypothesis, these results were not attenuated after adjusting for movement behaviours.</w:t>
      </w:r>
      <w:r>
        <w:t xml:space="preserve"> </w:t>
      </w:r>
      <w:r>
        <w:t xml:space="preserve">There was additionally weak evidence for an association between initial screen time and measures of systolic (z-score; unadjusted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= 0.08; 95%CI, 0.01-0.16) and diastolic (z-score; unadjusted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= 0.08; 95%CI, 0.02-0.13) blood pressure, which were attenuated after adjusting for movement behaviours.</w:t>
      </w:r>
    </w:p>
    <w:p>
      <w:pPr>
        <w:pStyle w:val="BodyText"/>
      </w:pPr>
      <w:r>
        <w:t xml:space="preserve">There was some evidence to suggest that the rate of change in screen time (i.e., trajectory slope) was associated with higher waist circumference (unadjusted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= 3.20; 95%CI, 0.51-5.88), waist-to-height ratio (unadjusted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= 0.02; 95%CI, 0.00-0.03), and lower pulse pressure amplification (unadjusted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= -0.11; 95%CI, -0.22-0.00).</w:t>
      </w:r>
      <w:r>
        <w:t xml:space="preserve"> </w:t>
      </w:r>
      <w:r>
        <w:t xml:space="preserve">However, these associations were all attenuated after adjusting for movement behaviours.</w:t>
      </w:r>
    </w:p>
    <w:p>
      <w:r>
        <w:br w:type="page"/>
      </w:r>
    </w:p>
    <w:bookmarkEnd w:id="20"/>
    <w:bookmarkStart w:id="22" w:name="tabl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TableCaption"/>
      </w:pPr>
      <w:bookmarkStart w:id="21" w:name="tab:table1"/>
      <w:bookmarkEnd w:id="21"/>
      <w:r>
        <w:t xml:space="preserve">Table 2.1:</w:t>
      </w:r>
      <w:r>
        <w:t xml:space="preserve"> </w:t>
      </w:r>
      <w:r>
        <w:t xml:space="preserve">**Table 1. Descriptive statistics of the LSAC Checkpoint cohort.**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Wave Point</w:t>
            </w:r>
          </w:p>
        </w:tc>
      </w:tr>
      <w:tr>
        <w:trPr>
          <w:trHeight w:val="8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Wave 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1,790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Wave 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1,793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Wave 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Wave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1,825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Checkpoint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1,825</w:t>
            </w:r>
          </w:p>
        </w:tc>
      </w:tr>
      <w:tr>
        <w:trPr>
          <w:trHeight w:val="62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(Years), Mean (SD)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 (0.22)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 (0.29)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8.91 (0.30)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10.91 (0.33)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 (0.40)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/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 / 1,790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/ 1,793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 / 1,800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 / 1,825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 / 1,825 (51%)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/ 1,790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/ 1,793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 / 1,800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 / 1,825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 / 1,825 (49%)</w:t>
            </w:r>
          </w:p>
        </w:tc>
      </w:tr>
      <w:tr>
        <w:trPr>
          <w:trHeight w:val="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Indigenous Status, n /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/ 1,790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/ 1,793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/ 1,800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/ 1,825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Socioeconomic Status,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Aggregated Screen Time (min/day),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(min/day),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(34)</w:t>
            </w:r>
          </w:p>
        </w:tc>
      </w:tr>
      <w:tr>
        <w:trPr>
          <w:trHeight w:val="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 (min/day),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(81)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Diet, n /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 Not Meet Guidelines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1,591 / 1,787 (89%)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Meets Guidelines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/ 1,787 (11%)</w:t>
            </w:r>
          </w:p>
        </w:tc>
      </w:tr>
      <w:tr>
        <w:trPr>
          <w:trHeight w:val="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Maturity, n /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Tanner1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/ 1,704 (19%)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Tanner2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/ 1,704 (38%)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Tanner3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/ 1,704 (29%)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Tanner4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/ 1,704 (12%)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Tanner5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/ 1,704 (2.3%)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 Max,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Circumference (cm),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(8)</w:t>
            </w:r>
          </w:p>
        </w:tc>
      </w:tr>
      <w:tr>
        <w:trPr>
          <w:trHeight w:val="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Waist-to-Height Ratio,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(0.05)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Z-Score,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(0.99)</w:t>
            </w:r>
          </w:p>
        </w:tc>
      </w:tr>
      <w:tr>
        <w:trPr>
          <w:trHeight w:val="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Fat (%),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(8)</w:t>
            </w:r>
          </w:p>
        </w:tc>
      </w:tr>
      <w:tr>
        <w:trPr>
          <w:trHeight w:val="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(8)</w:t>
            </w:r>
          </w:p>
        </w:tc>
      </w:tr>
      <w:tr>
        <w:trPr>
          <w:trHeight w:val="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 (5.7)</w:t>
            </w:r>
          </w:p>
        </w:tc>
      </w:tr>
      <w:tr>
        <w:trPr>
          <w:trHeight w:val="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Time (hours),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 (1.10)</w:t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 (mmol/L),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 (0.47)</w:t>
            </w:r>
          </w:p>
        </w:tc>
      </w:tr>
      <w:tr>
        <w:trPr>
          <w:trHeight w:val="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(mmol/L),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(0.50)</w:t>
            </w:r>
          </w:p>
        </w:tc>
      </w:tr>
      <w:tr>
        <w:trPr>
          <w:trHeight w:val="62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(mmol/L),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 (0.65)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Cholesterol:HDL Ratio,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(0.27)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 (mmol/L),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(0.26)</w:t>
            </w:r>
          </w:p>
        </w:tc>
      </w:tr>
      <w:tr>
        <w:trPr>
          <w:trHeight w:val="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Phospholipids (mmol/L),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(0.12)</w:t>
            </w:r>
          </w:p>
        </w:tc>
      </w:tr>
      <w:tr>
        <w:trPr>
          <w:trHeight w:val="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Apolipoprotein A1 (g/L),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(0.12)</w:t>
            </w:r>
          </w:p>
        </w:tc>
      </w:tr>
      <w:tr>
        <w:trPr>
          <w:trHeight w:val="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Apolipoprotein B (g/L),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(0.10)</w:t>
            </w:r>
          </w:p>
        </w:tc>
      </w:tr>
      <w:tr>
        <w:trPr>
          <w:trHeight w:val="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ApoB:ApoA1 Ratio,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(0.08)</w:t>
            </w:r>
          </w:p>
        </w:tc>
      </w:tr>
      <w:tr>
        <w:trPr>
          <w:trHeight w:val="622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Glycoprotein (mmol/L), Mean (SD)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(0.11)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(#tab:outcomes_table)</w:t>
      </w:r>
      <w:r>
        <w:t xml:space="preserve">Table 2. Unadjusted and adjusted associations between screen time and health outcomes.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</w:p>
        </w:tc>
      </w:tr>
      <w:tr>
        <w:trPr>
          <w:trHeight w:val="619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Cardio-metabolic Risk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(-0.07 to 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(-0.09 to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(-0.17 to 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(-0.23 to 0.61)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(-0.15 to -0.03)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(-0.07 to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ApoB/ApoA1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(-0.01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(-0.02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(-0.03 to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(-0.05 to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(-0.02 to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Glycoprotein Acetyls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(-0.01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(-0.02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(-0.04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(-0.06 to 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(-0.03 to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(-0.01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Phospholipids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(-0.03 to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(-0.02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(-0.11 to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(-0.13 to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(0.01 to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(-0.02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Cardiorespiratory Fitness (VO2 Max)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 (-4.4 to -2.0)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 (-4.2 to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 (-7.3 to 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 (-8.9 to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(2.5 to 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(-0.52 to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57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(0.40 to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(0.36 to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(0.51 to 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(-2.1 to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61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 (-2.1 to -0.94)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 (-0.87 to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61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Waist-to-Height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(0.01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(0.01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(0.00 to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(-0.01 to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61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(-0.01 to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(-0.01 to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(z-score)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(0.06 to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(0.07 to 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(-0.04 to 0.64)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(-0.35 to 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 (-0.25 to -0.10)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(-0.14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1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Fat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(1.2 to 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(1.3 to 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(-0.47 to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(-3.0 to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 (-3.1 to -1.8)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(-1.1 to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Ampification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(-0.46 to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(-0.47 to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62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(-0.91 to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(-1.1 to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61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(0.03 to 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2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(-0.23 to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Pulse Pressure Amplification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(-0.05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(-0.05 to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62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(-0.22 to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(-0.25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619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(0.00 to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622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(-0.01 to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622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Sysolic Blood Pressure (z-score)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(0.01 to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(-0.02 to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2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(-0.04 to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(-0.22 to 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61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(-0.06 to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62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(-0.04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Diastolic Blood Pressure (z-score)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(0.02 to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(-0.01 to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(-0.03 to 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(-0.18 to 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61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(-0.09 to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(-0.03 to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619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Triglycerides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(-0.07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(-0.10 to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622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(-0.09 to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(-0.15 to 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619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(-0.12 to -0.03)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22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(-0.07 to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trHeight w:val="579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(-0.13 to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(-0.14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622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(-0.41 to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(-0.61 to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61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(-0.11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22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(-0.05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57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HDL 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(-0.06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(-0.04 to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622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(-0.20 to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(-0.25 to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(0.02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2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(-0.03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5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Non-HDL 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(-0.05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(-0.06 to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622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(-0.14 to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(-0.22 to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619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(-0.07 to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22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(-0.01 to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579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(-0.11 to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(-0.11 to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622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Time Trajectory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(-0.21 to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(-0.21 to 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61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Moderate-to-Vigorous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(-0.02 to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622" w:hRule="auto"/>
        </w:trPr>
        body90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Sedentary Time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(-0.04 to 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Draft</dc:title>
  <dc:creator>Report Author</dc:creator>
  <cp:keywords/>
  <dcterms:created xsi:type="dcterms:W3CDTF">2024-12-06T12:26:42Z</dcterms:created>
  <dcterms:modified xsi:type="dcterms:W3CDTF">2024-12-06T12:26:42Z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 December, 2024</vt:lpwstr>
  </property>
  <property fmtid="{D5CDD505-2E9C-101B-9397-08002B2CF9AE}" pid="3" name="output">
    <vt:lpwstr>bookdown::word_document2</vt:lpwstr>
  </property>
</Properties>
</file>