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sensitivity analyses</w:t>
      </w:r>
    </w:p>
    <w:p>
      <w:pPr>
        <w:pStyle w:val="Author"/>
      </w:pPr>
      <w:r>
        <w:t xml:space="preserve">Report Author</w:t>
      </w:r>
    </w:p>
    <w:p>
      <w:pPr>
        <w:pStyle w:val="Date"/>
      </w:pPr>
      <w:r>
        <w:t xml:space="preserve">05 June, 2026</w:t>
      </w:r>
    </w:p>
    <w:bookmarkStart w:id="23" w:name="sensitivity-analyses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Sensitivity analyses</w:t>
      </w:r>
    </w:p>
    <w:p>
      <w:pPr>
        <w:pStyle w:val="FirstParagraph"/>
      </w:pPr>
      <w:r>
        <w:t xml:space="preserve">To confirm that the associations attributed to early screen time are present in</w:t>
      </w:r>
      <w:r>
        <w:t xml:space="preserve"> </w:t>
      </w:r>
      <w:r>
        <w:t xml:space="preserve">the data itself, and that the trajectory findings are robust to the choice of</w:t>
      </w:r>
      <w:r>
        <w:t xml:space="preserve"> </w:t>
      </w:r>
      <w:r>
        <w:t xml:space="preserve">modelling framework, we conducted two complementary sensitivity analyses. Both</w:t>
      </w:r>
      <w:r>
        <w:t xml:space="preserve"> </w:t>
      </w:r>
      <w:r>
        <w:t xml:space="preserve">use the same analysis sample and the same covariate adjustment structure as the</w:t>
      </w:r>
      <w:r>
        <w:t xml:space="preserve"> </w:t>
      </w:r>
      <w:r>
        <w:t xml:space="preserve">primary latent growth curve models.</w:t>
      </w:r>
    </w:p>
    <w:bookmarkStart w:id="10" w:name="X96b89b4b7269db8723a282274811b88c7e2e00b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Observed Wave 3 screen time as the exposure</w:t>
      </w:r>
    </w:p>
    <w:p>
      <w:pPr>
        <w:pStyle w:val="FirstParagraph"/>
      </w:pPr>
      <w:r>
        <w:t xml:space="preserve">The latent intercept in the growth model is a model-derived quantity estimated</w:t>
      </w:r>
      <w:r>
        <w:t xml:space="preserve"> </w:t>
      </w:r>
      <w:r>
        <w:t xml:space="preserve">from the full repeated-measures structure and is therefore not identical to the</w:t>
      </w:r>
      <w:r>
        <w:t xml:space="preserve"> </w:t>
      </w:r>
      <w:r>
        <w:t xml:space="preserve">observed Wave 3 value. As a sensitivity analysis, we replaced the latent</w:t>
      </w:r>
      <w:r>
        <w:t xml:space="preserve"> </w:t>
      </w:r>
      <w:r>
        <w:t xml:space="preserve">intercept with the</w:t>
      </w:r>
      <w:r>
        <w:t xml:space="preserve"> </w:t>
      </w:r>
      <w:r>
        <w:rPr>
          <w:i/>
          <w:iCs/>
        </w:rPr>
        <w:t xml:space="preserve">observed</w:t>
      </w:r>
      <w:r>
        <w:t xml:space="preserve"> </w:t>
      </w:r>
      <w:r>
        <w:t xml:space="preserve">(standardised) Wave 3 screen-time value and</w:t>
      </w:r>
      <w:r>
        <w:t xml:space="preserve"> </w:t>
      </w:r>
      <w:r>
        <w:t xml:space="preserve">re-estimated the association with each outcome using ordinary least squares</w:t>
      </w:r>
      <w:r>
        <w:t xml:space="preserve"> </w:t>
      </w:r>
      <w:r>
        <w:t xml:space="preserve">regression (complete cases), with the same covariates as the primary models</w:t>
      </w:r>
      <w:r>
        <w:t xml:space="preserve"> </w:t>
      </w:r>
      <w:r>
        <w:t xml:space="preserve">(Table</w:t>
      </w:r>
      <w:r>
        <w:t xml:space="preserve"> </w:t>
      </w:r>
      <w:r>
        <w:t xml:space="preserve">1.1</w:t>
      </w:r>
      <w:r>
        <w:t xml:space="preserve">).</w:t>
      </w:r>
    </w:p>
    <w:p>
      <w:pPr>
        <w:pStyle w:val="BodyText"/>
      </w:pPr>
      <w:r>
        <w:t xml:space="preserve">The pattern of findings was consistent with the primary analysis. Higher</w:t>
      </w:r>
      <w:r>
        <w:t xml:space="preserve"> </w:t>
      </w:r>
      <w:r>
        <w:t xml:space="preserve">observed Wave 3 screen time was associated with lower cardiorespiratory fitness</w:t>
      </w:r>
      <w:r>
        <w:t xml:space="preserve"> </w:t>
      </w:r>
      <w:r>
        <w:t xml:space="preserve">(</w:t>
      </w:r>
      <w:r>
        <w:rPr>
          <w:i/>
          <w:iCs/>
        </w:rPr>
        <w:t xml:space="preserve">B</w:t>
      </w:r>
      <w:r>
        <w:t xml:space="preserve"> </w:t>
      </w:r>
      <w:r>
        <w:t xml:space="preserve">= -1.20; 95%CI, -1.83–0.57), higher waist circumference</w:t>
      </w:r>
      <w:r>
        <w:t xml:space="preserve"> </w:t>
      </w:r>
      <w:r>
        <w:t xml:space="preserve">(</w:t>
      </w:r>
      <w:r>
        <w:rPr>
          <w:i/>
          <w:iCs/>
        </w:rPr>
        <w:t xml:space="preserve">B</w:t>
      </w:r>
      <w:r>
        <w:t xml:space="preserve"> </w:t>
      </w:r>
      <w:r>
        <w:t xml:space="preserve">= 0.41; 95%CI, -0.01-0.83), higher waist-to-height ratio</w:t>
      </w:r>
      <w:r>
        <w:t xml:space="preserve"> </w:t>
      </w:r>
      <w:r>
        <w:t xml:space="preserve">(</w:t>
      </w:r>
      <w:r>
        <w:rPr>
          <w:i/>
          <w:iCs/>
        </w:rPr>
        <w:t xml:space="preserve">B</w:t>
      </w:r>
      <w:r>
        <w:t xml:space="preserve"> </w:t>
      </w:r>
      <w:r>
        <w:t xml:space="preserve">= 0.00; 95%CI, 0.00-0.01), higher body mass index (z-score;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0.05; 95%CI, 0.00-0.11), and higher body fat percentage</w:t>
      </w:r>
      <w:r>
        <w:t xml:space="preserve"> </w:t>
      </w:r>
      <w:r>
        <w:t xml:space="preserve">(</w:t>
      </w:r>
      <w:r>
        <w:rPr>
          <w:i/>
          <w:iCs/>
        </w:rPr>
        <w:t xml:space="preserve">B</w:t>
      </w:r>
      <w:r>
        <w:t xml:space="preserve"> </w:t>
      </w:r>
      <w:r>
        <w:t xml:space="preserve">= 0.80; 95%CI, 0.34-1.25). The associations were in the same</w:t>
      </w:r>
      <w:r>
        <w:t xml:space="preserve"> </w:t>
      </w:r>
      <w:r>
        <w:t xml:space="preserve">direction as, and of comparable magnitude to, those for the latent intercept,</w:t>
      </w:r>
      <w:r>
        <w:t xml:space="preserve"> </w:t>
      </w:r>
      <w:r>
        <w:t xml:space="preserve">indicating that these findings reflect the observed data rather than the latent</w:t>
      </w:r>
      <w:r>
        <w:t xml:space="preserve"> </w:t>
      </w:r>
      <w:r>
        <w:t xml:space="preserve">growth-model specification.</w:t>
      </w:r>
    </w:p>
    <w:p>
      <w:r>
        <w:br w:type="page"/>
      </w:r>
    </w:p>
    <w:p>
      <w:pPr>
        <w:pStyle w:val="TableCaption"/>
      </w:pPr>
      <w:bookmarkStart w:id="9" w:name="tab:w3-table"/>
      <w:bookmarkEnd w:id="9"/>
      <w:r>
        <w:t xml:space="preserve">Table 1.1:</w:t>
      </w:r>
      <w:r>
        <w:t xml:space="preserve"> </w:t>
      </w:r>
      <w:r>
        <w:t xml:space="preserve">Sensitivity analysis 1. Associations between observed Wave 3 screen time and health outcomes (observed exposure in place of the latent intercept).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Unadjusted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Adjusted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(95% CI)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(95% CI)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Cardio-metabolic Risk Score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(-0.05 to 0.04)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(-0.07 to 0.04)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ApoB/ApoA1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Glycoprotein Acetyls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Phospholipids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Cardiorespiratory Fitness (VO2 Max)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 (-1.8 to -0.57)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 (-1.7 to -0.34)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Waist Circumference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 (-0.01 to 0.83)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 (-0.01 to 0.98)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Waist-to-Height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(0.00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(0.00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Body Mass Index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 (0.00 to 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 (0.00 to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Body Fat Percentage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 (0.34 to 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 (0.33 to 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Systolic Blood Pressure Amplification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 (-0.22 to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 (-0.23 to 0.16)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Pulse Pressure Amplification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(-0.02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(-0.02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Systolic Blood Pressure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(-0.02 to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(-0.04 to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Diastolic Blood Pressure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(0.00 to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(-0.02 to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Triglycerides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(-0.05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 (-0.07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(-0.06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(-0.06 to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HDL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(-0.02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(-0.02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Non-HDL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(-0.03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(-0.03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Glucose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 (-0.06 to 0.00)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(-0.06 to 0.02)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</w:tbl>
    <w:p>
      <w:r>
        <w:br w:type="page"/>
      </w:r>
    </w:p>
    <w:bookmarkEnd w:id="10"/>
    <w:bookmarkStart w:id="12" w:name="X62b7694484cb24fd7ca419b3a95f80f8febed3e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Mixed-model (random intercept / random slope) framework</w:t>
      </w:r>
    </w:p>
    <w:p>
      <w:pPr>
        <w:pStyle w:val="FirstParagraph"/>
      </w:pPr>
      <w:r>
        <w:t xml:space="preserve">We additionally re-estimated the screen-time trajectory using a conventional</w:t>
      </w:r>
      <w:r>
        <w:t xml:space="preserve"> </w:t>
      </w:r>
      <w:r>
        <w:t xml:space="preserve">linear mixed model with a random intercept and random slope for 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st_totalz ~ time + (time | id)</w:t>
      </w:r>
      <w:r>
        <w:t xml:space="preserve">, fitted with</w:t>
      </w:r>
      <w:r>
        <w:t xml:space="preserve"> </w:t>
      </w:r>
      <w:r>
        <w:rPr>
          <w:rStyle w:val="VerbatimChar"/>
        </w:rPr>
        <w:t xml:space="preserve">lme4</w:t>
      </w:r>
      <w:r>
        <w:t xml:space="preserve">), with time coded 0-3</w:t>
      </w:r>
      <w:r>
        <w:t xml:space="preserve"> </w:t>
      </w:r>
      <w:r>
        <w:t xml:space="preserve">across Waves 3-6 to match the loadings of the latent growth model.</w:t>
      </w:r>
    </w:p>
    <w:p>
      <w:pPr>
        <w:pStyle w:val="BodyText"/>
      </w:pPr>
      <w:r>
        <w:t xml:space="preserve">The mixed model reproduced the trajectory described by the latent growth model.</w:t>
      </w:r>
      <w:r>
        <w:t xml:space="preserve"> </w:t>
      </w:r>
      <w:r>
        <w:t xml:space="preserve">The mean trajectory increased over time (slope = 0.25</w:t>
      </w:r>
      <w:r>
        <w:t xml:space="preserve"> </w:t>
      </w:r>
      <w:r>
        <w:rPr>
          <w:i/>
          <w:iCs/>
        </w:rPr>
        <w:t xml:space="preserve">z</w:t>
      </w:r>
      <w:r>
        <w:t xml:space="preserve">-units per wave). There was meaningful between-child variation in both the</w:t>
      </w:r>
      <w:r>
        <w:t xml:space="preserve"> </w:t>
      </w:r>
      <w:r>
        <w:t xml:space="preserve">intercept (SD = 0.63) and the slope (SD = 0.22), and the</w:t>
      </w:r>
      <w:r>
        <w:t xml:space="preserve"> </w:t>
      </w:r>
      <w:r>
        <w:t xml:space="preserve">intercept and slope were negatively correlated (</w:t>
      </w:r>
      <w:r>
        <w:rPr>
          <w:i/>
          <w:iCs/>
        </w:rPr>
        <w:t xml:space="preserve">r</w:t>
      </w:r>
      <w:r>
        <w:t xml:space="preserve"> </w:t>
      </w:r>
      <w:r>
        <w:t xml:space="preserve">= -0.17),</w:t>
      </w:r>
      <w:r>
        <w:t xml:space="preserve"> </w:t>
      </w:r>
      <w:r>
        <w:t xml:space="preserve">consistent with the negative intercept-slope covariance observed in the latent</w:t>
      </w:r>
      <w:r>
        <w:t xml:space="preserve"> </w:t>
      </w:r>
      <w:r>
        <w:t xml:space="preserve">growth model (-0.03): children with higher initial screen time</w:t>
      </w:r>
      <w:r>
        <w:t xml:space="preserve"> </w:t>
      </w:r>
      <w:r>
        <w:t xml:space="preserve">tended to have slower subsequent increases.</w:t>
      </w:r>
    </w:p>
    <w:p>
      <w:pPr>
        <w:pStyle w:val="BodyText"/>
      </w:pPr>
      <w:r>
        <w:t xml:space="preserve">To relate the trajectories to later health outcomes in this framework, we</w:t>
      </w:r>
      <w:r>
        <w:t xml:space="preserve"> </w:t>
      </w:r>
      <w:r>
        <w:t xml:space="preserve">extracted each child’s subject-specific (best linear unbiased predictor)</w:t>
      </w:r>
      <w:r>
        <w:t xml:space="preserve"> </w:t>
      </w:r>
      <w:r>
        <w:t xml:space="preserve">intercept and slope and regressed each outcome on these, using ordinary least</w:t>
      </w:r>
      <w:r>
        <w:t xml:space="preserve"> </w:t>
      </w:r>
      <w:r>
        <w:t xml:space="preserve">squares with the same covariates as the primary models</w:t>
      </w:r>
      <w:r>
        <w:t xml:space="preserve"> </w:t>
      </w:r>
      <w:r>
        <w:t xml:space="preserve">(Table</w:t>
      </w:r>
      <w:r>
        <w:t xml:space="preserve"> </w:t>
      </w:r>
      <w:r>
        <w:t xml:space="preserve">1.2</w:t>
      </w:r>
      <w:r>
        <w:t xml:space="preserve">).</w:t>
      </w:r>
    </w:p>
    <w:p>
      <w:pPr>
        <w:pStyle w:val="BodyText"/>
      </w:pPr>
      <w:r>
        <w:t xml:space="preserve">As in the primary analysis, the subject-specific intercept was associated with</w:t>
      </w:r>
      <w:r>
        <w:t xml:space="preserve"> </w:t>
      </w:r>
      <w:r>
        <w:t xml:space="preserve">lower cardiorespiratory fitness (</w:t>
      </w:r>
      <w:r>
        <w:rPr>
          <w:i/>
          <w:iCs/>
        </w:rPr>
        <w:t xml:space="preserve">B</w:t>
      </w:r>
      <w:r>
        <w:t xml:space="preserve"> </w:t>
      </w:r>
      <w:r>
        <w:t xml:space="preserve">= -3.08; 95%CI, -4.21–1.96), higher</w:t>
      </w:r>
      <w:r>
        <w:t xml:space="preserve"> </w:t>
      </w:r>
      <w:r>
        <w:t xml:space="preserve">waist circumference (</w:t>
      </w:r>
      <w:r>
        <w:rPr>
          <w:i/>
          <w:iCs/>
        </w:rPr>
        <w:t xml:space="preserve">B</w:t>
      </w:r>
      <w:r>
        <w:t xml:space="preserve"> </w:t>
      </w:r>
      <w:r>
        <w:t xml:space="preserve">= 1.14; 95%CI, 0.39-1.89), higher</w:t>
      </w:r>
      <w:r>
        <w:t xml:space="preserve"> </w:t>
      </w:r>
      <w:r>
        <w:t xml:space="preserve">waist-to-height ratio (</w:t>
      </w:r>
      <w:r>
        <w:rPr>
          <w:i/>
          <w:iCs/>
        </w:rPr>
        <w:t xml:space="preserve">B</w:t>
      </w:r>
      <w:r>
        <w:t xml:space="preserve"> </w:t>
      </w:r>
      <w:r>
        <w:t xml:space="preserve">= 0.01; 95%CI, 0.01-0.01), higher</w:t>
      </w:r>
      <w:r>
        <w:t xml:space="preserve"> </w:t>
      </w:r>
      <w:r>
        <w:t xml:space="preserve">body mass index (z-score;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0.15; 95%CI, 0.06-0.25), and higher body</w:t>
      </w:r>
      <w:r>
        <w:t xml:space="preserve"> </w:t>
      </w:r>
      <w:r>
        <w:t xml:space="preserve">fat percentage (</w:t>
      </w:r>
      <w:r>
        <w:rPr>
          <w:i/>
          <w:iCs/>
        </w:rPr>
        <w:t xml:space="preserve">B</w:t>
      </w:r>
      <w:r>
        <w:t xml:space="preserve"> </w:t>
      </w:r>
      <w:r>
        <w:t xml:space="preserve">= 1.95; 95%CI, 1.14-2.77).</w:t>
      </w:r>
    </w:p>
    <w:p>
      <w:pPr>
        <w:pStyle w:val="BodyText"/>
      </w:pPr>
      <w:r>
        <w:t xml:space="preserve">We note that subject-specific intercepts and slopes are shrunken towards the</w:t>
      </w:r>
      <w:r>
        <w:t xml:space="preserve"> </w:t>
      </w:r>
      <w:r>
        <w:t xml:space="preserve">population mean and that this two-stage approach treats them as observed without</w:t>
      </w:r>
      <w:r>
        <w:t xml:space="preserve"> </w:t>
      </w:r>
      <w:r>
        <w:t xml:space="preserve">propagating the uncertainty in their estimation. These estimates are therefore</w:t>
      </w:r>
      <w:r>
        <w:t xml:space="preserve"> </w:t>
      </w:r>
      <w:r>
        <w:t xml:space="preserve">conservative, and the consistency of the findings across the latent growth model,</w:t>
      </w:r>
      <w:r>
        <w:t xml:space="preserve"> </w:t>
      </w:r>
      <w:r>
        <w:t xml:space="preserve">the observed Wave 3 exposure, and the mixed-model framework increases confidence</w:t>
      </w:r>
      <w:r>
        <w:t xml:space="preserve"> </w:t>
      </w:r>
      <w:r>
        <w:t xml:space="preserve">in the conclusions.</w:t>
      </w:r>
    </w:p>
    <w:p>
      <w:r>
        <w:br w:type="page"/>
      </w:r>
    </w:p>
    <w:p>
      <w:pPr>
        <w:pStyle w:val="TableCaption"/>
      </w:pPr>
      <w:bookmarkStart w:id="11" w:name="tab:lmm-table"/>
      <w:bookmarkEnd w:id="11"/>
      <w:r>
        <w:t xml:space="preserve">Table 1.2:</w:t>
      </w:r>
      <w:r>
        <w:t xml:space="preserve"> </w:t>
      </w:r>
      <w:r>
        <w:t xml:space="preserve">Sensitivity analysis 2. Associations between mixed-model screen-time trajectories (subject-specific intercept and slope) and health outcomes.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Unadjusted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Adjusted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(95% CI)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(95% CI)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Cardio-metabolic Risk Score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(-0.07 to 0.09)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(-0.09 to 0.10)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 (-0.19 to 0.41)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 (-0.19 to 0.53)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ApoB/ApoA1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(-0.02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(-0.03 to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(-0.04 to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Glycoprotein Acetyls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(-0.01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(-0.02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(-0.04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(-0.05 to 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Phospholipids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(-0.03 to 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(-0.02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 (-0.11 to 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 (-0.11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Cardiorespiratory Fitness (VO2 Max)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 (-4.2 to -2.0)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 (-4.0 to -1.5)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 (-7.3 to 0.91)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 (-8.0 to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Waist Circumference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(0.39 to 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 (0.32 to 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(0.49 to 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 (-1.8 to 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Waist-to-Height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(0.01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(0.00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(-0.01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Body Mass Index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 (0.06 to 0.25)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 (0.06 to 0.30)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 (-0.05 to 0.64)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 (-0.29 to 0.58)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Body Fat Percentage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(1.1 to 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 (1.2 to 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 (-0.64 to 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(-2.5 to 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Systolic Blood Pressure Amplification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 (-0.45 to 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 (-0.48 to 0.24)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 (-0.94 to 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 (-0.97 to 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Pulse Pressure Amplification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(-0.05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(-0.05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 (-0.22 to 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 (-0.22 to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Systolic Blood Pressure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 (0.00 to 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 (-0.02 to 0.16)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 (-0.06 to 0.49)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 (-0.18 to 0.50)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Diastolic Blood Pressure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 (0.02 to 0.13)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 (-0.01 to 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 (-0.04 to 0.35)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 (-0.15 to 0.33)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Triglycerides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(-0.07 to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(-0.10 to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 (-0.10 to 0.38)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 (-0.13 to 0.46)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 (-0.13 to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 (-0.14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 (-0.43 to 0.18)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 (-0.52 to 0.25)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HDL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(-0.05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(-0.04 to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 (-0.20 to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 (-0.21 to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Non-HDL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(-0.05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(-0.06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 (-0.15 to 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 (-0.19 to 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Glucose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 (-0.11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 (-0.11 to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(-0.22 to 0.21)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 (-0.18 to 0.38)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</w:tbl>
    <w:p>
      <w:r>
        <w:br w:type="page"/>
      </w:r>
    </w:p>
    <w:bookmarkEnd w:id="12"/>
    <w:bookmarkStart w:id="22" w:name="X1de691588ac93c3ea375e7b9d7e170a1e2133a9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Change in screen-time exposure definition across waves</w:t>
      </w:r>
    </w:p>
    <w:p>
      <w:pPr>
        <w:pStyle w:val="FirstParagraph"/>
      </w:pPr>
      <w:r>
        <w:t xml:space="preserve">Our total screen-time measure combines three components: television, electronic</w:t>
      </w:r>
      <w:r>
        <w:t xml:space="preserve"> </w:t>
      </w:r>
      <w:r>
        <w:t xml:space="preserve">games, and computer/other electronic-device use. The television and</w:t>
      </w:r>
      <w:r>
        <w:t xml:space="preserve"> </w:t>
      </w:r>
      <w:r>
        <w:t xml:space="preserve">electronic-games items were measured identically at all four waves, but the</w:t>
      </w:r>
      <w:r>
        <w:t xml:space="preserve"> </w:t>
      </w:r>
      <w:r>
        <w:t xml:space="preserve">computer-use item was reworded between Wave 4 and Wave 5 (from time using a</w:t>
      </w:r>
      <w:r>
        <w:t xml:space="preserve"> </w:t>
      </w:r>
      <w:r>
        <w:t xml:space="preserve">computer to time using other electronic devices/games), so the exposure</w:t>
      </w:r>
      <w:r>
        <w:t xml:space="preserve"> </w:t>
      </w:r>
      <w:r>
        <w:t xml:space="preserve">definition is not perfectly constant across the trajectory. We conducted two</w:t>
      </w:r>
      <w:r>
        <w:t xml:space="preserve"> </w:t>
      </w:r>
      <w:r>
        <w:t xml:space="preserve">further sensitivity analyses to assess whether this measurement change affects</w:t>
      </w:r>
      <w:r>
        <w:t xml:space="preserve"> </w:t>
      </w:r>
      <w:r>
        <w:t xml:space="preserve">our inferences.</w:t>
      </w:r>
    </w:p>
    <w:p>
      <w:pPr>
        <w:pStyle w:val="BodyText"/>
      </w:pPr>
      <w:r>
        <w:t xml:space="preserve">As an initial visual check, Figure</w:t>
      </w:r>
      <w:r>
        <w:t xml:space="preserve"> </w:t>
      </w:r>
      <w:r>
        <w:t xml:space="preserve">1.1</w:t>
      </w:r>
      <w:r>
        <w:t xml:space="preserve"> </w:t>
      </w:r>
      <w:r>
        <w:t xml:space="preserve">shows mean total</w:t>
      </w:r>
      <w:r>
        <w:t xml:space="preserve"> </w:t>
      </w:r>
      <w:r>
        <w:t xml:space="preserve">screen time at each wave. The trajectory increases steadily across all four</w:t>
      </w:r>
      <w:r>
        <w:t xml:space="preserve"> </w:t>
      </w:r>
      <w:r>
        <w:t xml:space="preserve">waves with no discontinuity at the Wave 4-5 boundary where the computer/other</w:t>
      </w:r>
      <w:r>
        <w:t xml:space="preserve"> </w:t>
      </w:r>
      <w:r>
        <w:t xml:space="preserve">item was reworded, and the definition-invariant total (television + electronic</w:t>
      </w:r>
      <w:r>
        <w:t xml:space="preserve"> </w:t>
      </w:r>
      <w:r>
        <w:t xml:space="preserve">games) follows a parallel progression. This suggests the change in item wording</w:t>
      </w:r>
      <w:r>
        <w:t xml:space="preserve"> </w:t>
      </w:r>
      <w:r>
        <w:t xml:space="preserve">did not introduce a step change in the measured exposure.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Figure 1.1: Mean total screen time (minutes/day, with 95% confidence intervals) at each wave, for the full three-component total and the definition-invariant total (television + electronic games). The dashed line marks the Wave 4-5 boundary at which the computer/other component was reworded." title="" id="14" name="Picture"/>
            <a:graphic>
              <a:graphicData uri="http://schemas.openxmlformats.org/drawingml/2006/picture">
                <pic:pic>
                  <pic:nvPicPr>
                    <pic:cNvPr descr="Sensitivity_files/Sensitivity_files/figure-docx/st-wave-plot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16" w:name="fig:st-wave-plot"/>
      <w:bookmarkEnd w:id="16"/>
      <w:r>
        <w:t xml:space="preserve">Figure 1.1: Mean total screen time (minutes/day, with 95% confidence intervals) at each wave, for the full three-component total and the definition-invariant total (television + electronic games). The dashed line marks the Wave 4-5 boundary at which the computer/other component was reworded.</w:t>
      </w:r>
    </w:p>
    <w:bookmarkStart w:id="18" w:name="definition-invariant-components-only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Definition-invariant components only</w:t>
      </w:r>
    </w:p>
    <w:p>
      <w:pPr>
        <w:pStyle w:val="FirstParagraph"/>
      </w:pPr>
      <w:r>
        <w:t xml:space="preserve">We first refit the latent growth curve model using a screen-time exposure built</w:t>
      </w:r>
      <w:r>
        <w:t xml:space="preserve"> </w:t>
      </w:r>
      <w:r>
        <w:t xml:space="preserve">only from the two definition-invariant components (television and electronic</w:t>
      </w:r>
      <w:r>
        <w:t xml:space="preserve"> </w:t>
      </w:r>
      <w:r>
        <w:t xml:space="preserve">games), excluding the reworded computer/other component</w:t>
      </w:r>
      <w:r>
        <w:t xml:space="preserve"> </w:t>
      </w:r>
      <w:r>
        <w:t xml:space="preserve">(Table</w:t>
      </w:r>
      <w:r>
        <w:t xml:space="preserve"> </w:t>
      </w:r>
      <w:r>
        <w:t xml:space="preserve">1.3</w:t>
      </w:r>
      <w:r>
        <w:t xml:space="preserve">).</w:t>
      </w:r>
    </w:p>
    <w:p>
      <w:pPr>
        <w:pStyle w:val="BodyText"/>
      </w:pPr>
      <w:r>
        <w:t xml:space="preserve">The trajectory associations were materially unchanged. Using the</w:t>
      </w:r>
      <w:r>
        <w:t xml:space="preserve"> </w:t>
      </w:r>
      <w:r>
        <w:t xml:space="preserve">definition-invariant exposure, the trajectory intercept remained associated with</w:t>
      </w:r>
      <w:r>
        <w:t xml:space="preserve"> </w:t>
      </w:r>
      <w:r>
        <w:t xml:space="preserve">lower cardiorespiratory fitness (</w:t>
      </w:r>
      <w:r>
        <w:rPr>
          <w:i/>
          <w:iCs/>
        </w:rPr>
        <w:t xml:space="preserve">B</w:t>
      </w:r>
      <w:r>
        <w:t xml:space="preserve"> </w:t>
      </w:r>
      <w:r>
        <w:t xml:space="preserve">= -3.04; 95%CI, -4.25–1.84;</w:t>
      </w:r>
      <w:r>
        <w:t xml:space="preserve"> </w:t>
      </w:r>
      <w:r>
        <w:t xml:space="preserve">primary model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-3.21; 95%CI, -4.38–2.04), higher waist</w:t>
      </w:r>
      <w:r>
        <w:t xml:space="preserve"> </w:t>
      </w:r>
      <w:r>
        <w:t xml:space="preserve">circumference (</w:t>
      </w:r>
      <w:r>
        <w:rPr>
          <w:i/>
          <w:iCs/>
        </w:rPr>
        <w:t xml:space="preserve">B</w:t>
      </w:r>
      <w:r>
        <w:t xml:space="preserve"> </w:t>
      </w:r>
      <w:r>
        <w:t xml:space="preserve">= 1.16; 95%CI, 0.35-1.97; primary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1.18; 95%CI, 0.40-1.96), higher waist-to-height ratio</w:t>
      </w:r>
      <w:r>
        <w:t xml:space="preserve"> </w:t>
      </w:r>
      <w:r>
        <w:t xml:space="preserve">(</w:t>
      </w:r>
      <w:r>
        <w:rPr>
          <w:i/>
          <w:iCs/>
        </w:rPr>
        <w:t xml:space="preserve">B</w:t>
      </w:r>
      <w:r>
        <w:t xml:space="preserve"> </w:t>
      </w:r>
      <w:r>
        <w:t xml:space="preserve">= 0.01; 95%CI, 0.00-0.01; primary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0.01; 95%CI, 0.01-0.02), higher body mass index</w:t>
      </w:r>
      <w:r>
        <w:t xml:space="preserve"> </w:t>
      </w:r>
      <w:r>
        <w:t xml:space="preserve">(z-score;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0.17; 95%CI, 0.07-0.28; primary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0.16; 95%CI, 0.06-0.26), and higher body fat percentage</w:t>
      </w:r>
      <w:r>
        <w:t xml:space="preserve"> </w:t>
      </w:r>
      <w:r>
        <w:t xml:space="preserve">(</w:t>
      </w:r>
      <w:r>
        <w:rPr>
          <w:i/>
          <w:iCs/>
        </w:rPr>
        <w:t xml:space="preserve">B</w:t>
      </w:r>
      <w:r>
        <w:t xml:space="preserve"> </w:t>
      </w:r>
      <w:r>
        <w:t xml:space="preserve">= 1.89; 95%CI, 1.01-2.77; primary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2.04; 95%CI, 1.19-2.88). Estimates were consistent in</w:t>
      </w:r>
      <w:r>
        <w:t xml:space="preserve"> </w:t>
      </w:r>
      <w:r>
        <w:t xml:space="preserve">direction and similar in magnitude to the primary full-component model.</w:t>
      </w:r>
    </w:p>
    <w:p>
      <w:r>
        <w:br w:type="page"/>
      </w:r>
    </w:p>
    <w:p>
      <w:pPr>
        <w:pStyle w:val="TableCaption"/>
      </w:pPr>
      <w:bookmarkStart w:id="17" w:name="tab:consistent-table"/>
      <w:bookmarkEnd w:id="17"/>
      <w:r>
        <w:t xml:space="preserve">Table 1.3:</w:t>
      </w:r>
      <w:r>
        <w:t xml:space="preserve"> </w:t>
      </w:r>
      <w:r>
        <w:t xml:space="preserve">Sensitivity analysis 3a. Associations between screen-time trajectories and health outcomes using only the definition-invariant components (television and electronic games).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Unadjusted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Adjusted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(95% CI)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(95% CI)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Cardio-metabolic Risk Score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(-0.08 to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(-0.08 to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 (-0.12 to 0.47)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 (-0.21 to 0.65)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 (-0.15 to -0.03)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(-0.07 to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ApoB/ApoA1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(-0.02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(-0.02 to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(-0.04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(-0.02 to -0.01)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(0.00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Glycoprotein Acetyls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(-0.02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(-0.04 to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(-0.09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(-0.03 to -0.01)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Phospholipids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(-0.03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(-0.03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 (-0.12 to -0.01)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 (-0.14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(0.01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(-0.02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Cardiorespiratory Fitness (VO2 Max)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 (-4.3 to -1.8)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 (-4.2 to -1.6)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 (-9.6 to -1.8)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-5.4 (-10 to -0.58)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(2.5 to 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 (-0.51 to 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Waist Circumference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 (0.35 to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 (0.53 to 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 (0.92 to 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(-1.3 to 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 (-2.2 to -0.96)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-0.31 (-0.88 to 0.26)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Waist-to-Height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(0.00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(0.01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(0.00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(-0.01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(-0.01 to 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 (0.07 to 0.28)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 (0.11 to 0.35)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 (-0.03 to 0.64)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 (-0.23 to 0.63)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 (-0.25 to -0.10)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 (-0.14 to 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Fat Percentage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 (1.0 to 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 (1.3 to 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 (0.06 to 5.7)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 (-1.6 to 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 (-3.1 to -1.8)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 (-1.1 to 0.13)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Systolic Blood Pressure Ampification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 (-0.40 to 0.24)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(-0.38 to 0.37)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 (-0.99 to 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 (-1.2 to 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 (0.03 to 0.52)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(-0.24 to 0.22)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Pulse Pressure Amplification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(-0.04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(-0.04 to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 (-0.20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 (-0.21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(0.00 to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(-0.01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Sysolic Blood Pressure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 (0.00 to 0.16)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 (0.00 to 0.18)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 (-0.06 to 0.47)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 (-0.22 to 0.45)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(-0.06 to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(-0.04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Diastolic Blood Pressure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 (0.01 to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 (-0.02 to 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 (-0.03 to 0.34)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 (-0.15 to 0.33)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 (-0.09 to -0.01)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(-0.03 to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Triglycerides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(-0.08 to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 (-0.13 to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 (-0.10 to 0.38)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 (-0.15 to 0.55)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 (-0.12 to -0.02)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(-0.07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 (-0.15 to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 (-0.15 to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 (-0.40 to 0.21)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 (-0.60 to 0.32)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 (-0.11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(-0.05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HDL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(-0.06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(-0.05 to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 (-0.23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 (-0.29 to 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 (0.02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(-0.03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Non-HDL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(-0.06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 (-0.07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(-0.14 to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 (-0.22 to 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 (-0.06 to -0.01)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(-0.01 to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Glucose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 (-0.10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(-0.10 to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(-0.24 to 0.19)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 (-0.27 to 0.38)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(-0.02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(-0.04 to 0.05)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</w:tbl>
    <w:p>
      <w:r>
        <w:br w:type="page"/>
      </w:r>
    </w:p>
    <w:bookmarkEnd w:id="18"/>
    <w:bookmarkStart w:id="21" w:name="X7181f19b4df5f30f8a1e431b9a5e0419fc89e1f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Early (Waves 3-4) and later (Waves 5-6) periods modelled separately</w:t>
      </w:r>
    </w:p>
    <w:p>
      <w:pPr>
        <w:pStyle w:val="FirstParagraph"/>
      </w:pPr>
      <w:r>
        <w:t xml:space="preserve">We then modelled the two definition regimes separately, using the average</w:t>
      </w:r>
      <w:r>
        <w:t xml:space="preserve"> </w:t>
      </w:r>
      <w:r>
        <w:t xml:space="preserve">standardised screen time within the early period (Waves 3-4, original</w:t>
      </w:r>
      <w:r>
        <w:t xml:space="preserve"> </w:t>
      </w:r>
      <w:r>
        <w:t xml:space="preserve">computer-item definition) and within the later period (Waves 5-6, revised</w:t>
      </w:r>
      <w:r>
        <w:t xml:space="preserve"> </w:t>
      </w:r>
      <w:r>
        <w:t xml:space="preserve">definition) as the exposure in ordinary least squares models with the same</w:t>
      </w:r>
      <w:r>
        <w:t xml:space="preserve"> </w:t>
      </w:r>
      <w:r>
        <w:t xml:space="preserve">covariates (Tables</w:t>
      </w:r>
      <w:r>
        <w:t xml:space="preserve"> </w:t>
      </w:r>
      <w:r>
        <w:t xml:space="preserve">1.4</w:t>
      </w:r>
      <w:r>
        <w:t xml:space="preserve"> </w:t>
      </w:r>
      <w:r>
        <w:t xml:space="preserve">and</w:t>
      </w:r>
      <w:r>
        <w:t xml:space="preserve"> </w:t>
      </w:r>
      <w:r>
        <w:t xml:space="preserve">1.5</w:t>
      </w:r>
      <w:r>
        <w:t xml:space="preserve">).</w:t>
      </w:r>
    </w:p>
    <w:p>
      <w:pPr>
        <w:pStyle w:val="BodyText"/>
      </w:pPr>
      <w:r>
        <w:t xml:space="preserve">Associations were consistent in direction across the two periods. For example,</w:t>
      </w:r>
      <w:r>
        <w:t xml:space="preserve"> </w:t>
      </w:r>
      <w:r>
        <w:t xml:space="preserve">both the early-period exposure (original definition) and the later-period</w:t>
      </w:r>
      <w:r>
        <w:t xml:space="preserve"> </w:t>
      </w:r>
      <w:r>
        <w:t xml:space="preserve">exposure (revised definition) were associated with lower cardiorespiratory</w:t>
      </w:r>
      <w:r>
        <w:t xml:space="preserve"> </w:t>
      </w:r>
      <w:r>
        <w:t xml:space="preserve">fitness (Waves 3-4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-1.86; 95%CI, -2.58–1.14; Waves 5-6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-1.23; 95%CI, -1.81–0.66), higher waist circumference</w:t>
      </w:r>
      <w:r>
        <w:t xml:space="preserve"> </w:t>
      </w:r>
      <w:r>
        <w:t xml:space="preserve">(Waves 3-4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0.63; 95%CI, 0.15-1.12; Waves 5-6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0.70; 95%CI, 0.32-1.08), and higher body fat percentage</w:t>
      </w:r>
      <w:r>
        <w:t xml:space="preserve"> </w:t>
      </w:r>
      <w:r>
        <w:t xml:space="preserve">(Waves 3-4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1.20; 95%CI, 0.68-1.71; Waves 5-6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0.80; 95%CI, 0.39-1.21). Taken together with the</w:t>
      </w:r>
      <w:r>
        <w:t xml:space="preserve"> </w:t>
      </w:r>
      <w:r>
        <w:t xml:space="preserve">definition-invariant analysis, these results indicate that the change in the</w:t>
      </w:r>
      <w:r>
        <w:t xml:space="preserve"> </w:t>
      </w:r>
      <w:r>
        <w:t xml:space="preserve">computer-item definition between Waves 4 and 5 does not materially affect our</w:t>
      </w:r>
      <w:r>
        <w:t xml:space="preserve"> </w:t>
      </w:r>
      <w:r>
        <w:t xml:space="preserve">inferences.</w:t>
      </w:r>
    </w:p>
    <w:p>
      <w:r>
        <w:br w:type="page"/>
      </w:r>
    </w:p>
    <w:p>
      <w:pPr>
        <w:pStyle w:val="TableCaption"/>
      </w:pPr>
      <w:bookmarkStart w:id="19" w:name="tab:early-table"/>
      <w:bookmarkEnd w:id="19"/>
      <w:r>
        <w:t xml:space="preserve">Table 1.4:</w:t>
      </w:r>
      <w:r>
        <w:t xml:space="preserve"> </w:t>
      </w:r>
      <w:r>
        <w:t xml:space="preserve">Sensitivity analysis 3b. Associations between Waves 3-4 average screen time (original computer-item definition) and health outcomes.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Unadjusted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Adjusted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(95% CI)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(95% CI)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Cardio-metabolic Risk Score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(-0.04 to 0.07)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(-0.05 to 0.07)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ApoB/ApoA1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Glycoprotein Acetyls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Phospholipids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(-0.02 to 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(-0.02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Cardiorespiratory Fitness (VO2 Max)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 (-2.6 to -1.1)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 (-2.4 to -0.75)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Waist Circumference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 (0.15 to 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 (0.10 to 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Waist-to-Height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(0.00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(0.00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Body Mass Index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 (0.03 to 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 (0.03 to 0.18)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Body Fat Percentage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 (0.68 to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 (0.73 to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Systolic Blood Pressure Amplification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 (-0.27 to 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 (-0.32 to 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Pulse Pressure Amplification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(-0.03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(-0.03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Systolic Blood Pressure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 (0.01 to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 (-0.01 to 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Diastolic Blood Pressure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 (0.01 to 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(-0.01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Triglycerides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(-0.04 to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(-0.05 to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 (-0.09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 (-0.09 to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HDL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(-0.04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(-0.03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Non-HDL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(-0.03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(-0.04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Glucose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 (-0.07 to 0.01)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(-0.07 to 0.03)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</w:tbl>
    <w:p>
      <w:r>
        <w:br w:type="page"/>
      </w:r>
    </w:p>
    <w:p>
      <w:pPr>
        <w:pStyle w:val="TableCaption"/>
      </w:pPr>
      <w:bookmarkStart w:id="20" w:name="tab:late-table"/>
      <w:bookmarkEnd w:id="20"/>
      <w:r>
        <w:t xml:space="preserve">Table 1.5:</w:t>
      </w:r>
      <w:r>
        <w:t xml:space="preserve"> </w:t>
      </w:r>
      <w:r>
        <w:t xml:space="preserve">Sensitivity analysis 3b. Associations between Waves 5-6 average screen time (revised computer-item definition) and health outcomes.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Unadjusted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Adjusted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(95% CI)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(95% CI)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Cardio-metabolic Risk Score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(-0.03 to 0.05)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(-0.04 to 0.06)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ApoB/ApoA1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(0.00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Glycoprotein Acetyls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(0.00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Phospholipids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(-0.02 to 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Cardiorespiratory Fitness (VO2 Max)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 (-1.8 to -0.66)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 (-1.9 to -0.47)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Waist Circumference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 (0.32 to 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 (0.04 to 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Waist-to-Height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(0.00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(0.00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Body Mass Index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 (0.02 to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 (0.00 to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Body Fat Percentage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 (0.39 to 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 (0.13 to 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Systolic Blood Pressure Amplification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 (-0.19 to 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(-0.18 to 0.21)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Pulse Pressure Amplification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(-0.03 to 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(-0.03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Systolic Blood Pressure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 (0.00 to 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(-0.02 to 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Diastolic Blood Pressure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 (0.01 to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(-0.02 to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Triglycerides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(-0.02 to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(-0.03 to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(-0.06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(-0.07 to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HDL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(-0.03 to 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(-0.03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Non-HDL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(-0.02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(-0.03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Glucose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(-0.05 to 0.01)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(-0.04 to 0.04)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</w:tbl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sensitivity analyses</dc:title>
  <dc:creator>Report Author</dc:creator>
  <cp:keywords/>
  <dcterms:created xsi:type="dcterms:W3CDTF">2026-06-05T02:39:34Z</dcterms:created>
  <dcterms:modified xsi:type="dcterms:W3CDTF">2026-06-05T02:39:34Z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05 June, 2026</vt:lpwstr>
  </property>
  <property fmtid="{D5CDD505-2E9C-101B-9397-08002B2CF9AE}" pid="3" name="output">
    <vt:lpwstr>bookdown::word_document2</vt:lpwstr>
  </property>
</Properties>
</file>