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5.jpg" ContentType="image/jpeg"/>
  <Override PartName="/word/media/rId50.jpg" ContentType="image/jpeg"/>
  <Override PartName="/word/media/rId55.jpg" ContentType="image/jpeg"/>
  <Override PartName="/word/media/rId60.jpg" ContentType="image/jpeg"/>
  <Override PartName="/word/media/rId3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relationship between sleep and physical activity across the lifespan</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 Cruz</w:t>
      </w:r>
      <w:r>
        <w:rPr>
          <w:i/>
          <w:iCs/>
          <w:vertAlign w:val="superscript"/>
        </w:rPr>
        <w:t xml:space="preserve">4</w:t>
      </w:r>
      <w:r>
        <w:rPr>
          <w:i/>
          <w:iCs/>
        </w:rPr>
        <w:t xml:space="preserve">, Philip Parker</w:t>
      </w:r>
      <w:r>
        <w:rPr>
          <w:i/>
          <w:iCs/>
          <w:vertAlign w:val="superscript"/>
        </w:rPr>
        <w:t xml:space="preserve">5</w:t>
      </w:r>
      <w:r>
        <w:rPr>
          <w:i/>
          <w:iCs/>
        </w:rPr>
        <w:t xml:space="preserve">, Michael Noetel</w:t>
      </w:r>
      <w:r>
        <w:rPr>
          <w:i/>
          <w:iCs/>
          <w:vertAlign w:val="superscript"/>
        </w:rPr>
        <w:t xml:space="preserve">6</w:t>
      </w:r>
      <w:r>
        <w:rPr>
          <w:i/>
          <w:iCs/>
        </w:rPr>
        <w:t xml:space="preserve">, Devan Antczak</w:t>
      </w:r>
      <w:r>
        <w:rPr>
          <w:i/>
          <w:iCs/>
          <w:vertAlign w:val="superscript"/>
        </w:rPr>
        <w:t xml:space="preserve">7</w:t>
      </w:r>
      <w:r>
        <w:rPr>
          <w:i/>
          <w:iCs/>
        </w:rPr>
        <w:t xml:space="preserve">, Stuart J. Fairclough</w:t>
      </w:r>
      <w:r>
        <w:rPr>
          <w:i/>
          <w:iCs/>
          <w:vertAlign w:val="superscript"/>
        </w:rPr>
        <w:t xml:space="preserve">8</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9</w:t>
      </w:r>
      <w:r>
        <w:t xml:space="preserve">, &amp; Chris Lonsdale</w:t>
      </w:r>
      <w:r>
        <w:rPr>
          <w:vertAlign w:val="superscript"/>
        </w:rPr>
        <w:t xml:space="preserve">10</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Sciences, Faculty of Medicine, Health, and Sports, Universidad Europea de Madrid</w:t>
      </w:r>
    </w:p>
    <w:p>
      <w:pPr>
        <w:pStyle w:val="Author"/>
      </w:pPr>
      <w:r>
        <w:rPr>
          <w:vertAlign w:val="superscript"/>
        </w:rPr>
        <w:t xml:space="preserve">5</w:t>
      </w:r>
      <w:r>
        <w:t xml:space="preserve"> </w:t>
      </w:r>
      <w:r>
        <w:t xml:space="preserve">Office of the Deputy Vice-Chancellor (Research and Enterprise), Australian Catholic University, North Sydney, Australia</w:t>
      </w:r>
    </w:p>
    <w:p>
      <w:pPr>
        <w:pStyle w:val="Author"/>
      </w:pPr>
      <w:r>
        <w:rPr>
          <w:vertAlign w:val="superscript"/>
        </w:rPr>
        <w:t xml:space="preserve">6</w:t>
      </w:r>
      <w:r>
        <w:t xml:space="preserve"> </w:t>
      </w:r>
      <w:r>
        <w:t xml:space="preserve">School of Psychology, University of Queensland, Brisbane, Australia</w:t>
      </w:r>
    </w:p>
    <w:p>
      <w:pPr>
        <w:pStyle w:val="Author"/>
      </w:pPr>
      <w:r>
        <w:rPr>
          <w:vertAlign w:val="superscript"/>
        </w:rPr>
        <w:t xml:space="preserve">7</w:t>
      </w:r>
      <w:r>
        <w:t xml:space="preserve"> </w:t>
      </w:r>
      <w:r>
        <w:t xml:space="preserve">School of Education, University of Wollongong, Wollongong, Australia</w:t>
      </w:r>
    </w:p>
    <w:p>
      <w:pPr>
        <w:pStyle w:val="Author"/>
      </w:pPr>
      <w:r>
        <w:rPr>
          <w:vertAlign w:val="superscript"/>
        </w:rPr>
        <w:t xml:space="preserve">8</w:t>
      </w:r>
      <w:r>
        <w:t xml:space="preserve"> </w:t>
      </w:r>
      <w:r>
        <w:t xml:space="preserve">Department of Sport and Physical Activity, Edge Hill University, Ormskirk, United Kingdom</w:t>
      </w:r>
    </w:p>
    <w:p>
      <w:pPr>
        <w:pStyle w:val="Author"/>
      </w:pPr>
      <w:r>
        <w:rPr>
          <w:vertAlign w:val="superscript"/>
        </w:rPr>
        <w:t xml:space="preserve">9</w:t>
      </w:r>
      <w:r>
        <w:t xml:space="preserve"> </w:t>
      </w:r>
      <w:r>
        <w:rPr>
          <w:b/>
          <w:bCs/>
          <w:i/>
          <w:iCs/>
        </w:rPr>
        <w:t xml:space="preserve">TBD</w:t>
      </w:r>
    </w:p>
    <w:p>
      <w:pPr>
        <w:pStyle w:val="Author"/>
      </w:pPr>
      <w:r>
        <w:rPr>
          <w:vertAlign w:val="superscript"/>
        </w:rPr>
        <w:t xml:space="preserve">10</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19">
        <w:r>
          <w:rPr>
            <w:rStyle w:val="Hyperlink"/>
          </w:rPr>
          <w:t xml:space="preserve">Taren.Sanders@acu.edu.au</w:t>
        </w:r>
      </w:hyperlink>
    </w:p>
    <w:p>
      <w:pPr>
        <w:pStyle w:val="h1-pagebreak"/>
      </w:pPr>
      <w:r>
        <w:t xml:space="preserve">Abstract</w:t>
      </w:r>
    </w:p>
    <w:p>
      <w:pPr>
        <w:pStyle w:val="Textkrper"/>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Textkrper"/>
      </w:pPr>
      <w:r>
        <w:rPr>
          <w:b/>
          <w:bCs/>
        </w:rPr>
        <w:t xml:space="preserve">Design</w:t>
      </w:r>
      <w:r>
        <w:t xml:space="preserve">: Pooled IPD analysis of accelerometer-based physical activity and sleep data from multiple observational studies.</w:t>
      </w:r>
    </w:p>
    <w:p>
      <w:pPr>
        <w:pStyle w:val="Textkrper"/>
      </w:pPr>
      <w:r>
        <w:rPr>
          <w:b/>
          <w:bCs/>
        </w:rPr>
        <w:t xml:space="preserve">Setting</w:t>
      </w:r>
      <w:r>
        <w:t xml:space="preserve">: We sourced data from 20 observational studies conducted multiple geographical regions and across the lifespan.</w:t>
      </w:r>
    </w:p>
    <w:p>
      <w:pPr>
        <w:pStyle w:val="Textkrper"/>
      </w:pPr>
      <w:r>
        <w:rPr>
          <w:b/>
          <w:bCs/>
        </w:rPr>
        <w:t xml:space="preserve">Participants</w:t>
      </w:r>
      <w:r>
        <w:t xml:space="preserve">: The dataset included 220,760 observations from 28,823 participants aged 2 to 94 years.</w:t>
      </w:r>
      <w:r>
        <w:t xml:space="preserve"> </w:t>
      </w:r>
      <w:r>
        <w:t xml:space="preserve">Participants were selected from studies that used research-grade accelerometers with at least four valid days of wear time, including at least one weekend day.</w:t>
      </w:r>
      <w:r>
        <w:t xml:space="preserve"> </w:t>
      </w:r>
      <w:r>
        <w:t xml:space="preserve">Exclusion criteria included insufficient wear time and missing key covariate data.</w:t>
      </w:r>
    </w:p>
    <w:p>
      <w:pPr>
        <w:pStyle w:val="Textkrper"/>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Textkrper"/>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effect of physical activity on sleep regularity was particularly strong, with minimal variation across age groups.</w:t>
      </w:r>
      <w:r>
        <w:t xml:space="preserve"> </w:t>
      </w:r>
      <w:r>
        <w:t xml:space="preserve">Conversely, individuals with more regular sleep patterns and earlier sleep onset exhibited higher levels of physical activity the following day, though these effects were modest.</w:t>
      </w:r>
    </w:p>
    <w:p>
      <w:pPr>
        <w:pStyle w:val="Textkrper"/>
      </w:pPr>
      <w:r>
        <w:rPr>
          <w:b/>
          <w:bCs/>
        </w:rPr>
        <w:t xml:space="preserve">Conclusions</w:t>
      </w:r>
      <w:r>
        <w:t xml:space="preserve">: Physical activity is positively associated with sleep regularity across the lifespan, supporting its role as a non-pharmacological intervention for maintaining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Textkrper"/>
      </w:pPr>
      <w:r>
        <w:rPr>
          <w:b/>
          <w:bCs/>
        </w:rPr>
        <w:t xml:space="preserve">Trial Registration</w:t>
      </w:r>
      <w:r>
        <w:t xml:space="preserve">: The study protocol was pre-registered on the Open Science Framework (</w:t>
      </w:r>
      <w:hyperlink r:id="rId20">
        <w:r>
          <w:rPr>
            <w:rStyle w:val="Hyperlink"/>
          </w:rPr>
          <w:t xml:space="preserve">https://osf.io/ahd96</w:t>
        </w:r>
      </w:hyperlink>
      <w:r>
        <w:t xml:space="preserv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1" w:name="introduction"/>
    <w:p>
      <w:pPr>
        <w:pStyle w:val="berschrift1"/>
      </w:pPr>
      <w:r>
        <w:t xml:space="preserve">Introduction</w:t>
      </w:r>
    </w:p>
    <w:p>
      <w:pPr>
        <w:pStyle w:val="FirstParagraph"/>
      </w:pPr>
      <w:r>
        <w:t xml:space="preserve">Sleep is an important determinant of population health across the lifespan</w:t>
      </w:r>
      <w:r>
        <w:t xml:space="preserve"> </w:t>
      </w:r>
      <w:r>
        <w:t xml:space="preserve">[1,2]</w:t>
      </w:r>
      <w:r>
        <w:t xml:space="preserve">.</w:t>
      </w:r>
      <w:r>
        <w:t xml:space="preserve"> </w:t>
      </w:r>
      <w:r>
        <w:t xml:space="preserve">The consequences of poor sleep include increased all-cause mortality</w:t>
      </w:r>
      <w:r>
        <w:t xml:space="preserve"> </w:t>
      </w:r>
      <w:r>
        <w:t xml:space="preserve">[3]</w:t>
      </w:r>
      <w:r>
        <w:t xml:space="preserve">, cardiovascular disease</w:t>
      </w:r>
      <w:r>
        <w:t xml:space="preserve"> </w:t>
      </w:r>
      <w:r>
        <w:t xml:space="preserve">[4]</w:t>
      </w:r>
      <w:r>
        <w:t xml:space="preserve">, cancers</w:t>
      </w:r>
      <w:r>
        <w:t xml:space="preserve"> </w:t>
      </w:r>
      <w:r>
        <w:t xml:space="preserve">[5]</w:t>
      </w:r>
      <w:r>
        <w:t xml:space="preserve">, and poor mental health</w:t>
      </w:r>
      <w:r>
        <w:t xml:space="preserve"> </w:t>
      </w:r>
      <w:r>
        <w:t xml:space="preserve">[6]</w:t>
      </w:r>
      <w:r>
        <w:t xml:space="preserve">.</w:t>
      </w:r>
      <w:r>
        <w:t xml:space="preserve"> </w:t>
      </w:r>
      <w:r>
        <w:t xml:space="preserve">Beyond duration and quality, the regularity of sleep timing is now recognised as a distinct dimension of sleep health</w:t>
      </w:r>
      <w:r>
        <w:t xml:space="preserve"> </w:t>
      </w:r>
      <w:r>
        <w:t xml:space="preserve">[7,8]</w:t>
      </w:r>
      <w:r>
        <w:t xml:space="preserve">, and irregular sleep is consistently associated with poorer mental, cardiometabolic, and survival outcomes</w:t>
      </w:r>
      <w:r>
        <w:t xml:space="preserve"> </w:t>
      </w:r>
      <w:r>
        <w:t xml:space="preserve">[9]</w:t>
      </w:r>
      <w:r>
        <w:t xml:space="preserve">.</w:t>
      </w:r>
      <w:r>
        <w:t xml:space="preserve"> </w:t>
      </w:r>
      <w:r>
        <w:t xml:space="preserve">Poor sleep - characteristed by low sleep quality, duration, or the presence of sleep disorders - is a frequent health problem: 14-68% of children and adolescents</w:t>
      </w:r>
      <w:r>
        <w:t xml:space="preserve"> </w:t>
      </w:r>
      <w:r>
        <w:t xml:space="preserve">[10]</w:t>
      </w:r>
      <w:r>
        <w:t xml:space="preserve"> </w:t>
      </w:r>
      <w:r>
        <w:t xml:space="preserve">and 31% of adults</w:t>
      </w:r>
      <w:r>
        <w:t xml:space="preserve"> </w:t>
      </w:r>
      <w:r>
        <w:t xml:space="preserve">[11]</w:t>
      </w:r>
      <w:r>
        <w:t xml:space="preserve"> </w:t>
      </w:r>
      <w:r>
        <w:t xml:space="preserve">report lower sleep duration than recommended</w:t>
      </w:r>
      <w:r>
        <w:t xml:space="preserve"> </w:t>
      </w:r>
      <w:r>
        <w:t xml:space="preserve">[12,13]</w:t>
      </w:r>
      <w:r>
        <w:t xml:space="preserve">.</w:t>
      </w:r>
      <w:r>
        <w:t xml:space="preserve"> </w:t>
      </w:r>
      <w:r>
        <w:t xml:space="preserve">Improving sleep should be a priority for public health policy</w:t>
      </w:r>
      <w:r>
        <w:t xml:space="preserve"> </w:t>
      </w:r>
      <w:r>
        <w:t xml:space="preserve">[14]</w:t>
      </w:r>
      <w:r>
        <w:t xml:space="preserve">, and more safe and accessible strategies that promote sleep are needed</w:t>
      </w:r>
      <w:r>
        <w:t xml:space="preserve"> </w:t>
      </w:r>
      <w:r>
        <w:t xml:space="preserve">[15]</w:t>
      </w:r>
      <w:r>
        <w:t xml:space="preserve">.</w:t>
      </w:r>
      <w:r>
        <w:t xml:space="preserve"> </w:t>
      </w:r>
      <w:r>
        <w:t xml:space="preserve">In adults, including older adults, being physically active appears to improve both the quantity and quality of sleep</w:t>
      </w:r>
      <w:r>
        <w:t xml:space="preserve"> </w:t>
      </w:r>
      <w:r>
        <w:t xml:space="preserve">[16–18]</w:t>
      </w:r>
      <w:r>
        <w:t xml:space="preserve">, and exercise is an effective treatment for insomnia</w:t>
      </w:r>
      <w:r>
        <w:t xml:space="preserve"> </w:t>
      </w:r>
      <w:r>
        <w:t xml:space="preserve">[19]</w:t>
      </w:r>
      <w:r>
        <w:t xml:space="preserve">.</w:t>
      </w:r>
      <w:r>
        <w:t xml:space="preserve"> </w:t>
      </w:r>
      <w:r>
        <w:t xml:space="preserve">The World Health Organization recommends physical activity as a method to improve sleep in adults and older adults</w:t>
      </w:r>
      <w:r>
        <w:t xml:space="preserve"> </w:t>
      </w:r>
      <w:r>
        <w:t xml:space="preserve">[20]</w:t>
      </w:r>
      <w:r>
        <w:t xml:space="preserve">.</w:t>
      </w:r>
      <w:r>
        <w:t xml:space="preserve"> </w:t>
      </w:r>
      <w:r>
        <w:t xml:space="preserve">In children and adolescents, associations are less clear</w:t>
      </w:r>
      <w:r>
        <w:t xml:space="preserve"> </w:t>
      </w:r>
      <w:r>
        <w:t xml:space="preserve">[15,21,22]</w:t>
      </w:r>
      <w:r>
        <w:t xml:space="preserve">: recent trials suggest exercise improves sleep quality and efficiency but not total sleep time</w:t>
      </w:r>
      <w:r>
        <w:t xml:space="preserve"> </w:t>
      </w:r>
      <w:r>
        <w:t xml:space="preserve">[23]</w:t>
      </w:r>
      <w:r>
        <w:t xml:space="preserve">, and guidelines do not currently support a role for physical activity to improve sleep in this age group.</w:t>
      </w:r>
    </w:p>
    <w:p>
      <w:pPr>
        <w:pStyle w:val="Textkrper"/>
      </w:pPr>
      <w:r>
        <w:t xml:space="preserve">Promoting physical activity may be an effective method to improve sleep across the lifespan, but the published literature has at least two limitations.</w:t>
      </w:r>
      <w:r>
        <w:t xml:space="preserve"> </w:t>
      </w:r>
      <w:r>
        <w:t xml:space="preserve">First, most studies have relied on self-report measures of sleep and physical activity</w:t>
      </w:r>
      <w:r>
        <w:t xml:space="preserve"> </w:t>
      </w:r>
      <w:r>
        <w:t xml:space="preserve">[15,21,22]</w:t>
      </w:r>
      <w:r>
        <w:t xml:space="preserve">, which could confound associations and limit the precision of analyses designed to identify a dose-response relationship between physical activity and sleep.</w:t>
      </w:r>
      <w:r>
        <w:t xml:space="preserve"> </w:t>
      </w:r>
      <w:r>
        <w:t xml:space="preserve">Second, no study has collected day-to-day data from a large and geographically diverse sample that included participants across the lifespan: daily associations have been synthesised separately in adults</w:t>
      </w:r>
      <w:r>
        <w:t xml:space="preserve"> </w:t>
      </w:r>
      <w:r>
        <w:t xml:space="preserve">[24]</w:t>
      </w:r>
      <w:r>
        <w:t xml:space="preserve"> </w:t>
      </w:r>
      <w:r>
        <w:t xml:space="preserve">and in children and youth</w:t>
      </w:r>
      <w:r>
        <w:t xml:space="preserve"> </w:t>
      </w:r>
      <w:r>
        <w:t xml:space="preserve">[25]</w:t>
      </w:r>
      <w:r>
        <w:t xml:space="preserve">, and recent consumer-wearable studies with millions of person-nights were restricted to adults and did not examine sleep regularity</w:t>
      </w:r>
      <w:r>
        <w:t xml:space="preserve"> </w:t>
      </w:r>
      <w:r>
        <w:t xml:space="preserve">[26,27]</w:t>
      </w:r>
      <w:r>
        <w:t xml:space="preserve">.</w:t>
      </w:r>
      <w:r>
        <w:t xml:space="preserve"> </w:t>
      </w:r>
      <w:r>
        <w:t xml:space="preserve">Umbrella reviews</w:t>
      </w:r>
      <w:r>
        <w:t xml:space="preserve"> </w:t>
      </w:r>
      <w:r>
        <w:t xml:space="preserve">[15]</w:t>
      </w:r>
      <w:r>
        <w:t xml:space="preserve"> </w:t>
      </w:r>
      <w:r>
        <w:t xml:space="preserve">and meta-analyses</w:t>
      </w:r>
      <w:r>
        <w:t xml:space="preserve"> </w:t>
      </w:r>
      <w:r>
        <w:t xml:space="preserve">[4,5,16,21,22,28–43]</w:t>
      </w:r>
      <w:r>
        <w:t xml:space="preserve"> </w:t>
      </w:r>
      <w:r>
        <w:t xml:space="preserve">have provided some suggestive evidence about how physical activity may improve sleep across the lifespan.</w:t>
      </w:r>
      <w:r>
        <w:t xml:space="preserve"> </w:t>
      </w:r>
      <w:r>
        <w:t xml:space="preserve">However, their reliance on aggregated study-level effects limits the quality and scope of data that can be used to analyse the influence of age</w:t>
      </w:r>
      <w:r>
        <w:t xml:space="preserve"> </w:t>
      </w:r>
      <w:r>
        <w:t xml:space="preserve">[44]</w:t>
      </w:r>
      <w:r>
        <w:t xml:space="preserve">.</w:t>
      </w:r>
      <w:r>
        <w:t xml:space="preserve"> </w:t>
      </w:r>
      <w:r>
        <w:t xml:space="preserve">Device-measured individual participant data analysis can overcome these limitations</w:t>
      </w:r>
      <w:r>
        <w:t xml:space="preserve"> </w:t>
      </w:r>
      <w:r>
        <w:t xml:space="preserve">[45]</w:t>
      </w:r>
      <w:r>
        <w:t xml:space="preserve">.</w:t>
      </w:r>
    </w:p>
    <w:p>
      <w:pPr>
        <w:pStyle w:val="Textkrper"/>
      </w:pPr>
      <w:r>
        <w:t xml:space="preserve">In this study we harmonised individual participant data from accelerometer observations obtained from studies around the world.</w:t>
      </w:r>
      <w:r>
        <w:t xml:space="preserve"> </w:t>
      </w:r>
      <w:r>
        <w:t xml:space="preserve">The aim of this pooled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1"/>
    <w:bookmarkStart w:id="31"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0">
        <w:r>
          <w:rPr>
            <w:rStyle w:val="Hyperlink"/>
          </w:rPr>
          <w:t xml:space="preserve">https://osf.io/ahd96</w:t>
        </w:r>
      </w:hyperlink>
      <w:r>
        <w:t xml:space="preserve">).</w:t>
      </w:r>
    </w:p>
    <w:bookmarkStart w:id="22" w:name="data-sources-and-data-acquisition"/>
    <w:p>
      <w:pPr>
        <w:pStyle w:val="berschrift2"/>
      </w:pPr>
      <w:r>
        <w:t xml:space="preserve">Data sources and data acquisition</w:t>
      </w:r>
    </w:p>
    <w:p>
      <w:pPr>
        <w:pStyle w:val="FirstParagraph"/>
      </w:pPr>
      <w:r>
        <w:t xml:space="preserve">We included data from studies, with any design, that used research-grade accelerometers and a 24-hour wear time protocol over a minimum of 4 days, including 1 weekend day.</w:t>
      </w:r>
      <w:r>
        <w:t xml:space="preserve"> </w:t>
      </w:r>
      <w:r>
        <w:t xml:space="preserve">Studies needed to have used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 or accelerometer brand.</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[16,21,22]</w:t>
      </w:r>
      <w:r>
        <w:t xml:space="preserve">.</w:t>
      </w:r>
      <w:r>
        <w:t xml:space="preserve"> </w:t>
      </w:r>
      <w:r>
        <w:t xml:space="preserve">We then used forward searching on potentially eligible studies</w:t>
      </w:r>
      <w:r>
        <w:t xml:space="preserve"> </w:t>
      </w:r>
      <w:r>
        <w:t xml:space="preserve">[46]</w:t>
      </w:r>
      <w:r>
        <w:t xml:space="preserve">.</w:t>
      </w:r>
      <w:r>
        <w:t xml:space="preserve"> </w:t>
      </w:r>
      <w:r>
        <w:t xml:space="preserve">We additionally performed a literature search to identify accelerometry consortiums and individual studies, searched trial registries (ANZCTR, ICTRP, ISRCTN) and the Open Science Framework for unpublished results, and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or institutional ethical committees, and all participants had to have provided written informed consent.</w:t>
      </w:r>
      <w:r>
        <w:t xml:space="preserve"> </w:t>
      </w:r>
      <w:r>
        <w:t xml:space="preserve">The lead university’s Research Ethics Committee granted permission for each study’s data to be obtained, and investigators transferred their deidentified data via a secure file-sharing system.</w:t>
      </w:r>
    </w:p>
    <w:bookmarkEnd w:id="22"/>
    <w:bookmarkStart w:id="23" w:name="data-harmonisation-and-outcomes"/>
    <w:p>
      <w:pPr>
        <w:pStyle w:val="berschrift2"/>
      </w:pPr>
      <w:r>
        <w:t xml:space="preserve">Data harmonisation and outcomes</w:t>
      </w:r>
    </w:p>
    <w:p>
      <w:pPr>
        <w:pStyle w:val="FirstParagraph"/>
      </w:pPr>
      <w:r>
        <w:t xml:space="preserve">All accelerometer-derived data were harmonised by reprocessing raw files using an open-source GGIR package in R to produce physical activity and sleep outcomes</w:t>
      </w:r>
      <w:r>
        <w:t xml:space="preserve"> </w:t>
      </w:r>
      <w:r>
        <w:t xml:space="preserve">[47,48]</w:t>
      </w:r>
      <w:r>
        <w:t xml:space="preserve">.</w:t>
      </w:r>
      <w:r>
        <w:t xml:space="preserve"> </w:t>
      </w:r>
      <w:r>
        <w:t xml:space="preserve">GGIR’s sleep detection has been evaluated against polysomnography in both adults</w:t>
      </w:r>
      <w:r>
        <w:t xml:space="preserve"> </w:t>
      </w:r>
      <w:r>
        <w:t xml:space="preserve">[48]</w:t>
      </w:r>
      <w:r>
        <w:t xml:space="preserve"> </w:t>
      </w:r>
      <w:r>
        <w:t xml:space="preserve">and children</w:t>
      </w:r>
      <w:r>
        <w:t xml:space="preserve"> </w:t>
      </w:r>
      <w:r>
        <w:t xml:space="preserve">[49,50]</w:t>
      </w:r>
      <w:r>
        <w:t xml:space="preserve">.</w:t>
      </w:r>
      <w:r>
        <w:t xml:space="preserve"> </w:t>
      </w:r>
      <w:r>
        <w:t xml:space="preserve">By reprocessing all raw accelerometer data, we were able to generate outcomes that could be compared across studies, device wear locations, and populations</w:t>
      </w:r>
      <w:r>
        <w:t xml:space="preserve"> </w:t>
      </w:r>
      <w:r>
        <w:t xml:space="preserve">[51]</w:t>
      </w:r>
      <w:r>
        <w:t xml:space="preserve">.</w:t>
      </w:r>
      <w:r>
        <w:t xml:space="preserve"> </w:t>
      </w:r>
      <w:r>
        <w:t xml:space="preserve">Data were reprocessed by the core research team or the data contributors themselves using the GGIR 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in an online supplementary file.</w:t>
      </w:r>
    </w:p>
    <w:p>
      <w:pPr>
        <w:pStyle w:val="Textkrper"/>
      </w:pPr>
      <w:r>
        <w:t xml:space="preserve">For sleep, GGIR produced the following metrics: total sleep time (minutes), sleep efficiency after onset (percentage of time asleep within the sleep period), sleep regularity (regularity of sleep and awake patterns on a day-to-day basis calculated as the sleep regularity index), and timing (time of sleep and awakening within the 24-hour time cycle).</w:t>
      </w:r>
      <w:r>
        <w:t xml:space="preserve"> </w:t>
      </w:r>
      <w:r>
        <w:t xml:space="preserve">For physical activity, we used volume and intensity metrics proposed by Rowlands et al</w:t>
      </w:r>
      <w:r>
        <w:t xml:space="preserve"> </w:t>
      </w:r>
      <w:r>
        <w:t xml:space="preserve">[52]</w:t>
      </w:r>
      <w:r>
        <w:t xml:space="preserve">.</w:t>
      </w:r>
      <w:r>
        <w:t xml:space="preserve"> </w:t>
      </w:r>
      <w:r>
        <w:t xml:space="preserve">These measures are 1) average acceleration (measure of physical activity volume) and 2) intensity gradient (measure of intensity distribution where the natural logs of time and intensity are used to produce a straight-line graph with the slope of the graph being the intensity gradient).</w:t>
      </w:r>
      <w:r>
        <w:t xml:space="preserve"> </w:t>
      </w:r>
      <w:r>
        <w:t xml:space="preserve">We used this approach to model the entire continuum of physical activity intensity for our primary analyses</w:t>
      </w:r>
      <w:r>
        <w:t xml:space="preserve"> </w:t>
      </w:r>
      <w:r>
        <w:t xml:space="preserve">[53]</w:t>
      </w:r>
      <w:r>
        <w:t xml:space="preserve"> </w:t>
      </w:r>
      <w:r>
        <w:t xml:space="preserve">and avoid collapsing physical activity data into population-specific intensity categories, which occurs when intensity cut-points are applied to accelerometer data</w:t>
      </w:r>
      <w:r>
        <w:t xml:space="preserve"> </w:t>
      </w:r>
      <w:r>
        <w:t xml:space="preserve">[54]</w:t>
      </w:r>
      <w:r>
        <w:t xml:space="preserve">.</w:t>
      </w:r>
    </w:p>
    <w:p>
      <w:pPr>
        <w:pStyle w:val="Textkrper"/>
      </w:pPr>
      <w:r>
        <w:t xml:space="preserve">To translate physical activity data for interpretation and public health recommendations and for time-use based analyses we then determined; 1) the number of minutes spent in acceleration intensity bands in</w:t>
      </w:r>
      <w:r>
        <w:t xml:space="preserve"> </w:t>
      </w:r>
      <m:oMath>
        <m:r>
          <m:t>50</m:t>
        </m:r>
        <m:r>
          <m:t>m</m:t>
        </m:r>
        <m:r>
          <m:t>g</m:t>
        </m:r>
      </m:oMath>
      <w:r>
        <w:t xml:space="preserve"> </w:t>
      </w:r>
      <w:r>
        <w:t xml:space="preserve">increments</w:t>
      </w:r>
      <w:r>
        <w:t xml:space="preserve"> </w:t>
      </w:r>
      <w:r>
        <w:t xml:space="preserve">[52]</w:t>
      </w:r>
      <w:r>
        <w:t xml:space="preserve">, 2) the number of minutes spent in light and moderate to vigorous physical activity using age appropriate cut-points applied to the time in intensity bands data, and 3) the minimum acceleration measured for a range of different durations, this is the</w:t>
      </w:r>
      <w:r>
        <w:t xml:space="preserve"> </w:t>
      </w:r>
      <m:oMath>
        <m:r>
          <m:t>M</m:t>
        </m:r>
        <m:r>
          <m:t>X</m:t>
        </m:r>
      </m:oMath>
      <w:r>
        <w:t xml:space="preserve"> </w:t>
      </w:r>
      <w:r>
        <w:t xml:space="preserve">metric where</w:t>
      </w:r>
      <w:r>
        <w:t xml:space="preserve"> </w:t>
      </w:r>
      <m:oMath>
        <m:r>
          <m:t>X</m:t>
        </m:r>
      </m:oMath>
      <w:r>
        <w:t xml:space="preserve"> </w:t>
      </w:r>
      <w:r>
        <w:t xml:space="preserve">refers to the duration.</w:t>
      </w:r>
      <w:r>
        <w:t xml:space="preserve"> </w:t>
      </w:r>
      <w:r>
        <w:t xml:space="preserve">For example,</w:t>
      </w:r>
      <w:r>
        <w:t xml:space="preserve"> </w:t>
      </w:r>
      <m:oMath>
        <m:r>
          <m:t>M</m:t>
        </m:r>
        <m:r>
          <m:t>60</m:t>
        </m:r>
      </m:oMath>
      <w:r>
        <w:t xml:space="preserve"> </w:t>
      </w:r>
      <w:r>
        <w:t xml:space="preserve">refers to the minimum acceleration for the most active 60 minutes of the day</w:t>
      </w:r>
      <w:r>
        <w:t xml:space="preserve"> </w:t>
      </w:r>
      <w:r>
        <w:t xml:space="preserve">[53]</w:t>
      </w:r>
      <w:r>
        <w:t xml:space="preserve">.</w:t>
      </w:r>
      <w:r>
        <w:t xml:space="preserve"> </w:t>
      </w:r>
      <w:r>
        <w:t xml:space="preserve">We also categorise all awake time into bout lengths for sedentary, light, and moderate to vigorous physical activity bouts using the categories defined by Gába et al</w:t>
      </w:r>
      <w:r>
        <w:t xml:space="preserve"> </w:t>
      </w:r>
      <w:r>
        <w:t xml:space="preserve">[55]</w:t>
      </w:r>
      <w:r>
        <w:t xml:space="preserve">.</w:t>
      </w:r>
      <w:r>
        <w:t xml:space="preserve"> </w:t>
      </w:r>
      <w:r>
        <w:t xml:space="preserve">After extracting sleep and physical activity, the remaining time within the 24-hour time cycle was classified as sedentary behaviour.</w:t>
      </w:r>
      <w:r>
        <w:t xml:space="preserve"> </w:t>
      </w:r>
      <w:r>
        <w:t xml:space="preserve">Non-wear time and abnormally high acceleration values were detected using the data processing default setting</w:t>
      </w:r>
      <w:r>
        <w:t xml:space="preserve"> </w:t>
      </w:r>
      <w:r>
        <w:t xml:space="preserve">[56]</w:t>
      </w:r>
      <w:r>
        <w:t xml:space="preserve">.</w:t>
      </w:r>
      <w:r>
        <w:t xml:space="preserve"> </w:t>
      </w:r>
      <w:r>
        <w:t xml:space="preserve">These data were classified as missing and imputed using the accelerometer data from the same time interval on the remaining days of the week.</w:t>
      </w:r>
    </w:p>
    <w:bookmarkEnd w:id="23"/>
    <w:bookmarkStart w:id="24"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p>
    <w:p>
      <w:pPr>
        <w:pStyle w:val="Textkrper"/>
      </w:pPr>
      <w:r>
        <w:t xml:space="preserve">Body mass index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No age-based growth reference applies from 18 years, so for adults we standardised body mass index against the adults in this sample.</w:t>
      </w:r>
      <w:r>
        <w:t xml:space="preserve"> </w:t>
      </w:r>
      <w:r>
        <w:t xml:space="preserve">The two halves are consequently not the same quantity: below 18 the z-score is expressed relative to an external growth reference, and at 18 and above relative to this sample.</w:t>
      </w:r>
      <w:r>
        <w:t xml:space="preserve"> </w:t>
      </w:r>
      <w:r>
        <w:t xml:space="preserve">We use the z-score in place of raw body mass index throughout, both as a covariate and as a moderator, so that a given value carries a comparable meaning at every age.</w:t>
      </w:r>
    </w:p>
    <w:bookmarkEnd w:id="24"/>
    <w:bookmarkStart w:id="25"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[57]</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[58]</w:t>
      </w:r>
      <w:r>
        <w:t xml:space="preserve">.</w:t>
      </w:r>
    </w:p>
    <w:p>
      <w:pPr>
        <w:pStyle w:val="Textkrper"/>
      </w:pPr>
      <w:r>
        <w:t xml:space="preserve">We screened all data for implausibly low or high measurements, as these likely indicate measurement device failures.</w:t>
      </w:r>
      <w:r>
        <w:t xml:space="preserve"> </w:t>
      </w:r>
      <w:r>
        <w:t xml:space="preserve">Screening had three stages.</w:t>
      </w:r>
      <w:r>
        <w:t xml:space="preserve"> </w:t>
      </w:r>
      <w:r>
        <w:t xml:space="preserve">First, we excluded values falling outside fixed physiological limits; for average acceleration this was 200 mg, a value above any sustainable 24-hour average.</w:t>
      </w:r>
      <w:r>
        <w:t xml:space="preserve"> </w:t>
      </w:r>
      <w:r>
        <w:t xml:space="preserve">Second, because a miscalibrated accelerometer corrupts every variable derived from acceleration magnitude rather than isolated days, we excluded all physical activity variables for files whose mean average acceleration exceeded that limit (76 participants).</w:t>
      </w:r>
      <w:r>
        <w:t xml:space="preserve"> </w:t>
      </w:r>
      <w:r>
        <w:t xml:space="preserve">Third, we excluded remaining values falling outside ±4 SD of the mean</w:t>
      </w:r>
      <w:r>
        <w:t xml:space="preserve"> </w:t>
      </w:r>
      <w:r>
        <w:rPr>
          <w:b/>
          <w:bCs/>
        </w:rPr>
        <w:t xml:space="preserve">of their own study</w:t>
      </w:r>
      <w:r>
        <w:t xml:space="preserve">, rather than of the pooled sample, so that the threshold reflected implausible measurement rather than between-study differences in device, protocol and population.</w:t>
      </w:r>
      <w:r>
        <w:t xml:space="preserve"> </w:t>
      </w:r>
      <w:r>
        <w:t xml:space="preserve">The fixed limits were applied before the ±4 SD screen because the mean and standard deviation are themselves distorted by the values they are used to detect.</w:t>
      </w:r>
      <w:r>
        <w:t xml:space="preserve"> </w:t>
      </w:r>
      <w:r>
        <w:t xml:space="preserve">Values excluded at any stage were treated as missing and imputed alongside genuinely missing data.</w:t>
      </w:r>
    </w:p>
    <w:p>
      <w:pPr>
        <w:pStyle w:val="Textkrper"/>
      </w:pPr>
      <w:r>
        <w:t xml:space="preserve">A day contributed to the analysis if it recorded more than 10 hours of wear time and, where sleep was detected, a sleep period longer than 200 minutes.</w:t>
      </w:r>
      <w:r>
        <w:t xml:space="preserve"> </w:t>
      </w:r>
      <w:r>
        <w:t xml:space="preserve">Participants were additionally required to have at least 4 days of valid wear time.</w:t>
      </w:r>
      <w:r>
        <w:t xml:space="preserve"> </w:t>
      </w:r>
      <w:r>
        <w:t xml:space="preserve">345 participants, contributing 465 person-days, did not meet this criterion, leaving 24,264 participants and 148,749 person-days for analysis.</w:t>
      </w:r>
      <w:r>
        <w:t xml:space="preserve"> </w:t>
      </w:r>
      <w:r>
        <w:t xml:space="preserve">Because the criterion is applied after imputation, the primary analysis and a sensitivity analysis that retains every eligible participant regardless of the number of valid wear days share the same imputations and the same standardisation constants, and are therefore directly comparable; the sensitivity analysis is reported in the supplementary materials.</w:t>
      </w:r>
    </w:p>
    <w:p>
      <w:pPr>
        <w:pStyle w:val="Textkrper"/>
      </w:pPr>
      <w:r>
        <w:t xml:space="preserve">We assumed missing covariate and moderator data to be missing at random or completely at random and imputed these missing values using multiple imputations by chained equations with the</w:t>
      </w:r>
      <w:r>
        <w:t xml:space="preserve"> </w:t>
      </w:r>
      <w:r>
        <w:rPr>
          <w:i/>
          <w:iCs/>
        </w:rPr>
        <w:t xml:space="preserve">mice</w:t>
      </w:r>
      <w:r>
        <w:t xml:space="preserve"> </w:t>
      </w:r>
      <w:r>
        <w:t xml:space="preserve">package in R</w:t>
      </w:r>
      <w:r>
        <w:t xml:space="preserve"> </w:t>
      </w:r>
      <w:r>
        <w:t xml:space="preserve">[59]</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We used Rubin’s rule to pool the results from analyses conducted using each imputed dataset into one single set of results.</w:t>
      </w:r>
      <w:r>
        <w:t xml:space="preserve"> </w:t>
      </w:r>
      <w:r>
        <w:t xml:space="preserve">We examined 95% confidence intervals for all analyses and used P&lt;0.05 to assess for statistical significance.</w:t>
      </w:r>
      <w:r>
        <w:t xml:space="preserve"> </w:t>
      </w:r>
      <w:r>
        <w:t xml:space="preserve"> </w:t>
      </w:r>
      <w:r>
        <w:t xml:space="preserve">Both the intervals and the p-values are computed on the pooled Barnard-Rubin degrees of freedom, which account for the additional uncertainty introduced by imputation.</w:t>
      </w:r>
      <w:r>
        <w:t xml:space="preserve"> </w:t>
      </w:r>
      <w:r>
        <w:t xml:space="preserve">We fitted 16 models for each moderator and report all of them without adjustment for multiple comparisons, so p-values close to 0.05 should be interpreted with corresponding caution.</w:t>
      </w:r>
      <w:r>
        <w:t xml:space="preserve"> </w:t>
      </w:r>
      <w:r>
        <w:t xml:space="preserve">We used R (version 4.5.3)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r>
        <w:t xml:space="preserve"> </w:t>
      </w:r>
      <w:r>
        <w:t xml:space="preserve"> </w:t>
      </w:r>
      <w:r>
        <w:t xml:space="preserve">Convergence and singularity are reported separately.</w:t>
      </w:r>
      <w:r>
        <w:t xml:space="preserve"> </w:t>
      </w:r>
      <w:r>
        <w:t xml:space="preserve">A singular fit is one in which the optimiser succeeded but placed a variance component at zero, which indicates that the data do not support that random effect rather than that estimation failed.</w:t>
      </w:r>
    </w:p>
    <w:p>
      <w:pPr>
        <w:pStyle w:val="Textkrper"/>
      </w:pPr>
      <w:r>
        <w:t xml:space="preserve">To examine the relationship between sleep and physical activity (Research Questions 1-2)</w:t>
      </w:r>
      <w:r>
        <w:t xml:space="preserve"> </w:t>
      </w:r>
      <w:r>
        <w:t xml:space="preserve"> </w:t>
      </w:r>
      <w:r>
        <w:t xml:space="preserve">we ran mixed-effects models with random intercepts for study ID and for participant, accounting for the nesting of repeated days within participants and of participants within studies</w:t>
      </w:r>
      <w:r>
        <w:t xml:space="preserve"> </w:t>
      </w:r>
      <w:r>
        <w:t xml:space="preserve">[60]</w:t>
      </w:r>
      <w:r>
        <w:t xml:space="preserve">.</w:t>
      </w:r>
    </w:p>
    <w:p>
      <w:pPr>
        <w:pStyle w:val="Textkrper"/>
      </w:pPr>
      <w:r>
        <w:t xml:space="preserve">We predicted each sleep indicator by each physical activity indicator controlling for socioeconomic status, sex, and body mass index z-score.</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w:t>
      </w:r>
    </w:p>
    <w:p>
      <w:pPr>
        <w:pStyle w:val="Textkrper"/>
      </w:pPr>
      <w:r>
        <w:t xml:space="preserve">Models predicting physical activity from the preceding night’s sleep (Research Question 3) use each sleep indicator lagged by one day, constructed within participants after eligibility screening so that the lagged value is always an eligible measurement from the immediately preceding calendar day.</w:t>
      </w:r>
      <w:r>
        <w:t xml:space="preserve"> </w:t>
      </w:r>
      <w:r>
        <w:t xml:space="preserve">Person-days whose preceding day was absent from the data or did not meet the eligibility criteria therefore have no lagged value and do not contribute to these models, leaving 120,660 of 149,214 eligible person-days.</w:t>
      </w:r>
    </w:p>
    <w:bookmarkEnd w:id="25"/>
    <w:bookmarkStart w:id="29"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We will address the remaining hypotheses in future research.</w:t>
      </w:r>
      <w:r>
        <w:t xml:space="preserve"> </w:t>
      </w:r>
      <w:r>
        <w:t xml:space="preserve">To streamline our analysis and reduce redundancy, we made some changes to our protocol while working with the holdout data.</w:t>
      </w:r>
    </w:p>
    <w:bookmarkStart w:id="26"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6"/>
    <w:bookmarkStart w:id="27"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and physical activity.</w:t>
      </w:r>
    </w:p>
    <w:bookmarkEnd w:id="27"/>
    <w:bookmarkStart w:id="28"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w:t>
      </w:r>
      <w:r>
        <w:t xml:space="preserve"> </w:t>
      </w:r>
      <w:r>
        <w:t xml:space="preserve">However, these models can be found in supplementary materials.</w:t>
      </w:r>
    </w:p>
    <w:bookmarkEnd w:id="28"/>
    <w:bookmarkEnd w:id="29"/>
    <w:bookmarkStart w:id="30"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The results of this study have broad public health interest, particularly for policymakers.</w:t>
      </w:r>
      <w:r>
        <w:t xml:space="preserve"> </w:t>
      </w:r>
      <w:r>
        <w:t xml:space="preserve">Findings from this study will be disseminated through institutional websites, press and media platform releases, and tailored messages to public health Organizations and governing bodies.</w:t>
      </w:r>
    </w:p>
    <w:bookmarkEnd w:id="30"/>
    <w:bookmarkEnd w:id="31"/>
    <w:bookmarkStart w:id="65" w:name="results"/>
    <w:p>
      <w:pPr>
        <w:pStyle w:val="berschrift1"/>
      </w:pPr>
      <w:r>
        <w:t xml:space="preserve">Results</w:t>
      </w:r>
    </w:p>
    <w:p>
      <w:pPr>
        <w:pStyle w:val="FirstParagraph"/>
      </w:pPr>
      <w:r>
        <w:t xml:space="preserve">The aggregated dataset describes 220,760 observations of daily physical activity and sleep from 28,823 unique participants.</w:t>
      </w:r>
      <w:r>
        <w:t xml:space="preserve"> </w:t>
      </w:r>
      <w:r>
        <w:t xml:space="preserve">Of these, 71,546 days were excluded as they had insufficient wear time, which also resulted in the exclusion of 4,214 participants.</w:t>
      </w:r>
      <w:r>
        <w:t xml:space="preserve"> </w:t>
      </w:r>
      <w:r>
        <w:t xml:space="preserve">A further 345 participants (465 days) were excluded for having fewer than 4 days of valid wear time, leaving 24,264 participants and 148,749 person-days.</w:t>
      </w:r>
      <w:r>
        <w:t xml:space="preserve"> </w:t>
      </w:r>
      <w:r>
        <w:t xml:space="preserve">Table</w:t>
      </w:r>
      <w:r>
        <w:t xml:space="preserve"> </w:t>
      </w:r>
      <w:r>
        <w:t xml:space="preserve">1</w:t>
      </w:r>
      <w:r>
        <w:t xml:space="preserve"> </w:t>
      </w:r>
      <w:r>
        <w:t xml:space="preserve">shows demographic information for the included participants.</w:t>
      </w:r>
      <w:r>
        <w:t xml:space="preserve"> </w:t>
      </w:r>
      <w:r>
        <w:t xml:space="preserve">Most participants came from Europe, Oceania, and South America, with limited data from other regions.</w:t>
      </w:r>
      <w:r>
        <w:t xml:space="preserve"> </w:t>
      </w:r>
      <w:r>
        <w:t xml:space="preserve">There was a near-even split by sex (50.4% female), but age skewed towards both younger children (2-11 years, 44.9%) and older adults (66+ years, 25.1%).</w:t>
      </w:r>
    </w:p>
    <w:p>
      <w:pPr>
        <w:pStyle w:val="Textkrper"/>
      </w:pPr>
      <w:r>
        <w:t xml:space="preserve">Valid observations were not uniform across the days of the week (</w:t>
      </w:r>
      <m:oMath>
        <m:sSubSup>
          <m:e>
            <m:r>
              <m:t>χ</m:t>
            </m:r>
          </m:e>
          <m:sub>
            <m:r>
              <m:rPr>
                <m:sty m:val="p"/>
              </m:rPr>
              <m:t>(</m:t>
            </m:r>
            <m:r>
              <m:t>6</m:t>
            </m:r>
            <m:r>
              <m:rPr>
                <m:sty m:val="p"/>
              </m:rPr>
              <m:t>)</m:t>
            </m:r>
          </m:sub>
          <m:sup>
            <m:r>
              <m:t>2</m:t>
            </m:r>
          </m:sup>
        </m:sSubSup>
      </m:oMath>
      <w:r>
        <w:t xml:space="preserve"> </w:t>
      </w:r>
      <w:r>
        <w:t xml:space="preserve">= 310.72, p = &lt; .001).</w:t>
      </w:r>
      <w:r>
        <w:t xml:space="preserve"> </w:t>
      </w:r>
      <w:r>
        <w:t xml:space="preserve">Weekends were over-represented (Saturday: z = 6.08; Sunday: z = 11.62), while Wednesdays (z = -9.91) and Thursdays (z = -8.85) were under-represented.</w:t>
      </w:r>
      <w:r>
        <w:t xml:space="preserve"> </w:t>
      </w:r>
      <w:r>
        <w:t xml:space="preserve">A table of study characteristics can be found in the supplementary materials.</w:t>
      </w:r>
    </w:p>
    <w:p>
      <w:pPr>
        <w:pStyle w:val="TableCaption"/>
      </w:pPr>
      <w:bookmarkStart w:id="32" w:name="tab:demo-participants"/>
      <w:bookmarkEnd w:id="32"/>
      <w:r>
        <w:t xml:space="preserve">Table 1</w:t>
      </w:r>
      <w:r>
        <w:br/>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1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10,857</w:t>
            </w:r>
          </w:p>
        </w:tc>
        <w:tc>
          <w:tcPr/>
          <w:p>
            <w:pPr>
              <w:pStyle w:val="Compact"/>
              <w:jc w:val="left"/>
            </w:pPr>
            <w:r>
              <w:t xml:space="preserve">1,921</w:t>
            </w:r>
          </w:p>
        </w:tc>
        <w:tc>
          <w:tcPr/>
          <w:p>
            <w:pPr>
              <w:pStyle w:val="Compact"/>
              <w:jc w:val="left"/>
            </w:pPr>
            <w:r>
              <w:t xml:space="preserve">308</w:t>
            </w:r>
          </w:p>
        </w:tc>
        <w:tc>
          <w:tcPr/>
          <w:p>
            <w:pPr>
              <w:pStyle w:val="Compact"/>
              <w:jc w:val="left"/>
            </w:pPr>
            <w:r>
              <w:t xml:space="preserve">5,040</w:t>
            </w:r>
          </w:p>
        </w:tc>
        <w:tc>
          <w:tcPr/>
          <w:p>
            <w:pPr>
              <w:pStyle w:val="Compact"/>
              <w:jc w:val="left"/>
            </w:pPr>
            <w:r>
              <w:t xml:space="preserve">6,066</w:t>
            </w:r>
          </w:p>
        </w:tc>
      </w:tr>
      <w:tr>
        <w:tc>
          <w:tcPr/>
          <w:p>
            <w:pPr>
              <w:pStyle w:val="Compact"/>
              <w:jc w:val="left"/>
            </w:pPr>
            <w:r>
              <w:t xml:space="preserve">   Age</w:t>
            </w:r>
          </w:p>
        </w:tc>
        <w:tc>
          <w:tcPr/>
          <w:p>
            <w:pPr>
              <w:pStyle w:val="Compact"/>
              <w:jc w:val="left"/>
            </w:pPr>
            <w:r>
              <w:t xml:space="preserve">9.73 (1.49)</w:t>
            </w:r>
          </w:p>
        </w:tc>
        <w:tc>
          <w:tcPr/>
          <w:p>
            <w:pPr>
              <w:pStyle w:val="Compact"/>
              <w:jc w:val="left"/>
            </w:pPr>
            <w:r>
              <w:t xml:space="preserve">15.74 (1.72)</w:t>
            </w:r>
          </w:p>
        </w:tc>
        <w:tc>
          <w:tcPr/>
          <w:p>
            <w:pPr>
              <w:pStyle w:val="Compact"/>
              <w:jc w:val="left"/>
            </w:pPr>
            <w:r>
              <w:t xml:space="preserve">29.16 (5.07)</w:t>
            </w:r>
          </w:p>
        </w:tc>
        <w:tc>
          <w:tcPr/>
          <w:p>
            <w:pPr>
              <w:pStyle w:val="Compact"/>
              <w:jc w:val="left"/>
            </w:pPr>
            <w:r>
              <w:t xml:space="preserve">57.68 (7.37)</w:t>
            </w:r>
          </w:p>
        </w:tc>
        <w:tc>
          <w:tcPr/>
          <w:p>
            <w:pPr>
              <w:pStyle w:val="Compact"/>
              <w:jc w:val="left"/>
            </w:pPr>
            <w:r>
              <w:t xml:space="preserve">72.72 (4.52)</w:t>
            </w:r>
          </w:p>
        </w:tc>
      </w:tr>
      <w:tr>
        <w:tc>
          <w:tcPr/>
          <w:p>
            <w:pPr>
              <w:pStyle w:val="Compact"/>
              <w:jc w:val="left"/>
            </w:pPr>
            <w:r>
              <w:t xml:space="preserve">   BMI</w:t>
            </w:r>
          </w:p>
        </w:tc>
        <w:tc>
          <w:tcPr/>
          <w:p>
            <w:pPr>
              <w:pStyle w:val="Compact"/>
              <w:jc w:val="left"/>
            </w:pPr>
            <w:r>
              <w:t xml:space="preserve">17.99 (3.19)</w:t>
            </w:r>
          </w:p>
        </w:tc>
        <w:tc>
          <w:tcPr/>
          <w:p>
            <w:pPr>
              <w:pStyle w:val="Compact"/>
              <w:jc w:val="left"/>
            </w:pPr>
            <w:r>
              <w:t xml:space="preserve">21.61 (3.76)</w:t>
            </w:r>
          </w:p>
        </w:tc>
        <w:tc>
          <w:tcPr/>
          <w:p>
            <w:pPr>
              <w:pStyle w:val="Compact"/>
              <w:jc w:val="left"/>
            </w:pPr>
            <w:r>
              <w:t xml:space="preserve">26.46 (6.42)</w:t>
            </w:r>
          </w:p>
        </w:tc>
        <w:tc>
          <w:tcPr/>
          <w:p>
            <w:pPr>
              <w:pStyle w:val="Compact"/>
              <w:jc w:val="left"/>
            </w:pPr>
            <w:r>
              <w:t xml:space="preserve">26.80 (4.79)</w:t>
            </w:r>
          </w:p>
        </w:tc>
        <w:tc>
          <w:tcPr/>
          <w:p>
            <w:pPr>
              <w:pStyle w:val="Compact"/>
              <w:jc w:val="left"/>
            </w:pPr>
            <w:r>
              <w:t xml:space="preserve">27.08 (4.31)</w:t>
            </w:r>
          </w:p>
        </w:tc>
      </w:tr>
      <w:tr>
        <w:tc>
          <w:tcPr/>
          <w:p>
            <w:pPr>
              <w:pStyle w:val="Compact"/>
              <w:jc w:val="left"/>
            </w:pPr>
            <w:r>
              <w:t xml:space="preserve">   BMI z-score</w:t>
            </w:r>
          </w:p>
        </w:tc>
        <w:tc>
          <w:tcPr/>
          <w:p>
            <w:pPr>
              <w:pStyle w:val="Compact"/>
              <w:jc w:val="left"/>
            </w:pPr>
            <w:r>
              <w:t xml:space="preserve">0.25 (1.07)</w:t>
            </w:r>
          </w:p>
        </w:tc>
        <w:tc>
          <w:tcPr/>
          <w:p>
            <w:pPr>
              <w:pStyle w:val="Compact"/>
              <w:jc w:val="left"/>
            </w:pPr>
            <w:r>
              <w:t xml:space="preserve">0.09 (1.02)</w:t>
            </w:r>
          </w:p>
        </w:tc>
        <w:tc>
          <w:tcPr/>
          <w:p>
            <w:pPr>
              <w:pStyle w:val="Compact"/>
              <w:jc w:val="left"/>
            </w:pPr>
            <w:r>
              <w:t xml:space="preserve">-0.09 (1.38)</w:t>
            </w:r>
          </w:p>
        </w:tc>
        <w:tc>
          <w:tcPr/>
          <w:p>
            <w:pPr>
              <w:pStyle w:val="Compact"/>
              <w:jc w:val="left"/>
            </w:pPr>
            <w:r>
              <w:t xml:space="preserve">-0.02 (1.03)</w:t>
            </w:r>
          </w:p>
        </w:tc>
        <w:tc>
          <w:tcPr/>
          <w:p>
            <w:pPr>
              <w:pStyle w:val="Compact"/>
              <w:jc w:val="left"/>
            </w:pPr>
            <w:r>
              <w:t xml:space="preserve">0.05 (0.93)</w:t>
            </w:r>
          </w:p>
        </w:tc>
      </w:tr>
      <w:tr>
        <w:tc>
          <w:tcPr/>
          <w:p>
            <w:pPr>
              <w:pStyle w:val="Compact"/>
              <w:jc w:val="left"/>
            </w:pPr>
            <w:r>
              <w:t xml:space="preserve">   Valid Weartime Hours</w:t>
            </w:r>
          </w:p>
        </w:tc>
        <w:tc>
          <w:tcPr/>
          <w:p>
            <w:pPr>
              <w:pStyle w:val="Compact"/>
              <w:jc w:val="left"/>
            </w:pPr>
            <w:r>
              <w:t xml:space="preserve">23.13 (1.60)</w:t>
            </w:r>
          </w:p>
        </w:tc>
        <w:tc>
          <w:tcPr/>
          <w:p>
            <w:pPr>
              <w:pStyle w:val="Compact"/>
              <w:jc w:val="left"/>
            </w:pPr>
            <w:r>
              <w:t xml:space="preserve">23.23 (1.54)</w:t>
            </w:r>
          </w:p>
        </w:tc>
        <w:tc>
          <w:tcPr/>
          <w:p>
            <w:pPr>
              <w:pStyle w:val="Compact"/>
              <w:jc w:val="left"/>
            </w:pPr>
            <w:r>
              <w:t xml:space="preserve">23.25 (1.61)</w:t>
            </w:r>
          </w:p>
        </w:tc>
        <w:tc>
          <w:tcPr/>
          <w:p>
            <w:pPr>
              <w:pStyle w:val="Compact"/>
              <w:jc w:val="left"/>
            </w:pPr>
            <w:r>
              <w:t xml:space="preserve">23.74 (0.82)</w:t>
            </w:r>
          </w:p>
        </w:tc>
        <w:tc>
          <w:tcPr/>
          <w:p>
            <w:pPr>
              <w:pStyle w:val="Compact"/>
              <w:jc w:val="left"/>
            </w:pPr>
            <w:r>
              <w:t xml:space="preserve">23.89 (0.40)</w:t>
            </w:r>
          </w:p>
        </w:tc>
      </w:tr>
      <w:tr>
        <w:tc>
          <w:tcPr/>
          <w:p>
            <w:pPr>
              <w:pStyle w:val="Compact"/>
              <w:jc w:val="left"/>
            </w:pPr>
            <w:r>
              <w:t xml:space="preserve">   Valid Weatime Days</w:t>
            </w:r>
          </w:p>
        </w:tc>
        <w:tc>
          <w:tcPr/>
          <w:p>
            <w:pPr>
              <w:pStyle w:val="Compact"/>
              <w:jc w:val="left"/>
            </w:pPr>
            <w:r>
              <w:t xml:space="preserve">5.62 (1.89)</w:t>
            </w:r>
          </w:p>
        </w:tc>
        <w:tc>
          <w:tcPr/>
          <w:p>
            <w:pPr>
              <w:pStyle w:val="Compact"/>
              <w:jc w:val="left"/>
            </w:pPr>
            <w:r>
              <w:t xml:space="preserve">4.97 (1.34)</w:t>
            </w:r>
          </w:p>
        </w:tc>
        <w:tc>
          <w:tcPr/>
          <w:p>
            <w:pPr>
              <w:pStyle w:val="Compact"/>
              <w:jc w:val="left"/>
            </w:pPr>
            <w:r>
              <w:t xml:space="preserve">4.79 (1.31)</w:t>
            </w:r>
          </w:p>
        </w:tc>
        <w:tc>
          <w:tcPr/>
          <w:p>
            <w:pPr>
              <w:pStyle w:val="Compact"/>
              <w:jc w:val="left"/>
            </w:pPr>
            <w:r>
              <w:t xml:space="preserve">7.34 (2.48)</w:t>
            </w:r>
          </w:p>
        </w:tc>
        <w:tc>
          <w:tcPr/>
          <w:p>
            <w:pPr>
              <w:pStyle w:val="Compact"/>
              <w:jc w:val="left"/>
            </w:pPr>
            <w:r>
              <w:t xml:space="preserve">6.48 (2.09)</w:t>
            </w:r>
          </w:p>
        </w:tc>
      </w:tr>
      <w:tr>
        <w:tc>
          <w:tcPr/>
          <w:p>
            <w:pPr>
              <w:pStyle w:val="Compact"/>
              <w:jc w:val="left"/>
            </w:pPr>
            <w:r>
              <w:t xml:space="preserve">   PA Intensity</w:t>
            </w:r>
          </w:p>
        </w:tc>
        <w:tc>
          <w:tcPr/>
          <w:p>
            <w:pPr>
              <w:pStyle w:val="Compact"/>
              <w:jc w:val="left"/>
            </w:pPr>
            <w:r>
              <w:t xml:space="preserve">-2.13 (0.19)</w:t>
            </w:r>
          </w:p>
        </w:tc>
        <w:tc>
          <w:tcPr/>
          <w:p>
            <w:pPr>
              <w:pStyle w:val="Compact"/>
              <w:jc w:val="left"/>
            </w:pPr>
            <w:r>
              <w:t xml:space="preserve">-2.23 (0.19)</w:t>
            </w:r>
          </w:p>
        </w:tc>
        <w:tc>
          <w:tcPr/>
          <w:p>
            <w:pPr>
              <w:pStyle w:val="Compact"/>
              <w:jc w:val="left"/>
            </w:pPr>
            <w:r>
              <w:t xml:space="preserve">-2.43 (0.19)</w:t>
            </w:r>
          </w:p>
        </w:tc>
        <w:tc>
          <w:tcPr/>
          <w:p>
            <w:pPr>
              <w:pStyle w:val="Compact"/>
              <w:jc w:val="left"/>
            </w:pPr>
            <w:r>
              <w:t xml:space="preserve">-2.50 (0.19)</w:t>
            </w:r>
          </w:p>
        </w:tc>
        <w:tc>
          <w:tcPr/>
          <w:p>
            <w:pPr>
              <w:pStyle w:val="Compact"/>
              <w:jc w:val="left"/>
            </w:pPr>
            <w:r>
              <w:t xml:space="preserve">-2.68 (0.22)</w:t>
            </w:r>
          </w:p>
        </w:tc>
      </w:tr>
      <w:tr>
        <w:tc>
          <w:tcPr/>
          <w:p>
            <w:pPr>
              <w:pStyle w:val="Compact"/>
              <w:jc w:val="left"/>
            </w:pPr>
            <w:r>
              <w:t xml:space="preserve">   PA Volume</w:t>
            </w:r>
          </w:p>
        </w:tc>
        <w:tc>
          <w:tcPr/>
          <w:p>
            <w:pPr>
              <w:pStyle w:val="Compact"/>
              <w:jc w:val="left"/>
            </w:pPr>
            <w:r>
              <w:t xml:space="preserve">42.53 (24.27)</w:t>
            </w:r>
          </w:p>
        </w:tc>
        <w:tc>
          <w:tcPr/>
          <w:p>
            <w:pPr>
              <w:pStyle w:val="Compact"/>
              <w:jc w:val="left"/>
            </w:pPr>
            <w:r>
              <w:t xml:space="preserve">46.73 (14.30)</w:t>
            </w:r>
          </w:p>
        </w:tc>
        <w:tc>
          <w:tcPr/>
          <w:p>
            <w:pPr>
              <w:pStyle w:val="Compact"/>
              <w:jc w:val="left"/>
            </w:pPr>
            <w:r>
              <w:t xml:space="preserve">39.53 (10.69)</w:t>
            </w:r>
          </w:p>
        </w:tc>
        <w:tc>
          <w:tcPr/>
          <w:p>
            <w:pPr>
              <w:pStyle w:val="Compact"/>
              <w:jc w:val="left"/>
            </w:pPr>
            <w:r>
              <w:t xml:space="preserve">38.82 (11.60)</w:t>
            </w:r>
          </w:p>
        </w:tc>
        <w:tc>
          <w:tcPr/>
          <w:p>
            <w:pPr>
              <w:pStyle w:val="Compact"/>
              <w:jc w:val="left"/>
            </w:pPr>
            <w:r>
              <w:t xml:space="preserve">30.86 (9.71)</w:t>
            </w:r>
          </w:p>
        </w:tc>
      </w:tr>
      <w:tr>
        <w:tc>
          <w:tcPr/>
          <w:p>
            <w:pPr>
              <w:pStyle w:val="Compact"/>
              <w:jc w:val="left"/>
            </w:pPr>
            <w:r>
              <w:t xml:space="preserve">   Sleep Duration (min)</w:t>
            </w:r>
          </w:p>
        </w:tc>
        <w:tc>
          <w:tcPr/>
          <w:p>
            <w:pPr>
              <w:pStyle w:val="Compact"/>
              <w:jc w:val="left"/>
            </w:pPr>
            <w:r>
              <w:t xml:space="preserve">486.90 (52.97)</w:t>
            </w:r>
          </w:p>
        </w:tc>
        <w:tc>
          <w:tcPr/>
          <w:p>
            <w:pPr>
              <w:pStyle w:val="Compact"/>
              <w:jc w:val="left"/>
            </w:pPr>
            <w:r>
              <w:t xml:space="preserve">416.72 (55.29)</w:t>
            </w:r>
          </w:p>
        </w:tc>
        <w:tc>
          <w:tcPr/>
          <w:p>
            <w:pPr>
              <w:pStyle w:val="Compact"/>
              <w:jc w:val="left"/>
            </w:pPr>
            <w:r>
              <w:t xml:space="preserve">421.10 (62.52)</w:t>
            </w:r>
          </w:p>
        </w:tc>
        <w:tc>
          <w:tcPr/>
          <w:p>
            <w:pPr>
              <w:pStyle w:val="Compact"/>
              <w:jc w:val="left"/>
            </w:pPr>
            <w:r>
              <w:t xml:space="preserve">408.42 (55.81)</w:t>
            </w:r>
          </w:p>
        </w:tc>
        <w:tc>
          <w:tcPr/>
          <w:p>
            <w:pPr>
              <w:pStyle w:val="Compact"/>
              <w:jc w:val="left"/>
            </w:pPr>
            <w:r>
              <w:t xml:space="preserve">404.16 (63.32)</w:t>
            </w:r>
          </w:p>
        </w:tc>
      </w:tr>
      <w:tr>
        <w:tc>
          <w:tcPr/>
          <w:p>
            <w:pPr>
              <w:pStyle w:val="Compact"/>
              <w:jc w:val="left"/>
            </w:pPr>
            <w:r>
              <w:t xml:space="preserve">   Sleep Efficiency (%)</w:t>
            </w:r>
          </w:p>
        </w:tc>
        <w:tc>
          <w:tcPr/>
          <w:p>
            <w:pPr>
              <w:pStyle w:val="Compact"/>
              <w:jc w:val="left"/>
            </w:pPr>
            <w:r>
              <w:t xml:space="preserve">80.75 (7.40)</w:t>
            </w:r>
          </w:p>
        </w:tc>
        <w:tc>
          <w:tcPr/>
          <w:p>
            <w:pPr>
              <w:pStyle w:val="Compact"/>
              <w:jc w:val="left"/>
            </w:pPr>
            <w:r>
              <w:t xml:space="preserve">87.13 (6.30)</w:t>
            </w:r>
          </w:p>
        </w:tc>
        <w:tc>
          <w:tcPr/>
          <w:p>
            <w:pPr>
              <w:pStyle w:val="Compact"/>
              <w:jc w:val="left"/>
            </w:pPr>
            <w:r>
              <w:t xml:space="preserve">87.28 (6.12)</w:t>
            </w:r>
          </w:p>
        </w:tc>
        <w:tc>
          <w:tcPr/>
          <w:p>
            <w:pPr>
              <w:pStyle w:val="Compact"/>
              <w:jc w:val="left"/>
            </w:pPr>
            <w:r>
              <w:t xml:space="preserve">87.79 (5.52)</w:t>
            </w:r>
          </w:p>
        </w:tc>
        <w:tc>
          <w:tcPr/>
          <w:p>
            <w:pPr>
              <w:pStyle w:val="Compact"/>
              <w:jc w:val="left"/>
            </w:pPr>
            <w:r>
              <w:t xml:space="preserve">86.50 (6.03)</w:t>
            </w:r>
          </w:p>
        </w:tc>
      </w:tr>
      <w:tr>
        <w:tc>
          <w:tcPr/>
          <w:p>
            <w:pPr>
              <w:pStyle w:val="Compact"/>
              <w:jc w:val="left"/>
            </w:pPr>
            <w:r>
              <w:t xml:space="preserve">   Sleep Onset (clock time; SD in h:mm)</w:t>
            </w:r>
          </w:p>
        </w:tc>
        <w:tc>
          <w:tcPr/>
          <w:p>
            <w:pPr>
              <w:pStyle w:val="Compact"/>
              <w:jc w:val="left"/>
            </w:pPr>
            <w:r>
              <w:t xml:space="preserve">20:55 (01:08)</w:t>
            </w:r>
          </w:p>
        </w:tc>
        <w:tc>
          <w:tcPr/>
          <w:p>
            <w:pPr>
              <w:pStyle w:val="Compact"/>
              <w:jc w:val="left"/>
            </w:pPr>
            <w:r>
              <w:t xml:space="preserve">23:30 (01:26)</w:t>
            </w:r>
          </w:p>
        </w:tc>
        <w:tc>
          <w:tcPr/>
          <w:p>
            <w:pPr>
              <w:pStyle w:val="Compact"/>
              <w:jc w:val="left"/>
            </w:pPr>
            <w:r>
              <w:t xml:space="preserve">23:40 (01:46)</w:t>
            </w:r>
          </w:p>
        </w:tc>
        <w:tc>
          <w:tcPr/>
          <w:p>
            <w:pPr>
              <w:pStyle w:val="Compact"/>
              <w:jc w:val="left"/>
            </w:pPr>
            <w:r>
              <w:t xml:space="preserve">23:41 (01:23)</w:t>
            </w:r>
          </w:p>
        </w:tc>
        <w:tc>
          <w:tcPr/>
          <w:p>
            <w:pPr>
              <w:pStyle w:val="Compact"/>
              <w:jc w:val="left"/>
            </w:pPr>
            <w:r>
              <w:t xml:space="preserve">00:23 (01:14)</w:t>
            </w:r>
          </w:p>
        </w:tc>
      </w:tr>
      <w:tr>
        <w:tc>
          <w:tcPr/>
          <w:p>
            <w:pPr>
              <w:pStyle w:val="Compact"/>
              <w:jc w:val="left"/>
            </w:pPr>
            <w:r>
              <w:t xml:space="preserve">   Sleep Regularity</w:t>
            </w:r>
          </w:p>
        </w:tc>
        <w:tc>
          <w:tcPr/>
          <w:p>
            <w:pPr>
              <w:pStyle w:val="Compact"/>
              <w:jc w:val="left"/>
            </w:pPr>
            <w:r>
              <w:t xml:space="preserve">54.00 (12.73)</w:t>
            </w:r>
          </w:p>
        </w:tc>
        <w:tc>
          <w:tcPr/>
          <w:p>
            <w:pPr>
              <w:pStyle w:val="Compact"/>
              <w:jc w:val="left"/>
            </w:pPr>
            <w:r>
              <w:t xml:space="preserve">57.03 (12.15)</w:t>
            </w:r>
          </w:p>
        </w:tc>
        <w:tc>
          <w:tcPr/>
          <w:p>
            <w:pPr>
              <w:pStyle w:val="Compact"/>
              <w:jc w:val="left"/>
            </w:pPr>
            <w:r>
              <w:t xml:space="preserve">55.79 (12.76)</w:t>
            </w:r>
          </w:p>
        </w:tc>
        <w:tc>
          <w:tcPr/>
          <w:p>
            <w:pPr>
              <w:pStyle w:val="Compact"/>
              <w:jc w:val="left"/>
            </w:pPr>
            <w:r>
              <w:t xml:space="preserve">59.45 (11.35)</w:t>
            </w:r>
          </w:p>
        </w:tc>
        <w:tc>
          <w:tcPr/>
          <w:p>
            <w:pPr>
              <w:pStyle w:val="Compact"/>
              <w:jc w:val="left"/>
            </w:pPr>
            <w:r>
              <w:t xml:space="preserve">54.53 (12.49)</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2,567 (23.64%)</w:t>
            </w:r>
          </w:p>
        </w:tc>
        <w:tc>
          <w:tcPr/>
          <w:p>
            <w:pPr>
              <w:pStyle w:val="Compact"/>
              <w:jc w:val="left"/>
            </w:pPr>
            <w:r>
              <w:t xml:space="preserve">1,883 (98.02%)</w:t>
            </w:r>
          </w:p>
        </w:tc>
        <w:tc>
          <w:tcPr/>
          <w:p>
            <w:pPr>
              <w:pStyle w:val="Compact"/>
              <w:jc w:val="left"/>
            </w:pPr>
            <w:r>
              <w:t xml:space="preserve">308 (100.00%)</w:t>
            </w:r>
          </w:p>
        </w:tc>
        <w:tc>
          <w:tcPr/>
          <w:p>
            <w:pPr>
              <w:pStyle w:val="Compact"/>
              <w:jc w:val="left"/>
            </w:pPr>
            <w:r>
              <w:t xml:space="preserve">5,040 (100.00%)</w:t>
            </w:r>
          </w:p>
        </w:tc>
        <w:tc>
          <w:tcPr/>
          <w:p>
            <w:pPr>
              <w:pStyle w:val="Compact"/>
              <w:jc w:val="left"/>
            </w:pPr>
            <w:r>
              <w:t xml:space="preserve">6,066 (100.00%)</w:t>
            </w:r>
          </w:p>
        </w:tc>
      </w:tr>
      <w:tr>
        <w:tc>
          <w:tcPr/>
          <w:p>
            <w:pPr>
              <w:pStyle w:val="Compact"/>
              <w:jc w:val="left"/>
            </w:pPr>
            <w:r>
              <w:t xml:space="preserve">   Hip</w:t>
            </w:r>
          </w:p>
        </w:tc>
        <w:tc>
          <w:tcPr/>
          <w:p>
            <w:pPr>
              <w:pStyle w:val="Compact"/>
              <w:jc w:val="left"/>
            </w:pPr>
            <w:r>
              <w:t xml:space="preserve">8,290 (76.36%)</w:t>
            </w:r>
          </w:p>
        </w:tc>
        <w:tc>
          <w:tcPr/>
          <w:p>
            <w:pPr>
              <w:pStyle w:val="Compact"/>
              <w:jc w:val="left"/>
            </w:pPr>
            <w:r>
              <w:t xml:space="preserve">   38 (1.98%)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1,505 (13.86%)</w:t>
            </w:r>
          </w:p>
        </w:tc>
        <w:tc>
          <w:tcPr/>
          <w:p>
            <w:pPr>
              <w:pStyle w:val="Compact"/>
              <w:jc w:val="left"/>
            </w:pPr>
            <w:r>
              <w:t xml:space="preserve">303 (15.77%)</w:t>
            </w:r>
          </w:p>
        </w:tc>
        <w:tc>
          <w:tcPr/>
          <w:p>
            <w:pPr>
              <w:pStyle w:val="Compact"/>
              <w:jc w:val="left"/>
            </w:pPr>
            <w:r>
              <w:t xml:space="preserve">108 (35.06%)</w:t>
            </w:r>
          </w:p>
        </w:tc>
        <w:tc>
          <w:tcPr/>
          <w:p>
            <w:pPr>
              <w:pStyle w:val="Compact"/>
              <w:jc w:val="left"/>
            </w:pPr>
            <w:r>
              <w:t xml:space="preserve">  186 (3.69%)</w:t>
            </w:r>
          </w:p>
        </w:tc>
        <w:tc>
          <w:tcPr/>
          <w:p>
            <w:pPr>
              <w:pStyle w:val="Compact"/>
              <w:jc w:val="left"/>
            </w:pPr>
            <w:r>
              <w:t xml:space="preserve">-</w:t>
            </w:r>
          </w:p>
        </w:tc>
      </w:tr>
      <w:tr>
        <w:tc>
          <w:tcPr/>
          <w:p>
            <w:pPr>
              <w:pStyle w:val="Compact"/>
              <w:jc w:val="left"/>
            </w:pPr>
            <w:r>
              <w:t xml:space="preserve">   Finland</w:t>
            </w:r>
          </w:p>
        </w:tc>
        <w:tc>
          <w:tcPr/>
          <w:p>
            <w:pPr>
              <w:pStyle w:val="Compact"/>
              <w:jc w:val="left"/>
            </w:pPr>
            <w:r>
              <w:t xml:space="preserve">  508 (4.68%)</w:t>
            </w:r>
          </w:p>
        </w:tc>
        <w:tc>
          <w:tcPr/>
          <w:p>
            <w:pPr>
              <w:pStyle w:val="Compact"/>
              <w:jc w:val="left"/>
            </w:pPr>
            <w:r>
              <w:t xml:space="preserve">-</w:t>
            </w:r>
          </w:p>
        </w:tc>
        <w:tc>
          <w:tcPr/>
          <w:p>
            <w:pPr>
              <w:pStyle w:val="Compact"/>
              <w:jc w:val="left"/>
            </w:pPr>
            <w:r>
              <w:t xml:space="preserve">-</w:t>
            </w:r>
          </w:p>
        </w:tc>
        <w:tc>
          <w:tcPr/>
          <w:p>
            <w:pPr>
              <w:pStyle w:val="Compact"/>
              <w:jc w:val="left"/>
            </w:pPr>
            <w:r>
              <w:t xml:space="preserve">  801 (15.89%)</w:t>
            </w:r>
          </w:p>
        </w:tc>
        <w:tc>
          <w:tcPr/>
          <w:p>
            <w:pPr>
              <w:pStyle w:val="Compact"/>
              <w:jc w:val="left"/>
            </w:pPr>
            <w:r>
              <w:t xml:space="preserve">-</w:t>
            </w:r>
          </w:p>
        </w:tc>
      </w:tr>
      <w:tr>
        <w:tc>
          <w:tcPr/>
          <w:p>
            <w:pPr>
              <w:pStyle w:val="Compact"/>
              <w:jc w:val="left"/>
            </w:pPr>
            <w:r>
              <w:t xml:space="preserve">   New Zealand</w:t>
            </w:r>
          </w:p>
        </w:tc>
        <w:tc>
          <w:tcPr/>
          <w:p>
            <w:pPr>
              <w:pStyle w:val="Compact"/>
              <w:jc w:val="left"/>
            </w:pPr>
            <w:r>
              <w:t xml:space="preserve">  455 (4.19%)</w:t>
            </w:r>
          </w:p>
        </w:tc>
        <w:tc>
          <w:tcPr/>
          <w:p>
            <w:pPr>
              <w:pStyle w:val="Compact"/>
              <w:jc w:val="left"/>
            </w:pPr>
            <w:r>
              <w:t xml:space="preserve">-</w:t>
            </w:r>
          </w:p>
        </w:tc>
        <w:tc>
          <w:tcPr/>
          <w:p>
            <w:pPr>
              <w:pStyle w:val="Compact"/>
              <w:jc w:val="left"/>
            </w:pPr>
            <w:r>
              <w:t xml:space="preserve">37 (12.01%)</w:t>
            </w:r>
          </w:p>
        </w:tc>
        <w:tc>
          <w:tcPr/>
          <w:p>
            <w:pPr>
              <w:pStyle w:val="Compact"/>
              <w:jc w:val="left"/>
            </w:pPr>
            <w:r>
              <w:t xml:space="preserve">  151 (3.00%)</w:t>
            </w:r>
          </w:p>
        </w:tc>
        <w:tc>
          <w:tcPr/>
          <w:p>
            <w:pPr>
              <w:pStyle w:val="Compact"/>
              <w:jc w:val="left"/>
            </w:pPr>
            <w:r>
              <w:t xml:space="preserve">-</w:t>
            </w:r>
          </w:p>
        </w:tc>
      </w:tr>
      <w:tr>
        <w:tc>
          <w:tcPr/>
          <w:p>
            <w:pPr>
              <w:pStyle w:val="Compact"/>
              <w:jc w:val="left"/>
            </w:pPr>
            <w:r>
              <w:t xml:space="preserve">   Spain</w:t>
            </w:r>
          </w:p>
        </w:tc>
        <w:tc>
          <w:tcPr/>
          <w:p>
            <w:pPr>
              <w:pStyle w:val="Compact"/>
              <w:jc w:val="left"/>
            </w:pPr>
            <w:r>
              <w:t xml:space="preserve">  934 (8.60%)</w:t>
            </w:r>
          </w:p>
        </w:tc>
        <w:tc>
          <w:tcPr/>
          <w:p>
            <w:pPr>
              <w:pStyle w:val="Compact"/>
              <w:jc w:val="left"/>
            </w:pPr>
            <w:r>
              <w:t xml:space="preserve">  5 (0.26%)</w:t>
            </w:r>
          </w:p>
        </w:tc>
        <w:tc>
          <w:tcPr/>
          <w:p>
            <w:pPr>
              <w:pStyle w:val="Compact"/>
              <w:jc w:val="left"/>
            </w:pPr>
            <w:r>
              <w:t xml:space="preserve">-</w:t>
            </w:r>
          </w:p>
        </w:tc>
        <w:tc>
          <w:tcPr/>
          <w:p>
            <w:pPr>
              <w:pStyle w:val="Compact"/>
              <w:jc w:val="left"/>
            </w:pPr>
            <w:r>
              <w:t xml:space="preserve">   37 (0.73%)</w:t>
            </w:r>
          </w:p>
        </w:tc>
        <w:tc>
          <w:tcPr/>
          <w:p>
            <w:pPr>
              <w:pStyle w:val="Compact"/>
              <w:jc w:val="left"/>
            </w:pPr>
            <w:r>
              <w:t xml:space="preserve">2,386 (39.33%)</w:t>
            </w:r>
          </w:p>
        </w:tc>
      </w:tr>
      <w:tr>
        <w:tc>
          <w:tcPr/>
          <w:p>
            <w:pPr>
              <w:pStyle w:val="Compact"/>
              <w:jc w:val="left"/>
            </w:pPr>
            <w:r>
              <w:t xml:space="preserve">   Switzerland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1,904 (37.78%)</w:t>
            </w:r>
          </w:p>
        </w:tc>
        <w:tc>
          <w:tcPr/>
          <w:p>
            <w:pPr>
              <w:pStyle w:val="Compact"/>
              <w:jc w:val="left"/>
            </w:pPr>
            <w:r>
              <w:t xml:space="preserve">1,023 (16.86%)</w:t>
            </w:r>
          </w:p>
        </w:tc>
      </w:tr>
      <w:tr>
        <w:tc>
          <w:tcPr/>
          <w:p>
            <w:pPr>
              <w:pStyle w:val="Compact"/>
              <w:jc w:val="left"/>
            </w:pPr>
            <w:r>
              <w:t xml:space="preserve">   United Kingdom</w:t>
            </w:r>
          </w:p>
        </w:tc>
        <w:tc>
          <w:tcPr/>
          <w:p>
            <w:pPr>
              <w:pStyle w:val="Compact"/>
              <w:jc w:val="left"/>
            </w:pPr>
            <w:r>
              <w:t xml:space="preserve">  447 (4.12%)</w:t>
            </w:r>
          </w:p>
        </w:tc>
        <w:tc>
          <w:tcPr/>
          <w:p>
            <w:pPr>
              <w:pStyle w:val="Compact"/>
              <w:jc w:val="left"/>
            </w:pPr>
            <w:r>
              <w:t xml:space="preserve">-</w:t>
            </w:r>
          </w:p>
        </w:tc>
        <w:tc>
          <w:tcPr/>
          <w:p>
            <w:pPr>
              <w:pStyle w:val="Compact"/>
              <w:jc w:val="left"/>
            </w:pPr>
            <w:r>
              <w:t xml:space="preserve">144 (46.75%)</w:t>
            </w:r>
          </w:p>
        </w:tc>
        <w:tc>
          <w:tcPr/>
          <w:p>
            <w:pPr>
              <w:pStyle w:val="Compact"/>
              <w:jc w:val="left"/>
            </w:pPr>
            <w:r>
              <w:t xml:space="preserve">1,961 (38.91%)</w:t>
            </w:r>
          </w:p>
        </w:tc>
        <w:tc>
          <w:tcPr/>
          <w:p>
            <w:pPr>
              <w:pStyle w:val="Compact"/>
              <w:jc w:val="left"/>
            </w:pPr>
            <w:r>
              <w:t xml:space="preserve">2,657 (43.80%)</w:t>
            </w:r>
          </w:p>
        </w:tc>
      </w:tr>
      <w:tr>
        <w:tc>
          <w:tcPr/>
          <w:p>
            <w:pPr>
              <w:pStyle w:val="Compact"/>
              <w:jc w:val="left"/>
            </w:pPr>
            <w:r>
              <w:t xml:space="preserve">   Brazil</w:t>
            </w:r>
          </w:p>
        </w:tc>
        <w:tc>
          <w:tcPr/>
          <w:p>
            <w:pPr>
              <w:pStyle w:val="Compact"/>
              <w:jc w:val="left"/>
            </w:pPr>
            <w:r>
              <w:t xml:space="preserve">  486 (4.48%)</w:t>
            </w:r>
          </w:p>
        </w:tc>
        <w:tc>
          <w:tcPr/>
          <w:p>
            <w:pPr>
              <w:pStyle w:val="Compact"/>
              <w:jc w:val="left"/>
            </w:pPr>
            <w:r>
              <w:t xml:space="preserve">727 (37.84%)</w:t>
            </w:r>
          </w:p>
        </w:tc>
        <w:tc>
          <w:tcPr/>
          <w:p>
            <w:pPr>
              <w:pStyle w:val="Compact"/>
              <w:jc w:val="left"/>
            </w:pPr>
            <w:r>
              <w:t xml:space="preserve">10 (3.25%)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Czech Republic</w:t>
            </w:r>
          </w:p>
        </w:tc>
        <w:tc>
          <w:tcPr/>
          <w:p>
            <w:pPr>
              <w:pStyle w:val="Compact"/>
              <w:jc w:val="left"/>
            </w:pPr>
            <w:r>
              <w:t xml:space="preserve">  281 (2.59%)</w:t>
            </w:r>
          </w:p>
        </w:tc>
        <w:tc>
          <w:tcPr/>
          <w:p>
            <w:pPr>
              <w:pStyle w:val="Compact"/>
              <w:jc w:val="left"/>
            </w:pPr>
            <w:r>
              <w:t xml:space="preserve">848 (44.14%)</w:t>
            </w:r>
          </w:p>
        </w:tc>
        <w:tc>
          <w:tcPr/>
          <w:p>
            <w:pPr>
              <w:pStyle w:val="Compact"/>
              <w:jc w:val="left"/>
            </w:pPr>
            <w:r>
              <w:t xml:space="preserve">  9 (2.92%)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Canada</w:t>
            </w:r>
          </w:p>
        </w:tc>
        <w:tc>
          <w:tcPr/>
          <w:p>
            <w:pPr>
              <w:pStyle w:val="Compact"/>
              <w:jc w:val="left"/>
            </w:pPr>
            <w:r>
              <w:t xml:space="preserve">  522 (4.81%)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China</w:t>
            </w:r>
          </w:p>
        </w:tc>
        <w:tc>
          <w:tcPr/>
          <w:p>
            <w:pPr>
              <w:pStyle w:val="Compact"/>
              <w:jc w:val="left"/>
            </w:pPr>
            <w:r>
              <w:t xml:space="preserve">  124 (1.14%)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Colombia</w:t>
            </w:r>
          </w:p>
        </w:tc>
        <w:tc>
          <w:tcPr/>
          <w:p>
            <w:pPr>
              <w:pStyle w:val="Compact"/>
              <w:jc w:val="left"/>
            </w:pPr>
            <w:r>
              <w:t xml:space="preserve">  889 (8.19%)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Denmark</w:t>
            </w:r>
          </w:p>
        </w:tc>
        <w:tc>
          <w:tcPr/>
          <w:p>
            <w:pPr>
              <w:pStyle w:val="Compact"/>
              <w:jc w:val="left"/>
            </w:pPr>
            <w:r>
              <w:t xml:space="preserve">  689 (6.35%)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Ecuador</w:t>
            </w:r>
          </w:p>
        </w:tc>
        <w:tc>
          <w:tcPr/>
          <w:p>
            <w:pPr>
              <w:pStyle w:val="Compact"/>
              <w:jc w:val="left"/>
            </w:pPr>
            <w:r>
              <w:t xml:space="preserve">  981 (9.04%)</w:t>
            </w:r>
          </w:p>
        </w:tc>
        <w:tc>
          <w:tcPr/>
          <w:p>
            <w:pPr>
              <w:pStyle w:val="Compact"/>
              <w:jc w:val="left"/>
            </w:pPr>
            <w:r>
              <w:t xml:space="preserve">38 (1.98%)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India</w:t>
            </w:r>
          </w:p>
        </w:tc>
        <w:tc>
          <w:tcPr/>
          <w:p>
            <w:pPr>
              <w:pStyle w:val="Compact"/>
              <w:jc w:val="left"/>
            </w:pPr>
            <w:r>
              <w:t xml:space="preserve">  574 (5.29%)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Kenya</w:t>
            </w:r>
          </w:p>
        </w:tc>
        <w:tc>
          <w:tcPr/>
          <w:p>
            <w:pPr>
              <w:pStyle w:val="Compact"/>
              <w:jc w:val="left"/>
            </w:pPr>
            <w:r>
              <w:t xml:space="preserve">  525 (4.84%)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Portugal</w:t>
            </w:r>
          </w:p>
        </w:tc>
        <w:tc>
          <w:tcPr/>
          <w:p>
            <w:pPr>
              <w:pStyle w:val="Compact"/>
              <w:jc w:val="left"/>
            </w:pPr>
            <w:r>
              <w:t xml:space="preserve">  702 (6.47%)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South Africa</w:t>
            </w:r>
          </w:p>
        </w:tc>
        <w:tc>
          <w:tcPr/>
          <w:p>
            <w:pPr>
              <w:pStyle w:val="Compact"/>
              <w:jc w:val="left"/>
            </w:pPr>
            <w:r>
              <w:t xml:space="preserve">  506 (4.66%)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United States</w:t>
            </w:r>
          </w:p>
        </w:tc>
        <w:tc>
          <w:tcPr/>
          <w:p>
            <w:pPr>
              <w:pStyle w:val="Compact"/>
              <w:jc w:val="left"/>
            </w:pPr>
            <w:r>
              <w:t xml:space="preserve">  729 (6.71%)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2,127 (19.59%)</w:t>
            </w:r>
          </w:p>
        </w:tc>
        <w:tc>
          <w:tcPr/>
          <w:p>
            <w:pPr>
              <w:pStyle w:val="Compact"/>
              <w:jc w:val="left"/>
            </w:pPr>
            <w:r>
              <w:t xml:space="preserve">  169 (8.80%)</w:t>
            </w:r>
          </w:p>
        </w:tc>
        <w:tc>
          <w:tcPr/>
          <w:p>
            <w:pPr>
              <w:pStyle w:val="Compact"/>
              <w:jc w:val="left"/>
            </w:pPr>
            <w:r>
              <w:t xml:space="preserve">14 (4.55%)</w:t>
            </w:r>
          </w:p>
        </w:tc>
        <w:tc>
          <w:tcPr/>
          <w:p>
            <w:pPr>
              <w:pStyle w:val="Compact"/>
              <w:jc w:val="left"/>
            </w:pPr>
            <w:r>
              <w:t xml:space="preserve">   94 (1.87%)</w:t>
            </w:r>
          </w:p>
        </w:tc>
        <w:tc>
          <w:tcPr/>
          <w:p>
            <w:pPr>
              <w:pStyle w:val="Compact"/>
              <w:jc w:val="left"/>
            </w:pPr>
            <w:r>
              <w:t xml:space="preserve">  240 (3.96%)</w:t>
            </w:r>
          </w:p>
        </w:tc>
      </w:tr>
      <w:tr>
        <w:tc>
          <w:tcPr/>
          <w:p>
            <w:pPr>
              <w:pStyle w:val="Compact"/>
              <w:jc w:val="left"/>
            </w:pPr>
            <w:r>
              <w:t xml:space="preserve">   Unclear</w:t>
            </w:r>
          </w:p>
        </w:tc>
        <w:tc>
          <w:tcPr/>
          <w:p>
            <w:pPr>
              <w:pStyle w:val="Compact"/>
              <w:jc w:val="left"/>
            </w:pPr>
            <w:r>
              <w:t xml:space="preserve">4,433 (40.83%)</w:t>
            </w:r>
          </w:p>
        </w:tc>
        <w:tc>
          <w:tcPr/>
          <w:p>
            <w:pPr>
              <w:pStyle w:val="Compact"/>
              <w:jc w:val="left"/>
            </w:pPr>
            <w:r>
              <w:t xml:space="preserve">1,192 (62.05%)</w:t>
            </w:r>
          </w:p>
        </w:tc>
        <w:tc>
          <w:tcPr/>
          <w:p>
            <w:pPr>
              <w:pStyle w:val="Compact"/>
              <w:jc w:val="left"/>
            </w:pPr>
            <w:r>
              <w:t xml:space="preserve">152 (49.35%)</w:t>
            </w:r>
          </w:p>
        </w:tc>
        <w:tc>
          <w:tcPr/>
          <w:p>
            <w:pPr>
              <w:pStyle w:val="Compact"/>
              <w:jc w:val="left"/>
            </w:pPr>
            <w:r>
              <w:t xml:space="preserve">1,337 (26.53%)</w:t>
            </w:r>
          </w:p>
        </w:tc>
        <w:tc>
          <w:tcPr/>
          <w:p>
            <w:pPr>
              <w:pStyle w:val="Compact"/>
              <w:jc w:val="left"/>
            </w:pPr>
            <w:r>
              <w:t xml:space="preserve">2,424 (39.96%)</w:t>
            </w:r>
          </w:p>
        </w:tc>
      </w:tr>
      <w:tr>
        <w:tc>
          <w:tcPr/>
          <w:p>
            <w:pPr>
              <w:pStyle w:val="Compact"/>
              <w:jc w:val="left"/>
            </w:pPr>
            <w:r>
              <w:t xml:space="preserve">   White</w:t>
            </w:r>
          </w:p>
        </w:tc>
        <w:tc>
          <w:tcPr/>
          <w:p>
            <w:pPr>
              <w:pStyle w:val="Compact"/>
              <w:jc w:val="left"/>
            </w:pPr>
            <w:r>
              <w:t xml:space="preserve">4,297 (39.58%)</w:t>
            </w:r>
          </w:p>
        </w:tc>
        <w:tc>
          <w:tcPr/>
          <w:p>
            <w:pPr>
              <w:pStyle w:val="Compact"/>
              <w:jc w:val="left"/>
            </w:pPr>
            <w:r>
              <w:t xml:space="preserve">  560 (29.15%)</w:t>
            </w:r>
          </w:p>
        </w:tc>
        <w:tc>
          <w:tcPr/>
          <w:p>
            <w:pPr>
              <w:pStyle w:val="Compact"/>
              <w:jc w:val="left"/>
            </w:pPr>
            <w:r>
              <w:t xml:space="preserve">142 (46.10%)</w:t>
            </w:r>
          </w:p>
        </w:tc>
        <w:tc>
          <w:tcPr/>
          <w:p>
            <w:pPr>
              <w:pStyle w:val="Compact"/>
              <w:jc w:val="left"/>
            </w:pPr>
            <w:r>
              <w:t xml:space="preserve">3,609 (71.61%)</w:t>
            </w:r>
          </w:p>
        </w:tc>
        <w:tc>
          <w:tcPr/>
          <w:p>
            <w:pPr>
              <w:pStyle w:val="Compact"/>
              <w:jc w:val="left"/>
            </w:pPr>
            <w:r>
              <w:t xml:space="preserve">3,402 (56.08%)</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3,561 (32.80%)</w:t>
            </w:r>
          </w:p>
        </w:tc>
        <w:tc>
          <w:tcPr/>
          <w:p>
            <w:pPr>
              <w:pStyle w:val="Compact"/>
              <w:jc w:val="left"/>
            </w:pPr>
            <w:r>
              <w:t xml:space="preserve">853 (44.40%)</w:t>
            </w:r>
          </w:p>
        </w:tc>
        <w:tc>
          <w:tcPr/>
          <w:p>
            <w:pPr>
              <w:pStyle w:val="Compact"/>
              <w:jc w:val="left"/>
            </w:pPr>
            <w:r>
              <w:t xml:space="preserve">153 (49.68%)</w:t>
            </w:r>
          </w:p>
        </w:tc>
        <w:tc>
          <w:tcPr/>
          <w:p>
            <w:pPr>
              <w:pStyle w:val="Compact"/>
              <w:jc w:val="left"/>
            </w:pPr>
            <w:r>
              <w:t xml:space="preserve">4,703 (93.31%)</w:t>
            </w:r>
          </w:p>
        </w:tc>
        <w:tc>
          <w:tcPr/>
          <w:p>
            <w:pPr>
              <w:pStyle w:val="Compact"/>
              <w:jc w:val="left"/>
            </w:pPr>
            <w:r>
              <w:t xml:space="preserve">6,066 (100.00%)</w:t>
            </w:r>
          </w:p>
        </w:tc>
      </w:tr>
      <w:tr>
        <w:tc>
          <w:tcPr/>
          <w:p>
            <w:pPr>
              <w:pStyle w:val="Compact"/>
              <w:jc w:val="left"/>
            </w:pPr>
            <w:r>
              <w:t xml:space="preserve">   Oceania</w:t>
            </w:r>
          </w:p>
        </w:tc>
        <w:tc>
          <w:tcPr/>
          <w:p>
            <w:pPr>
              <w:pStyle w:val="Compact"/>
              <w:jc w:val="left"/>
            </w:pPr>
            <w:r>
              <w:t xml:space="preserve">1,960 (18.05%)</w:t>
            </w:r>
          </w:p>
        </w:tc>
        <w:tc>
          <w:tcPr/>
          <w:p>
            <w:pPr>
              <w:pStyle w:val="Compact"/>
              <w:jc w:val="left"/>
            </w:pPr>
            <w:r>
              <w:t xml:space="preserve">303 (15.77%)</w:t>
            </w:r>
          </w:p>
        </w:tc>
        <w:tc>
          <w:tcPr/>
          <w:p>
            <w:pPr>
              <w:pStyle w:val="Compact"/>
              <w:jc w:val="left"/>
            </w:pPr>
            <w:r>
              <w:t xml:space="preserve">145 (47.08%)</w:t>
            </w:r>
          </w:p>
        </w:tc>
        <w:tc>
          <w:tcPr/>
          <w:p>
            <w:pPr>
              <w:pStyle w:val="Compact"/>
              <w:jc w:val="left"/>
            </w:pPr>
            <w:r>
              <w:t xml:space="preserve">  337 (6.69%)</w:t>
            </w:r>
          </w:p>
        </w:tc>
        <w:tc>
          <w:tcPr/>
          <w:p>
            <w:pPr>
              <w:pStyle w:val="Compact"/>
              <w:jc w:val="left"/>
            </w:pPr>
            <w:r>
              <w:t xml:space="preserve">-</w:t>
            </w:r>
          </w:p>
        </w:tc>
      </w:tr>
      <w:tr>
        <w:tc>
          <w:tcPr/>
          <w:p>
            <w:pPr>
              <w:pStyle w:val="Compact"/>
              <w:jc w:val="left"/>
            </w:pPr>
            <w:r>
              <w:t xml:space="preserve">   South America</w:t>
            </w:r>
          </w:p>
        </w:tc>
        <w:tc>
          <w:tcPr/>
          <w:p>
            <w:pPr>
              <w:pStyle w:val="Compact"/>
              <w:jc w:val="left"/>
            </w:pPr>
            <w:r>
              <w:t xml:space="preserve">2,356 (21.70%)</w:t>
            </w:r>
          </w:p>
        </w:tc>
        <w:tc>
          <w:tcPr/>
          <w:p>
            <w:pPr>
              <w:pStyle w:val="Compact"/>
              <w:jc w:val="left"/>
            </w:pPr>
            <w:r>
              <w:t xml:space="preserve">765 (39.82%)</w:t>
            </w:r>
          </w:p>
        </w:tc>
        <w:tc>
          <w:tcPr/>
          <w:p>
            <w:pPr>
              <w:pStyle w:val="Compact"/>
              <w:jc w:val="left"/>
            </w:pPr>
            <w:r>
              <w:t xml:space="preserve">10 (3.25%)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1,031 (9.50%)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698 (6.43%)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1,251 (11.52%)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3,387 (31.20%)</w:t>
            </w:r>
          </w:p>
        </w:tc>
        <w:tc>
          <w:tcPr/>
          <w:p>
            <w:pPr>
              <w:pStyle w:val="Compact"/>
              <w:jc w:val="left"/>
            </w:pPr>
            <w:r>
              <w:t xml:space="preserve">  446 (23.22%)</w:t>
            </w:r>
          </w:p>
        </w:tc>
        <w:tc>
          <w:tcPr/>
          <w:p>
            <w:pPr>
              <w:pStyle w:val="Compact"/>
              <w:jc w:val="left"/>
            </w:pPr>
            <w:r>
              <w:t xml:space="preserve">39 (12.66%)</w:t>
            </w:r>
          </w:p>
        </w:tc>
        <w:tc>
          <w:tcPr/>
          <w:p>
            <w:pPr>
              <w:pStyle w:val="Compact"/>
              <w:jc w:val="left"/>
            </w:pPr>
            <w:r>
              <w:t xml:space="preserve">1,241 (24.62%)</w:t>
            </w:r>
          </w:p>
        </w:tc>
        <w:tc>
          <w:tcPr/>
          <w:p>
            <w:pPr>
              <w:pStyle w:val="Compact"/>
              <w:jc w:val="left"/>
            </w:pPr>
            <w:r>
              <w:t xml:space="preserve">1,268 (20.90%)</w:t>
            </w:r>
          </w:p>
        </w:tc>
      </w:tr>
      <w:tr>
        <w:tc>
          <w:tcPr/>
          <w:p>
            <w:pPr>
              <w:pStyle w:val="Compact"/>
              <w:jc w:val="left"/>
            </w:pPr>
            <w:r>
              <w:t xml:space="preserve">   Spring</w:t>
            </w:r>
          </w:p>
        </w:tc>
        <w:tc>
          <w:tcPr/>
          <w:p>
            <w:pPr>
              <w:pStyle w:val="Compact"/>
              <w:jc w:val="left"/>
            </w:pPr>
            <w:r>
              <w:t xml:space="preserve">2,687 (24.75%)</w:t>
            </w:r>
          </w:p>
        </w:tc>
        <w:tc>
          <w:tcPr/>
          <w:p>
            <w:pPr>
              <w:pStyle w:val="Compact"/>
              <w:jc w:val="left"/>
            </w:pPr>
            <w:r>
              <w:t xml:space="preserve">1,228 (63.93%)</w:t>
            </w:r>
          </w:p>
        </w:tc>
        <w:tc>
          <w:tcPr/>
          <w:p>
            <w:pPr>
              <w:pStyle w:val="Compact"/>
              <w:jc w:val="left"/>
            </w:pPr>
            <w:r>
              <w:t xml:space="preserve">124 (40.26%)</w:t>
            </w:r>
          </w:p>
        </w:tc>
        <w:tc>
          <w:tcPr/>
          <w:p>
            <w:pPr>
              <w:pStyle w:val="Compact"/>
              <w:jc w:val="left"/>
            </w:pPr>
            <w:r>
              <w:t xml:space="preserve">1,224 (24.29%)</w:t>
            </w:r>
          </w:p>
        </w:tc>
        <w:tc>
          <w:tcPr/>
          <w:p>
            <w:pPr>
              <w:pStyle w:val="Compact"/>
              <w:jc w:val="left"/>
            </w:pPr>
            <w:r>
              <w:t xml:space="preserve">1,989 (32.79%)</w:t>
            </w:r>
          </w:p>
        </w:tc>
      </w:tr>
      <w:tr>
        <w:tc>
          <w:tcPr/>
          <w:p>
            <w:pPr>
              <w:pStyle w:val="Compact"/>
              <w:jc w:val="left"/>
            </w:pPr>
            <w:r>
              <w:t xml:space="preserve">   Summer</w:t>
            </w:r>
          </w:p>
        </w:tc>
        <w:tc>
          <w:tcPr/>
          <w:p>
            <w:pPr>
              <w:pStyle w:val="Compact"/>
              <w:jc w:val="left"/>
            </w:pPr>
            <w:r>
              <w:t xml:space="preserve">1,381 (12.72%)</w:t>
            </w:r>
          </w:p>
        </w:tc>
        <w:tc>
          <w:tcPr/>
          <w:p>
            <w:pPr>
              <w:pStyle w:val="Compact"/>
              <w:jc w:val="left"/>
            </w:pPr>
            <w:r>
              <w:t xml:space="preserve">   85 (4.42%)</w:t>
            </w:r>
          </w:p>
        </w:tc>
        <w:tc>
          <w:tcPr/>
          <w:p>
            <w:pPr>
              <w:pStyle w:val="Compact"/>
              <w:jc w:val="left"/>
            </w:pPr>
            <w:r>
              <w:t xml:space="preserve">85 (27.60%)</w:t>
            </w:r>
          </w:p>
        </w:tc>
        <w:tc>
          <w:tcPr/>
          <w:p>
            <w:pPr>
              <w:pStyle w:val="Compact"/>
              <w:jc w:val="left"/>
            </w:pPr>
            <w:r>
              <w:t xml:space="preserve">1,270 (25.20%)</w:t>
            </w:r>
          </w:p>
        </w:tc>
        <w:tc>
          <w:tcPr/>
          <w:p>
            <w:pPr>
              <w:pStyle w:val="Compact"/>
              <w:jc w:val="left"/>
            </w:pPr>
            <w:r>
              <w:t xml:space="preserve">1,250 (20.61%)</w:t>
            </w:r>
          </w:p>
        </w:tc>
      </w:tr>
      <w:tr>
        <w:tc>
          <w:tcPr/>
          <w:p>
            <w:pPr>
              <w:pStyle w:val="Compact"/>
              <w:jc w:val="left"/>
            </w:pPr>
            <w:r>
              <w:t xml:space="preserve">   Winter</w:t>
            </w:r>
          </w:p>
        </w:tc>
        <w:tc>
          <w:tcPr/>
          <w:p>
            <w:pPr>
              <w:pStyle w:val="Compact"/>
              <w:jc w:val="left"/>
            </w:pPr>
            <w:r>
              <w:t xml:space="preserve">3,402 (31.33%)</w:t>
            </w:r>
          </w:p>
        </w:tc>
        <w:tc>
          <w:tcPr/>
          <w:p>
            <w:pPr>
              <w:pStyle w:val="Compact"/>
              <w:jc w:val="left"/>
            </w:pPr>
            <w:r>
              <w:t xml:space="preserve">  162 (8.43%)</w:t>
            </w:r>
          </w:p>
        </w:tc>
        <w:tc>
          <w:tcPr/>
          <w:p>
            <w:pPr>
              <w:pStyle w:val="Compact"/>
              <w:jc w:val="left"/>
            </w:pPr>
            <w:r>
              <w:t xml:space="preserve">60 (19.48%)</w:t>
            </w:r>
          </w:p>
        </w:tc>
        <w:tc>
          <w:tcPr/>
          <w:p>
            <w:pPr>
              <w:pStyle w:val="Compact"/>
              <w:jc w:val="left"/>
            </w:pPr>
            <w:r>
              <w:t xml:space="preserve">1,305 (25.89%)</w:t>
            </w:r>
          </w:p>
        </w:tc>
        <w:tc>
          <w:tcPr/>
          <w:p>
            <w:pPr>
              <w:pStyle w:val="Compact"/>
              <w:jc w:val="left"/>
            </w:pPr>
            <w:r>
              <w:t xml:space="preserve">1,559 (25.70%)</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5,693 (52.45%)</w:t>
            </w:r>
          </w:p>
        </w:tc>
        <w:tc>
          <w:tcPr/>
          <w:p>
            <w:pPr>
              <w:pStyle w:val="Compact"/>
              <w:jc w:val="left"/>
            </w:pPr>
            <w:r>
              <w:t xml:space="preserve">1,002 (52.16%)</w:t>
            </w:r>
          </w:p>
        </w:tc>
        <w:tc>
          <w:tcPr/>
          <w:p>
            <w:pPr>
              <w:pStyle w:val="Compact"/>
              <w:jc w:val="left"/>
            </w:pPr>
            <w:r>
              <w:t xml:space="preserve">222 (72.08%)</w:t>
            </w:r>
          </w:p>
        </w:tc>
        <w:tc>
          <w:tcPr/>
          <w:p>
            <w:pPr>
              <w:pStyle w:val="Compact"/>
              <w:jc w:val="left"/>
            </w:pPr>
            <w:r>
              <w:t xml:space="preserve">2,714 (53.85%)</w:t>
            </w:r>
          </w:p>
        </w:tc>
        <w:tc>
          <w:tcPr/>
          <w:p>
            <w:pPr>
              <w:pStyle w:val="Compact"/>
              <w:jc w:val="left"/>
            </w:pPr>
            <w:r>
              <w:t xml:space="preserve">2,551 (42.05%)</w:t>
            </w:r>
          </w:p>
        </w:tc>
      </w:tr>
      <w:tr>
        <w:tc>
          <w:tcPr/>
          <w:p>
            <w:pPr>
              <w:pStyle w:val="Compact"/>
              <w:jc w:val="left"/>
            </w:pPr>
            <w:r>
              <w:t xml:space="preserve">   Male</w:t>
            </w:r>
          </w:p>
        </w:tc>
        <w:tc>
          <w:tcPr/>
          <w:p>
            <w:pPr>
              <w:pStyle w:val="Compact"/>
              <w:jc w:val="left"/>
            </w:pPr>
            <w:r>
              <w:t xml:space="preserve">5,162 (47.55%)</w:t>
            </w:r>
          </w:p>
        </w:tc>
        <w:tc>
          <w:tcPr/>
          <w:p>
            <w:pPr>
              <w:pStyle w:val="Compact"/>
              <w:jc w:val="left"/>
            </w:pPr>
            <w:r>
              <w:t xml:space="preserve">  919 (47.84%)</w:t>
            </w:r>
          </w:p>
        </w:tc>
        <w:tc>
          <w:tcPr/>
          <w:p>
            <w:pPr>
              <w:pStyle w:val="Compact"/>
              <w:jc w:val="left"/>
            </w:pPr>
            <w:r>
              <w:t xml:space="preserve">86 (27.92%)</w:t>
            </w:r>
          </w:p>
        </w:tc>
        <w:tc>
          <w:tcPr/>
          <w:p>
            <w:pPr>
              <w:pStyle w:val="Compact"/>
              <w:jc w:val="left"/>
            </w:pPr>
            <w:r>
              <w:t xml:space="preserve">2,326 (46.15%)</w:t>
            </w:r>
          </w:p>
        </w:tc>
        <w:tc>
          <w:tcPr/>
          <w:p>
            <w:pPr>
              <w:pStyle w:val="Compact"/>
              <w:jc w:val="left"/>
            </w:pPr>
            <w:r>
              <w:t xml:space="preserve">3,515 (57.95%)</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w:t>
            </w:r>
          </w:p>
        </w:tc>
        <w:tc>
          <w:tcPr/>
          <w:p>
            <w:pPr>
              <w:pStyle w:val="Compact"/>
              <w:jc w:val="left"/>
            </w:pPr>
            <w:r>
              <w:t xml:space="preserve">   625 (5.76%)</w:t>
            </w:r>
          </w:p>
        </w:tc>
        <w:tc>
          <w:tcPr/>
          <w:p>
            <w:pPr>
              <w:pStyle w:val="Compact"/>
              <w:jc w:val="left"/>
            </w:pPr>
            <w:r>
              <w:t xml:space="preserve">-</w:t>
            </w:r>
          </w:p>
        </w:tc>
        <w:tc>
          <w:tcPr/>
          <w:p>
            <w:pPr>
              <w:pStyle w:val="Compact"/>
              <w:jc w:val="left"/>
            </w:pPr>
            <w:r>
              <w:t xml:space="preserve">-</w:t>
            </w:r>
          </w:p>
        </w:tc>
        <w:tc>
          <w:tcPr/>
          <w:p>
            <w:pPr>
              <w:pStyle w:val="Compact"/>
              <w:jc w:val="left"/>
            </w:pPr>
            <w:r>
              <w:t xml:space="preserve">3,511 (69.66%)</w:t>
            </w:r>
          </w:p>
        </w:tc>
        <w:tc>
          <w:tcPr/>
          <w:p>
            <w:pPr>
              <w:pStyle w:val="Compact"/>
              <w:jc w:val="left"/>
            </w:pPr>
            <w:r>
              <w:t xml:space="preserve">5,140 (84.73%)</w:t>
            </w:r>
          </w:p>
        </w:tc>
      </w:tr>
      <w:tr>
        <w:tc>
          <w:tcPr/>
          <w:p>
            <w:pPr>
              <w:pStyle w:val="Compact"/>
              <w:jc w:val="left"/>
            </w:pPr>
            <w:r>
              <w:t xml:space="preserve">   Yes</w:t>
            </w:r>
          </w:p>
        </w:tc>
        <w:tc>
          <w:tcPr/>
          <w:p>
            <w:pPr>
              <w:pStyle w:val="Compact"/>
              <w:jc w:val="left"/>
            </w:pPr>
            <w:r>
              <w:t xml:space="preserve">    50 (0.46%)</w:t>
            </w:r>
          </w:p>
        </w:tc>
        <w:tc>
          <w:tcPr/>
          <w:p>
            <w:pPr>
              <w:pStyle w:val="Compact"/>
              <w:jc w:val="left"/>
            </w:pPr>
            <w:r>
              <w:t xml:space="preserve">-</w:t>
            </w:r>
          </w:p>
        </w:tc>
        <w:tc>
          <w:tcPr/>
          <w:p>
            <w:pPr>
              <w:pStyle w:val="Compact"/>
              <w:jc w:val="left"/>
            </w:pPr>
            <w:r>
              <w:t xml:space="preserve">-</w:t>
            </w:r>
          </w:p>
        </w:tc>
        <w:tc>
          <w:tcPr/>
          <w:p>
            <w:pPr>
              <w:pStyle w:val="Compact"/>
              <w:jc w:val="left"/>
            </w:pPr>
            <w:r>
              <w:t xml:space="preserve">  310 (6.15%)</w:t>
            </w:r>
          </w:p>
        </w:tc>
        <w:tc>
          <w:tcPr/>
          <w:p>
            <w:pPr>
              <w:pStyle w:val="Compact"/>
              <w:jc w:val="left"/>
            </w:pPr>
            <w:r>
              <w:t xml:space="preserve">  626 (10.32%)</w:t>
            </w:r>
          </w:p>
        </w:tc>
      </w:tr>
      <w:tr>
        <w:tc>
          <w:tcPr/>
          <w:p>
            <w:pPr>
              <w:pStyle w:val="Compact"/>
              <w:jc w:val="left"/>
            </w:pPr>
            <w:r>
              <w:t xml:space="preserve">   Not Reported</w:t>
            </w:r>
          </w:p>
        </w:tc>
        <w:tc>
          <w:tcPr/>
          <w:p>
            <w:pPr>
              <w:pStyle w:val="Compact"/>
              <w:jc w:val="left"/>
            </w:pPr>
            <w:r>
              <w:t xml:space="preserve">10,182 (93.78%)</w:t>
            </w:r>
          </w:p>
        </w:tc>
        <w:tc>
          <w:tcPr/>
          <w:p>
            <w:pPr>
              <w:pStyle w:val="Compact"/>
              <w:jc w:val="left"/>
            </w:pPr>
            <w:r>
              <w:t xml:space="preserve">1,921 (100.00%)</w:t>
            </w:r>
          </w:p>
        </w:tc>
        <w:tc>
          <w:tcPr/>
          <w:p>
            <w:pPr>
              <w:pStyle w:val="Compact"/>
              <w:jc w:val="left"/>
            </w:pPr>
            <w:r>
              <w:t xml:space="preserve">308 (100.00%)</w:t>
            </w:r>
          </w:p>
        </w:tc>
        <w:tc>
          <w:tcPr/>
          <w:p>
            <w:pPr>
              <w:pStyle w:val="Compact"/>
              <w:jc w:val="left"/>
            </w:pPr>
            <w:r>
              <w:t xml:space="preserve">1,219 (24.19%)</w:t>
            </w:r>
          </w:p>
        </w:tc>
        <w:tc>
          <w:tcPr/>
          <w:p>
            <w:pPr>
              <w:pStyle w:val="Compact"/>
              <w:jc w:val="left"/>
            </w:pPr>
            <w:r>
              <w:t xml:space="preserve">  300 (4.95%)</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2,306 (25.22%)</w:t>
            </w:r>
          </w:p>
        </w:tc>
        <w:tc>
          <w:tcPr/>
          <w:p>
            <w:pPr>
              <w:pStyle w:val="Compact"/>
              <w:jc w:val="left"/>
            </w:pPr>
            <w:r>
              <w:t xml:space="preserve">208 (11.56%)</w:t>
            </w:r>
          </w:p>
        </w:tc>
        <w:tc>
          <w:tcPr/>
          <w:p>
            <w:pPr>
              <w:pStyle w:val="Compact"/>
              <w:jc w:val="left"/>
            </w:pPr>
            <w:r>
              <w:t xml:space="preserve">  2 (0.74%)</w:t>
            </w:r>
          </w:p>
        </w:tc>
        <w:tc>
          <w:tcPr/>
          <w:p>
            <w:pPr>
              <w:pStyle w:val="Compact"/>
              <w:jc w:val="left"/>
            </w:pPr>
            <w:r>
              <w:t xml:space="preserve">1,074 (21.98%)</w:t>
            </w:r>
          </w:p>
        </w:tc>
        <w:tc>
          <w:tcPr/>
          <w:p>
            <w:pPr>
              <w:pStyle w:val="Compact"/>
              <w:jc w:val="left"/>
            </w:pPr>
            <w:r>
              <w:t xml:space="preserve">2,388 (39.38%)</w:t>
            </w:r>
          </w:p>
        </w:tc>
      </w:tr>
      <w:tr>
        <w:tc>
          <w:tcPr/>
          <w:p>
            <w:pPr>
              <w:pStyle w:val="Compact"/>
              <w:jc w:val="left"/>
            </w:pPr>
            <w:r>
              <w:t xml:space="preserve">   Medium</w:t>
            </w:r>
          </w:p>
        </w:tc>
        <w:tc>
          <w:tcPr/>
          <w:p>
            <w:pPr>
              <w:pStyle w:val="Compact"/>
              <w:jc w:val="left"/>
            </w:pPr>
            <w:r>
              <w:t xml:space="preserve">2,920 (31.94%)</w:t>
            </w:r>
          </w:p>
        </w:tc>
        <w:tc>
          <w:tcPr/>
          <w:p>
            <w:pPr>
              <w:pStyle w:val="Compact"/>
              <w:jc w:val="left"/>
            </w:pPr>
            <w:r>
              <w:t xml:space="preserve">884 (49.14%)</w:t>
            </w:r>
          </w:p>
        </w:tc>
        <w:tc>
          <w:tcPr/>
          <w:p>
            <w:pPr>
              <w:pStyle w:val="Compact"/>
              <w:jc w:val="left"/>
            </w:pPr>
            <w:r>
              <w:t xml:space="preserve">191 (70.74%)</w:t>
            </w:r>
          </w:p>
        </w:tc>
        <w:tc>
          <w:tcPr/>
          <w:p>
            <w:pPr>
              <w:pStyle w:val="Compact"/>
              <w:jc w:val="left"/>
            </w:pPr>
            <w:r>
              <w:t xml:space="preserve">2,407 (49.26%)</w:t>
            </w:r>
          </w:p>
        </w:tc>
        <w:tc>
          <w:tcPr/>
          <w:p>
            <w:pPr>
              <w:pStyle w:val="Compact"/>
              <w:jc w:val="left"/>
            </w:pPr>
            <w:r>
              <w:t xml:space="preserve">2,324 (38.32%)</w:t>
            </w:r>
          </w:p>
        </w:tc>
      </w:tr>
      <w:tr>
        <w:tc>
          <w:tcPr/>
          <w:p>
            <w:pPr>
              <w:pStyle w:val="Compact"/>
              <w:jc w:val="left"/>
            </w:pPr>
            <w:r>
              <w:t xml:space="preserve">   High</w:t>
            </w:r>
          </w:p>
        </w:tc>
        <w:tc>
          <w:tcPr/>
          <w:p>
            <w:pPr>
              <w:pStyle w:val="Compact"/>
              <w:jc w:val="left"/>
            </w:pPr>
            <w:r>
              <w:t xml:space="preserve">3,916 (42.84%)</w:t>
            </w:r>
          </w:p>
        </w:tc>
        <w:tc>
          <w:tcPr/>
          <w:p>
            <w:pPr>
              <w:pStyle w:val="Compact"/>
              <w:jc w:val="left"/>
            </w:pPr>
            <w:r>
              <w:t xml:space="preserve">707 (39.30%)</w:t>
            </w:r>
          </w:p>
        </w:tc>
        <w:tc>
          <w:tcPr/>
          <w:p>
            <w:pPr>
              <w:pStyle w:val="Compact"/>
              <w:jc w:val="left"/>
            </w:pPr>
            <w:r>
              <w:t xml:space="preserve">77 (28.52%)</w:t>
            </w:r>
          </w:p>
        </w:tc>
        <w:tc>
          <w:tcPr/>
          <w:p>
            <w:pPr>
              <w:pStyle w:val="Compact"/>
              <w:jc w:val="left"/>
            </w:pPr>
            <w:r>
              <w:t xml:space="preserve">1,405 (28.76%)</w:t>
            </w:r>
          </w:p>
        </w:tc>
        <w:tc>
          <w:tcPr/>
          <w:p>
            <w:pPr>
              <w:pStyle w:val="Compact"/>
              <w:jc w:val="left"/>
            </w:pPr>
            <w:r>
              <w:t xml:space="preserve">1,352 (22.30%)</w:t>
            </w:r>
          </w:p>
        </w:tc>
      </w:tr>
    </w:tbl>
    <w:p>
      <w:pPr>
        <w:pStyle w:val="table-note"/>
      </w:pPr>
      <w:r>
        <w:rPr>
          <w:i/>
          <w:iCs/>
        </w:rPr>
        <w:t xml:space="preserve">Note.</w:t>
      </w:r>
      <w:r>
        <w:t xml:space="preserve"> </w:t>
      </w:r>
      <w:r>
        <w:t xml:space="preserve">For categorical variables the value is the count, and percentage. For numeric variables the value is the Mean and SD. Sleep onset is a clock time; its SD is a duration in hours:minutes. Total N = 24,264. 72 participants had missing age data and are counted in the total but not in any age band.</w:t>
      </w:r>
    </w:p>
    <w:p>
      <w:pPr>
        <w:pStyle w:val="Textkrper"/>
      </w:pPr>
      <w:r>
        <w:t xml:space="preserve"> </w:t>
      </w:r>
    </w:p>
    <w:bookmarkStart w:id="38" w:name="X5cddb1e1efc6f7d321d14e1178505364b564f0e"/>
    <w:p>
      <w:pPr>
        <w:pStyle w:val="berschrift2"/>
      </w:pPr>
      <w:r>
        <w:t xml:space="preserve">The association between physical activity volume and sleep</w:t>
      </w:r>
    </w:p>
    <w:p>
      <w:pPr>
        <w:pStyle w:val="FirstParagraph"/>
      </w:pPr>
      <w:r>
        <w:t xml:space="preserve">We estimated the association between physical activity and sleep (RQ1) using mixed-effects models.</w:t>
      </w:r>
      <w:r>
        <w:t xml:space="preserve"> </w:t>
      </w:r>
      <w:r>
        <w:t xml:space="preserve">These associations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Although we observed statistically significant curvilinear relationships, these did not appear to meaningfully change the associations.</w:t>
      </w:r>
      <w:r>
        <w:t xml:space="preserve"> </w:t>
      </w:r>
      <w:r>
        <w:t xml:space="preserve">While we observed statistically significant interactions between age and physical activity volume for sleep duration, efficiency, and onset, these were too small to be meaningful, and there was no evidence that the linear relationship with sleep regularity varied by age.</w:t>
      </w:r>
    </w:p>
    <w:p>
      <w:pPr>
        <w:pStyle w:val="TableCaption"/>
      </w:pPr>
      <w:bookmarkStart w:id="33" w:name="tab:sleep-outcomes"/>
      <w:bookmarkEnd w:id="33"/>
      <w:r>
        <w:t xml:space="preserve">Table 2</w:t>
      </w:r>
      <w:r>
        <w:br/>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2 Physical activity predicting sleep controlling for SES, sex, and BMI z-score."/>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0.08 [-0.09, 0.25]</w:t>
            </w:r>
          </w:p>
        </w:tc>
        <w:tc>
          <w:tcPr/>
          <w:p>
            <w:pPr>
              <w:pStyle w:val="Compact"/>
              <w:jc w:val="left"/>
            </w:pPr>
            <w:r>
              <w:t xml:space="preserve">0.09</w:t>
            </w:r>
          </w:p>
        </w:tc>
        <w:tc>
          <w:tcPr/>
          <w:p>
            <w:pPr>
              <w:pStyle w:val="Compact"/>
              <w:jc w:val="left"/>
            </w:pPr>
            <w:r>
              <w:t xml:space="preserve">0.91</w:t>
            </w:r>
          </w:p>
        </w:tc>
        <w:tc>
          <w:tcPr/>
          <w:p>
            <w:pPr>
              <w:pStyle w:val="Compact"/>
              <w:jc w:val="left"/>
            </w:pPr>
            <w:r>
              <w:t xml:space="preserve">.364</w:t>
            </w:r>
          </w:p>
        </w:tc>
        <w:tc>
          <w:tcPr/>
          <w:p>
            <w:pPr>
              <w:pStyle w:val="Compact"/>
              <w:jc w:val="left"/>
            </w:pPr>
            <w:r>
              <w:t xml:space="preserve">0.08 [-0.08, 0.24]</w:t>
            </w:r>
          </w:p>
        </w:tc>
        <w:tc>
          <w:tcPr/>
          <w:p>
            <w:pPr>
              <w:pStyle w:val="Compact"/>
              <w:jc w:val="left"/>
            </w:pPr>
            <w:r>
              <w:t xml:space="preserve">0.08</w:t>
            </w:r>
          </w:p>
        </w:tc>
        <w:tc>
          <w:tcPr/>
          <w:p>
            <w:pPr>
              <w:pStyle w:val="Compact"/>
              <w:jc w:val="left"/>
            </w:pPr>
            <w:r>
              <w:t xml:space="preserve">1.00</w:t>
            </w:r>
          </w:p>
        </w:tc>
        <w:tc>
          <w:tcPr/>
          <w:p>
            <w:pPr>
              <w:pStyle w:val="Compact"/>
              <w:jc w:val="left"/>
            </w:pPr>
            <w:r>
              <w:t xml:space="preserve">.320</w:t>
            </w:r>
          </w:p>
        </w:tc>
      </w:tr>
      <w:tr>
        <w:tc>
          <w:tcPr/>
          <w:p>
            <w:pPr>
              <w:pStyle w:val="Compact"/>
              <w:jc w:val="left"/>
            </w:pPr>
            <w:r>
              <w:t xml:space="preserve">   Physical activity</w:t>
            </w:r>
          </w:p>
        </w:tc>
        <w:tc>
          <w:tcPr/>
          <w:p>
            <w:pPr>
              <w:pStyle w:val="Compact"/>
              <w:jc w:val="left"/>
            </w:pPr>
            <w:r>
              <w:t xml:space="preserve">0.10 [0.09, 0.12]</w:t>
            </w:r>
          </w:p>
        </w:tc>
        <w:tc>
          <w:tcPr/>
          <w:p>
            <w:pPr>
              <w:pStyle w:val="Compact"/>
              <w:jc w:val="left"/>
            </w:pPr>
            <w:r>
              <w:t xml:space="preserve">0.01</w:t>
            </w:r>
          </w:p>
        </w:tc>
        <w:tc>
          <w:tcPr/>
          <w:p>
            <w:pPr>
              <w:pStyle w:val="Compact"/>
              <w:jc w:val="left"/>
            </w:pPr>
            <w:r>
              <w:t xml:space="preserve">11.23</w:t>
            </w:r>
          </w:p>
        </w:tc>
        <w:tc>
          <w:tcPr/>
          <w:p>
            <w:pPr>
              <w:pStyle w:val="Compact"/>
              <w:jc w:val="left"/>
            </w:pPr>
            <w:r>
              <w:t xml:space="preserve">&lt; .001</w:t>
            </w:r>
          </w:p>
        </w:tc>
        <w:tc>
          <w:tcPr/>
          <w:p>
            <w:pPr>
              <w:pStyle w:val="Compact"/>
              <w:jc w:val="left"/>
            </w:pPr>
            <w:r>
              <w:t xml:space="preserve">0.09 [0.06, 0.11]</w:t>
            </w:r>
          </w:p>
        </w:tc>
        <w:tc>
          <w:tcPr/>
          <w:p>
            <w:pPr>
              <w:pStyle w:val="Compact"/>
              <w:jc w:val="left"/>
            </w:pPr>
            <w:r>
              <w:t xml:space="preserve">0.01</w:t>
            </w:r>
          </w:p>
        </w:tc>
        <w:tc>
          <w:tcPr/>
          <w:p>
            <w:pPr>
              <w:pStyle w:val="Compact"/>
              <w:jc w:val="left"/>
            </w:pPr>
            <w:r>
              <w:t xml:space="preserve">7.80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-3.32</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-3.45</w:t>
            </w:r>
          </w:p>
        </w:tc>
        <w:tc>
          <w:tcPr/>
          <w:p>
            <w:pPr>
              <w:pStyle w:val="Compact"/>
              <w:jc w:val="left"/>
            </w:pPr>
            <w:r>
              <w:t xml:space="preserve">&lt; .001</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-3.43</w:t>
            </w:r>
          </w:p>
        </w:tc>
        <w:tc>
          <w:tcPr/>
          <w:p>
            <w:pPr>
              <w:pStyle w:val="Compact"/>
              <w:jc w:val="left"/>
            </w:pPr>
            <w:r>
              <w:t xml:space="preserve">&lt; .001</w:t>
            </w:r>
          </w:p>
        </w:tc>
        <w:tc>
          <w:tcPr/>
          <w:p>
            <w:pPr>
              <w:pStyle w:val="Compact"/>
              <w:jc w:val="left"/>
            </w:pPr>
            <w:r>
              <w:t xml:space="preserve">0.01 [0.00, 0.02]</w:t>
            </w:r>
          </w:p>
        </w:tc>
        <w:tc>
          <w:tcPr/>
          <w:p>
            <w:pPr>
              <w:pStyle w:val="Compact"/>
              <w:jc w:val="left"/>
            </w:pPr>
            <w:r>
              <w:t xml:space="preserve">0.01</w:t>
            </w:r>
          </w:p>
        </w:tc>
        <w:tc>
          <w:tcPr/>
          <w:p>
            <w:pPr>
              <w:pStyle w:val="Compact"/>
              <w:jc w:val="left"/>
            </w:pPr>
            <w:r>
              <w:t xml:space="preserve">1.86</w:t>
            </w:r>
          </w:p>
        </w:tc>
        <w:tc>
          <w:tcPr/>
          <w:p>
            <w:pPr>
              <w:pStyle w:val="Compact"/>
              <w:jc w:val="left"/>
            </w:pPr>
            <w:r>
              <w:t xml:space="preserve">.063</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-5.09</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-0.85</w:t>
            </w:r>
          </w:p>
        </w:tc>
        <w:tc>
          <w:tcPr/>
          <w:p>
            <w:pPr>
              <w:pStyle w:val="Compact"/>
              <w:jc w:val="left"/>
            </w:pPr>
            <w:r>
              <w:t xml:space="preserve">.397</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-3.73</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0.16 [0.00, 0.33]</w:t>
            </w:r>
          </w:p>
        </w:tc>
        <w:tc>
          <w:tcPr/>
          <w:p>
            <w:pPr>
              <w:pStyle w:val="Compact"/>
              <w:jc w:val="left"/>
            </w:pPr>
            <w:r>
              <w:t xml:space="preserve">0.08</w:t>
            </w:r>
          </w:p>
        </w:tc>
        <w:tc>
          <w:tcPr/>
          <w:p>
            <w:pPr>
              <w:pStyle w:val="Compact"/>
              <w:jc w:val="left"/>
            </w:pPr>
            <w:r>
              <w:t xml:space="preserve">1.98</w:t>
            </w:r>
          </w:p>
        </w:tc>
        <w:tc>
          <w:tcPr/>
          <w:p>
            <w:pPr>
              <w:pStyle w:val="Compact"/>
              <w:jc w:val="left"/>
            </w:pPr>
            <w:r>
              <w:t xml:space="preserve">.048</w:t>
            </w:r>
          </w:p>
        </w:tc>
        <w:tc>
          <w:tcPr/>
          <w:p>
            <w:pPr>
              <w:pStyle w:val="Compact"/>
              <w:jc w:val="left"/>
            </w:pPr>
            <w:r>
              <w:t xml:space="preserve">0.19 [0.01, 0.36]</w:t>
            </w:r>
          </w:p>
        </w:tc>
        <w:tc>
          <w:tcPr/>
          <w:p>
            <w:pPr>
              <w:pStyle w:val="Compact"/>
              <w:jc w:val="left"/>
            </w:pPr>
            <w:r>
              <w:t xml:space="preserve">0.09</w:t>
            </w:r>
          </w:p>
        </w:tc>
        <w:tc>
          <w:tcPr/>
          <w:p>
            <w:pPr>
              <w:pStyle w:val="Compact"/>
              <w:jc w:val="left"/>
            </w:pPr>
            <w:r>
              <w:t xml:space="preserve">2.11</w:t>
            </w:r>
          </w:p>
        </w:tc>
        <w:tc>
          <w:tcPr/>
          <w:p>
            <w:pPr>
              <w:pStyle w:val="Compact"/>
              <w:jc w:val="left"/>
            </w:pPr>
            <w:r>
              <w:t xml:space="preserve">.034</w:t>
            </w:r>
          </w:p>
        </w:tc>
      </w:tr>
      <w:tr>
        <w:tc>
          <w:tcPr/>
          <w:p>
            <w:pPr>
              <w:pStyle w:val="Compact"/>
              <w:jc w:val="left"/>
            </w:pPr>
            <w:r>
              <w:t xml:space="preserve">   Physical activity</w:t>
            </w:r>
          </w:p>
        </w:tc>
        <w:tc>
          <w:tcPr/>
          <w:p>
            <w:pPr>
              <w:pStyle w:val="Compact"/>
              <w:jc w:val="left"/>
            </w:pPr>
            <w:r>
              <w:t xml:space="preserve">0.11 [0.10, 0.13]</w:t>
            </w:r>
          </w:p>
        </w:tc>
        <w:tc>
          <w:tcPr/>
          <w:p>
            <w:pPr>
              <w:pStyle w:val="Compact"/>
              <w:jc w:val="left"/>
            </w:pPr>
            <w:r>
              <w:t xml:space="preserve">0.01</w:t>
            </w:r>
          </w:p>
        </w:tc>
        <w:tc>
          <w:tcPr/>
          <w:p>
            <w:pPr>
              <w:pStyle w:val="Compact"/>
              <w:jc w:val="left"/>
            </w:pPr>
            <w:r>
              <w:t xml:space="preserve">14.52</w:t>
            </w:r>
          </w:p>
        </w:tc>
        <w:tc>
          <w:tcPr/>
          <w:p>
            <w:pPr>
              <w:pStyle w:val="Compact"/>
              <w:jc w:val="left"/>
            </w:pPr>
            <w:r>
              <w:t xml:space="preserve">&lt; .001</w:t>
            </w:r>
          </w:p>
        </w:tc>
        <w:tc>
          <w:tcPr/>
          <w:p>
            <w:pPr>
              <w:pStyle w:val="Compact"/>
              <w:jc w:val="left"/>
            </w:pPr>
            <w:r>
              <w:t xml:space="preserve">0.07 [0.05, 0.09]</w:t>
            </w:r>
          </w:p>
        </w:tc>
        <w:tc>
          <w:tcPr/>
          <w:p>
            <w:pPr>
              <w:pStyle w:val="Compact"/>
              <w:jc w:val="left"/>
            </w:pPr>
            <w:r>
              <w:t xml:space="preserve">0.01</w:t>
            </w:r>
          </w:p>
        </w:tc>
        <w:tc>
          <w:tcPr/>
          <w:p>
            <w:pPr>
              <w:pStyle w:val="Compact"/>
              <w:jc w:val="left"/>
            </w:pPr>
            <w:r>
              <w:t xml:space="preserve">7.98</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-0.56</w:t>
            </w:r>
          </w:p>
        </w:tc>
        <w:tc>
          <w:tcPr/>
          <w:p>
            <w:pPr>
              <w:pStyle w:val="Compact"/>
              <w:jc w:val="left"/>
            </w:pPr>
            <w:r>
              <w:t xml:space="preserve">.573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-1.49</w:t>
            </w:r>
          </w:p>
        </w:tc>
        <w:tc>
          <w:tcPr/>
          <w:p>
            <w:pPr>
              <w:pStyle w:val="Compact"/>
              <w:jc w:val="left"/>
            </w:pPr>
            <w:r>
              <w:t xml:space="preserve">.136</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-12.10</w:t>
            </w:r>
          </w:p>
        </w:tc>
        <w:tc>
          <w:tcPr/>
          <w:p>
            <w:pPr>
              <w:pStyle w:val="Compact"/>
              <w:jc w:val="left"/>
            </w:pPr>
            <w:r>
              <w:t xml:space="preserve">&lt; .001</w:t>
            </w:r>
          </w:p>
        </w:tc>
        <w:tc>
          <w:tcPr/>
          <w:p>
            <w:pPr>
              <w:pStyle w:val="Compact"/>
              <w:jc w:val="left"/>
            </w:pPr>
            <w:r>
              <w:t xml:space="preserve">-0.04 [-0.05, -0.03]</w:t>
            </w:r>
          </w:p>
        </w:tc>
        <w:tc>
          <w:tcPr/>
          <w:p>
            <w:pPr>
              <w:pStyle w:val="Compact"/>
              <w:jc w:val="left"/>
            </w:pPr>
            <w:r>
              <w:t xml:space="preserve">0.00</w:t>
            </w:r>
          </w:p>
        </w:tc>
        <w:tc>
          <w:tcPr/>
          <w:p>
            <w:pPr>
              <w:pStyle w:val="Compact"/>
              <w:jc w:val="left"/>
            </w:pPr>
            <w:r>
              <w:t xml:space="preserve">-7.59</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-12.11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-7.12</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2.41</w:t>
            </w:r>
          </w:p>
        </w:tc>
        <w:tc>
          <w:tcPr/>
          <w:p>
            <w:pPr>
              <w:pStyle w:val="Compact"/>
              <w:jc w:val="left"/>
            </w:pPr>
            <w:r>
              <w:t xml:space="preserve">.016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6.18</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[-0.18, 0.37]</w:t>
            </w:r>
          </w:p>
        </w:tc>
        <w:tc>
          <w:tcPr/>
          <w:p>
            <w:pPr>
              <w:pStyle w:val="Compact"/>
              <w:jc w:val="left"/>
            </w:pPr>
            <w:r>
              <w:t xml:space="preserve">0.14</w:t>
            </w:r>
          </w:p>
        </w:tc>
        <w:tc>
          <w:tcPr/>
          <w:p>
            <w:pPr>
              <w:pStyle w:val="Compact"/>
              <w:jc w:val="left"/>
            </w:pPr>
            <w:r>
              <w:t xml:space="preserve">0.70</w:t>
            </w:r>
          </w:p>
        </w:tc>
        <w:tc>
          <w:tcPr/>
          <w:p>
            <w:pPr>
              <w:pStyle w:val="Compact"/>
              <w:jc w:val="left"/>
            </w:pPr>
            <w:r>
              <w:t xml:space="preserve">.485</w:t>
            </w:r>
          </w:p>
        </w:tc>
        <w:tc>
          <w:tcPr/>
          <w:p>
            <w:pPr>
              <w:pStyle w:val="Compact"/>
              <w:jc w:val="left"/>
            </w:pPr>
            <w:r>
              <w:t xml:space="preserve">0.10 [-0.17, 0.36]</w:t>
            </w:r>
          </w:p>
        </w:tc>
        <w:tc>
          <w:tcPr/>
          <w:p>
            <w:pPr>
              <w:pStyle w:val="Compact"/>
              <w:jc w:val="left"/>
            </w:pPr>
            <w:r>
              <w:t xml:space="preserve">0.13</w:t>
            </w:r>
          </w:p>
        </w:tc>
        <w:tc>
          <w:tcPr/>
          <w:p>
            <w:pPr>
              <w:pStyle w:val="Compact"/>
              <w:jc w:val="left"/>
            </w:pPr>
            <w:r>
              <w:t xml:space="preserve">0.72</w:t>
            </w:r>
          </w:p>
        </w:tc>
        <w:tc>
          <w:tcPr/>
          <w:p>
            <w:pPr>
              <w:pStyle w:val="Compact"/>
              <w:jc w:val="left"/>
            </w:pPr>
            <w:r>
              <w:t xml:space="preserve">.472</w:t>
            </w:r>
          </w:p>
        </w:tc>
      </w:tr>
      <w:tr>
        <w:tc>
          <w:tcPr/>
          <w:p>
            <w:pPr>
              <w:pStyle w:val="Compact"/>
              <w:jc w:val="left"/>
            </w:pPr>
            <w:r>
              <w:t xml:space="preserve">   Physical activity</w:t>
            </w:r>
          </w:p>
        </w:tc>
        <w:tc>
          <w:tcPr/>
          <w:p>
            <w:pPr>
              <w:pStyle w:val="Compact"/>
              <w:jc w:val="left"/>
            </w:pPr>
            <w:r>
              <w:t xml:space="preserve">-0.02 [-0.04, -0.01]</w:t>
            </w:r>
          </w:p>
        </w:tc>
        <w:tc>
          <w:tcPr/>
          <w:p>
            <w:pPr>
              <w:pStyle w:val="Compact"/>
              <w:jc w:val="left"/>
            </w:pPr>
            <w:r>
              <w:t xml:space="preserve">0.01</w:t>
            </w:r>
          </w:p>
        </w:tc>
        <w:tc>
          <w:tcPr/>
          <w:p>
            <w:pPr>
              <w:pStyle w:val="Compact"/>
              <w:jc w:val="left"/>
            </w:pPr>
            <w:r>
              <w:t xml:space="preserve">-3.95</w:t>
            </w:r>
          </w:p>
        </w:tc>
        <w:tc>
          <w:tcPr/>
          <w:p>
            <w:pPr>
              <w:pStyle w:val="Compact"/>
              <w:jc w:val="left"/>
            </w:pPr>
            <w:r>
              <w:t xml:space="preserve">&lt; .001</w:t>
            </w:r>
          </w:p>
        </w:tc>
        <w:tc>
          <w:tcPr/>
          <w:p>
            <w:pPr>
              <w:pStyle w:val="Compact"/>
              <w:jc w:val="left"/>
            </w:pPr>
            <w:r>
              <w:t xml:space="preserve">-0.06 [-0.07, -0.05]</w:t>
            </w:r>
          </w:p>
        </w:tc>
        <w:tc>
          <w:tcPr/>
          <w:p>
            <w:pPr>
              <w:pStyle w:val="Compact"/>
              <w:jc w:val="left"/>
            </w:pPr>
            <w:r>
              <w:t xml:space="preserve">0.01</w:t>
            </w:r>
          </w:p>
        </w:tc>
        <w:tc>
          <w:tcPr/>
          <w:p>
            <w:pPr>
              <w:pStyle w:val="Compact"/>
              <w:jc w:val="left"/>
            </w:pPr>
            <w:r>
              <w:t xml:space="preserve">-9.61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-1.65</w:t>
            </w:r>
          </w:p>
        </w:tc>
        <w:tc>
          <w:tcPr/>
          <w:p>
            <w:pPr>
              <w:pStyle w:val="Compact"/>
              <w:jc w:val="left"/>
            </w:pPr>
            <w:r>
              <w:t xml:space="preserve">.099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-0.74</w:t>
            </w:r>
          </w:p>
        </w:tc>
        <w:tc>
          <w:tcPr/>
          <w:p>
            <w:pPr>
              <w:pStyle w:val="Compact"/>
              <w:jc w:val="left"/>
            </w:pPr>
            <w:r>
              <w:t xml:space="preserve">.457</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-0.01]</w:t>
            </w:r>
          </w:p>
        </w:tc>
        <w:tc>
          <w:tcPr/>
          <w:p>
            <w:pPr>
              <w:pStyle w:val="Compact"/>
              <w:jc w:val="left"/>
            </w:pPr>
            <w:r>
              <w:t xml:space="preserve">0.00</w:t>
            </w:r>
          </w:p>
        </w:tc>
        <w:tc>
          <w:tcPr/>
          <w:p>
            <w:pPr>
              <w:pStyle w:val="Compact"/>
              <w:jc w:val="left"/>
            </w:pPr>
            <w:r>
              <w:t xml:space="preserve">-6.43</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-8.22</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-14.02</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1.84</w:t>
            </w:r>
          </w:p>
        </w:tc>
        <w:tc>
          <w:tcPr/>
          <w:p>
            <w:pPr>
              <w:pStyle w:val="Compact"/>
              <w:jc w:val="left"/>
            </w:pPr>
            <w:r>
              <w:t xml:space="preserve">.066</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8.11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10.79</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[-0.02, 0.27]</w:t>
            </w:r>
          </w:p>
        </w:tc>
        <w:tc>
          <w:tcPr/>
          <w:p>
            <w:pPr>
              <w:pStyle w:val="Compact"/>
              <w:jc w:val="left"/>
            </w:pPr>
            <w:r>
              <w:t xml:space="preserve">0.07</w:t>
            </w:r>
          </w:p>
        </w:tc>
        <w:tc>
          <w:tcPr/>
          <w:p>
            <w:pPr>
              <w:pStyle w:val="Compact"/>
              <w:jc w:val="left"/>
            </w:pPr>
            <w:r>
              <w:t xml:space="preserve">1.67</w:t>
            </w:r>
          </w:p>
        </w:tc>
        <w:tc>
          <w:tcPr/>
          <w:p>
            <w:pPr>
              <w:pStyle w:val="Compact"/>
              <w:jc w:val="left"/>
            </w:pPr>
            <w:r>
              <w:t xml:space="preserve">.096</w:t>
            </w:r>
          </w:p>
        </w:tc>
        <w:tc>
          <w:tcPr/>
          <w:p>
            <w:pPr>
              <w:pStyle w:val="Compact"/>
              <w:jc w:val="left"/>
            </w:pPr>
            <w:r>
              <w:t xml:space="preserve">0.28 [0.11, 0.45]</w:t>
            </w:r>
          </w:p>
        </w:tc>
        <w:tc>
          <w:tcPr/>
          <w:p>
            <w:pPr>
              <w:pStyle w:val="Compact"/>
              <w:jc w:val="left"/>
            </w:pPr>
            <w:r>
              <w:t xml:space="preserve">0.09</w:t>
            </w:r>
          </w:p>
        </w:tc>
        <w:tc>
          <w:tcPr/>
          <w:p>
            <w:pPr>
              <w:pStyle w:val="Compact"/>
              <w:jc w:val="left"/>
            </w:pPr>
            <w:r>
              <w:t xml:space="preserve">3.16</w:t>
            </w:r>
          </w:p>
        </w:tc>
        <w:tc>
          <w:tcPr/>
          <w:p>
            <w:pPr>
              <w:pStyle w:val="Compact"/>
              <w:jc w:val="left"/>
            </w:pPr>
            <w:r>
              <w:t xml:space="preserve">.002</w:t>
            </w:r>
          </w:p>
        </w:tc>
      </w:tr>
      <w:tr>
        <w:tc>
          <w:tcPr/>
          <w:p>
            <w:pPr>
              <w:pStyle w:val="Compact"/>
              <w:jc w:val="left"/>
            </w:pPr>
            <w:r>
              <w:t xml:space="preserve">   Physical activity</w:t>
            </w:r>
          </w:p>
        </w:tc>
        <w:tc>
          <w:tcPr/>
          <w:p>
            <w:pPr>
              <w:pStyle w:val="Compact"/>
              <w:jc w:val="left"/>
            </w:pPr>
            <w:r>
              <w:t xml:space="preserve">0.25 [0.23, 0.26]</w:t>
            </w:r>
          </w:p>
        </w:tc>
        <w:tc>
          <w:tcPr/>
          <w:p>
            <w:pPr>
              <w:pStyle w:val="Compact"/>
              <w:jc w:val="left"/>
            </w:pPr>
            <w:r>
              <w:t xml:space="preserve">0.01</w:t>
            </w:r>
          </w:p>
        </w:tc>
        <w:tc>
          <w:tcPr/>
          <w:p>
            <w:pPr>
              <w:pStyle w:val="Compact"/>
              <w:jc w:val="left"/>
            </w:pPr>
            <w:r>
              <w:t xml:space="preserve">28.89</w:t>
            </w:r>
          </w:p>
        </w:tc>
        <w:tc>
          <w:tcPr/>
          <w:p>
            <w:pPr>
              <w:pStyle w:val="Compact"/>
              <w:jc w:val="left"/>
            </w:pPr>
            <w:r>
              <w:t xml:space="preserve">&lt; .001</w:t>
            </w:r>
          </w:p>
        </w:tc>
        <w:tc>
          <w:tcPr/>
          <w:p>
            <w:pPr>
              <w:pStyle w:val="Compact"/>
              <w:jc w:val="left"/>
            </w:pPr>
            <w:r>
              <w:t xml:space="preserve">0.29 [0.27, 0.31]</w:t>
            </w:r>
          </w:p>
        </w:tc>
        <w:tc>
          <w:tcPr/>
          <w:p>
            <w:pPr>
              <w:pStyle w:val="Compact"/>
              <w:jc w:val="left"/>
            </w:pPr>
            <w:r>
              <w:t xml:space="preserve">0.01</w:t>
            </w:r>
          </w:p>
        </w:tc>
        <w:tc>
          <w:tcPr/>
          <w:p>
            <w:pPr>
              <w:pStyle w:val="Compact"/>
              <w:jc w:val="left"/>
            </w:pPr>
            <w:r>
              <w:t xml:space="preserve">28.95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0.45</w:t>
            </w:r>
          </w:p>
        </w:tc>
        <w:tc>
          <w:tcPr/>
          <w:p>
            <w:pPr>
              <w:pStyle w:val="Compact"/>
              <w:jc w:val="left"/>
            </w:pPr>
            <w:r>
              <w:t xml:space="preserve">.656</w:t>
            </w:r>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-3.57</w:t>
            </w:r>
          </w:p>
        </w:tc>
        <w:tc>
          <w:tcPr/>
          <w:p>
            <w:pPr>
              <w:pStyle w:val="Compact"/>
              <w:jc w:val="left"/>
            </w:pPr>
            <w:r>
              <w:t xml:space="preserve">&lt; .001</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-8.56</w:t>
            </w:r>
          </w:p>
        </w:tc>
        <w:tc>
          <w:tcPr/>
          <w:p>
            <w:pPr>
              <w:pStyle w:val="Compact"/>
              <w:jc w:val="left"/>
            </w:pPr>
            <w:r>
              <w:t xml:space="preserve">&lt; .001</w:t>
            </w:r>
          </w:p>
        </w:tc>
        <w:tc>
          <w:tcPr/>
          <w:p>
            <w:pPr>
              <w:pStyle w:val="Compact"/>
              <w:jc w:val="left"/>
            </w:pPr>
            <w:r>
              <w:t xml:space="preserve">-0.11 [-0.12, -0.10]</w:t>
            </w:r>
          </w:p>
        </w:tc>
        <w:tc>
          <w:tcPr/>
          <w:p>
            <w:pPr>
              <w:pStyle w:val="Compact"/>
              <w:jc w:val="left"/>
            </w:pPr>
            <w:r>
              <w:t xml:space="preserve">0.01</w:t>
            </w:r>
          </w:p>
        </w:tc>
        <w:tc>
          <w:tcPr/>
          <w:p>
            <w:pPr>
              <w:pStyle w:val="Compact"/>
              <w:jc w:val="left"/>
            </w:pPr>
            <w:r>
              <w:t xml:space="preserve">-17.67</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-1.33</w:t>
            </w:r>
          </w:p>
        </w:tc>
        <w:tc>
          <w:tcPr/>
          <w:p>
            <w:pPr>
              <w:pStyle w:val="Compact"/>
              <w:jc w:val="left"/>
            </w:pPr>
            <w:r>
              <w:t xml:space="preserve">.186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-20.95</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-8.31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8.92</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z-score. Outcomes variables are listed in the column headers. Standardized (z-scores) are indicated with</w:t>
      </w:r>
      <w:r>
        <w:t xml:space="preserve"> </w:t>
      </w:r>
      <w:r>
        <w:t xml:space="preserve">‘(z)’</w:t>
      </w:r>
      <w:r>
        <w:t xml:space="preserve">.</w:t>
      </w:r>
    </w:p>
    <w:p>
      <w:pPr>
        <w:pStyle w:val="Textkrper"/>
      </w:pPr>
      <w:r>
        <w:t xml:space="preserve"> </w:t>
      </w:r>
    </w:p>
    <w:p>
      <w:pPr>
        <w:pStyle w:val="CaptionedFigure"/>
      </w:pPr>
      <w:r>
        <w:drawing>
          <wp:inline>
            <wp:extent cx="6565900" cy="4377678"/>
            <wp:effectExtent b="0" l="0" r="0" t="0"/>
            <wp:docPr descr="Figure 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35" name="Picture"/>
            <a:graphic>
              <a:graphicData uri="http://schemas.openxmlformats.org/drawingml/2006/picture">
                <pic:pic>
                  <pic:nvPicPr>
                    <pic:cNvPr descr="../Figures/main/Sleep%20on%20scale_pa_volume%20by%20Age_nolog.jpg" id="36" name="Picture"/>
                    <pic:cNvPicPr>
                      <a:picLocks noChangeArrowheads="1" noChangeAspect="1"/>
                    </pic:cNvPicPr>
                  </pic:nvPicPr>
                  <pic:blipFill>
                    <a:blip r:embed="rId34"/>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37" w:name="fig:sleep-by-volume-fig"/>
      <w:bookmarkEnd w:id="37"/>
      <w:r>
        <w:rPr>
          <w:i/>
          <w:iCs/>
        </w:rPr>
        <w:t xml:space="preserve">Figure</w:t>
      </w:r>
      <w:r>
        <w:t xml:space="preserve"> </w:t>
      </w:r>
      <w:r>
        <w:t xml:space="preserve">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38"/>
    <w:bookmarkStart w:id="43" w:name="Xc23038fc4c9f936a2c498333e40ccfa18826f84"/>
    <w:p>
      <w:pPr>
        <w:pStyle w:val="berschrift2"/>
      </w:pPr>
      <w:r>
        <w:t xml:space="preserve">The association between physical activity intensity and sleep</w:t>
      </w:r>
    </w:p>
    <w:p>
      <w:pPr>
        <w:pStyle w:val="FirstParagraph"/>
      </w:pPr>
      <w:r>
        <w:t xml:space="preserve">We estimated how physical activity intensity is associated with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for all sleep outcomes except sleep duration, but these were only meaningful for the association between physical activity intensity and sleep regularity, in which very low levels of intensity were strongly associated with poor sleep regularity and the benefits of increasing intensity diminished past one standard deviation above the mean.</w:t>
      </w:r>
      <w:r>
        <w:t xml:space="preserve"> </w:t>
      </w:r>
      <w:r>
        <w:t xml:space="preserve">While age modified the relationship between physical activity intensity and sleep duration, efficiency, and regularity, the effect was negligible.</w:t>
      </w:r>
    </w:p>
    <w:p>
      <w:pPr>
        <w:pStyle w:val="CaptionedFigure"/>
      </w:pPr>
      <w:r>
        <w:drawing>
          <wp:inline>
            <wp:extent cx="6565900" cy="4377678"/>
            <wp:effectExtent b="0" l="0" r="0" t="0"/>
            <wp:docPr descr="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 title="" id="40" name="Picture"/>
            <a:graphic>
              <a:graphicData uri="http://schemas.openxmlformats.org/drawingml/2006/picture">
                <pic:pic>
                  <pic:nvPicPr>
                    <pic:cNvPr descr="../Figures/main/Sleep%20on%20scale_pa_intensity%20by%20Age_nolog.jpg" id="41" name="Picture"/>
                    <pic:cNvPicPr>
                      <a:picLocks noChangeArrowheads="1" noChangeAspect="1"/>
                    </pic:cNvPicPr>
                  </pic:nvPicPr>
                  <pic:blipFill>
                    <a:blip r:embed="rId39"/>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42" w:name="fig:sleep-by-intensity-fig"/>
      <w:bookmarkEnd w:id="42"/>
      <w:r>
        <w:rPr>
          <w:i/>
          <w:iCs/>
        </w:rPr>
        <w:t xml:space="preserve">Figure</w:t>
      </w:r>
      <w:r>
        <w:t xml:space="preserve"> </w:t>
      </w:r>
      <w:r>
        <w:t xml:space="preserve">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43"/>
    <w:bookmarkStart w:id="49" w:name="X3c254931f59b38db01c871bb3824500104508b8"/>
    <w:p>
      <w:pPr>
        <w:pStyle w:val="berschrift2"/>
      </w:pPr>
      <w:r>
        <w:t xml:space="preserve">The association between of sleep duration and physical activity</w:t>
      </w:r>
    </w:p>
    <w:p>
      <w:pPr>
        <w:pStyle w:val="FirstParagraph"/>
      </w:pPr>
      <w:r>
        <w:t xml:space="preserve">We estimated the association between sleep duration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At higher ages, both physical activity volume and intensity are lower than for lower ages.</w:t>
      </w:r>
      <w:r>
        <w:t xml:space="preserve"> </w:t>
      </w:r>
      <w:r>
        <w:t xml:space="preserve">There was a weak curvilinear association between sleep duration and next-day physical activity volume and intensity, with physical activity highest following nights of slightly longer than average sleep; these associations weakened with age.</w:t>
      </w:r>
    </w:p>
    <w:p>
      <w:pPr>
        <w:pStyle w:val="TableCaption"/>
      </w:pPr>
      <w:bookmarkStart w:id="44" w:name="tab:pa-outcomes"/>
      <w:bookmarkEnd w:id="44"/>
      <w:r>
        <w:t xml:space="preserve">Table 3</w:t>
      </w:r>
      <w:r>
        <w:br/>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3 Sleep predicting physical activity controlling for SES, sex, and BMI z-score"/>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1.17 [0.82, 1.52]</w:t>
            </w:r>
          </w:p>
        </w:tc>
        <w:tc>
          <w:tcPr/>
          <w:p>
            <w:pPr>
              <w:pStyle w:val="Compact"/>
              <w:jc w:val="left"/>
            </w:pPr>
            <w:r>
              <w:t xml:space="preserve">0.18</w:t>
            </w:r>
          </w:p>
        </w:tc>
        <w:tc>
          <w:tcPr/>
          <w:p>
            <w:pPr>
              <w:pStyle w:val="Compact"/>
              <w:jc w:val="left"/>
            </w:pPr>
            <w:r>
              <w:t xml:space="preserve">6.62</w:t>
            </w:r>
          </w:p>
        </w:tc>
        <w:tc>
          <w:tcPr/>
          <w:p>
            <w:pPr>
              <w:pStyle w:val="Compact"/>
              <w:jc w:val="left"/>
            </w:pPr>
            <w:r>
              <w:t xml:space="preserve">&lt; .001</w:t>
            </w:r>
          </w:p>
        </w:tc>
        <w:tc>
          <w:tcPr/>
          <w:p>
            <w:pPr>
              <w:pStyle w:val="Compact"/>
              <w:jc w:val="left"/>
            </w:pPr>
            <w:r>
              <w:t xml:space="preserve">1.01 [0.88, 1.14]</w:t>
            </w:r>
          </w:p>
        </w:tc>
        <w:tc>
          <w:tcPr/>
          <w:p>
            <w:pPr>
              <w:pStyle w:val="Compact"/>
              <w:jc w:val="left"/>
            </w:pPr>
            <w:r>
              <w:t xml:space="preserve">0.07</w:t>
            </w:r>
          </w:p>
        </w:tc>
        <w:tc>
          <w:tcPr/>
          <w:p>
            <w:pPr>
              <w:pStyle w:val="Compact"/>
              <w:jc w:val="left"/>
            </w:pPr>
            <w:r>
              <w:t xml:space="preserve">15.09</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0.05 [0.04, 0.06]</w:t>
            </w:r>
          </w:p>
        </w:tc>
        <w:tc>
          <w:tcPr/>
          <w:p>
            <w:pPr>
              <w:pStyle w:val="Compact"/>
              <w:jc w:val="left"/>
            </w:pPr>
            <w:r>
              <w:t xml:space="preserve">0.00</w:t>
            </w:r>
          </w:p>
        </w:tc>
        <w:tc>
          <w:tcPr/>
          <w:p>
            <w:pPr>
              <w:pStyle w:val="Compact"/>
              <w:jc w:val="left"/>
            </w:pPr>
            <w:r>
              <w:t xml:space="preserve">11.10</w:t>
            </w:r>
          </w:p>
        </w:tc>
        <w:tc>
          <w:tcPr/>
          <w:p>
            <w:pPr>
              <w:pStyle w:val="Compact"/>
              <w:jc w:val="left"/>
            </w:pPr>
            <w:r>
              <w:t xml:space="preserve">&lt; .001</w:t>
            </w:r>
          </w:p>
        </w:tc>
        <w:tc>
          <w:tcPr/>
          <w:p>
            <w:pPr>
              <w:pStyle w:val="Compact"/>
              <w:jc w:val="left"/>
            </w:pPr>
            <w:r>
              <w:t xml:space="preserve">0.04 [0.03, 0.04]</w:t>
            </w:r>
          </w:p>
        </w:tc>
        <w:tc>
          <w:tcPr/>
          <w:p>
            <w:pPr>
              <w:pStyle w:val="Compact"/>
              <w:jc w:val="left"/>
            </w:pPr>
            <w:r>
              <w:t xml:space="preserve">0.00</w:t>
            </w:r>
          </w:p>
        </w:tc>
        <w:tc>
          <w:tcPr/>
          <w:p>
            <w:pPr>
              <w:pStyle w:val="Compact"/>
              <w:jc w:val="left"/>
            </w:pPr>
            <w:r>
              <w:t xml:space="preserve">8.13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-38.57</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-47.70</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-9.73</w:t>
            </w:r>
          </w:p>
        </w:tc>
        <w:tc>
          <w:tcPr/>
          <w:p>
            <w:pPr>
              <w:pStyle w:val="Compact"/>
              <w:jc w:val="left"/>
            </w:pPr>
            <w:r>
              <w:t xml:space="preserve">&lt; .001</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-6.35</w:t>
            </w:r>
          </w:p>
        </w:tc>
        <w:tc>
          <w:tcPr/>
          <w:p>
            <w:pPr>
              <w:pStyle w:val="Compact"/>
              <w:jc w:val="left"/>
            </w:pPr>
            <w:r>
              <w:t xml:space="preserve">&lt; .001</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-12.36</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-2.87</w:t>
            </w:r>
          </w:p>
        </w:tc>
        <w:tc>
          <w:tcPr/>
          <w:p>
            <w:pPr>
              <w:pStyle w:val="Compact"/>
              <w:jc w:val="left"/>
            </w:pPr>
            <w:r>
              <w:t xml:space="preserve">.004</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2.75</w:t>
            </w:r>
          </w:p>
        </w:tc>
        <w:tc>
          <w:tcPr/>
          <w:p>
            <w:pPr>
              <w:pStyle w:val="Compact"/>
              <w:jc w:val="left"/>
            </w:pPr>
            <w:r>
              <w:t xml:space="preserve">.006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2.62</w:t>
            </w:r>
          </w:p>
        </w:tc>
        <w:tc>
          <w:tcPr/>
          <w:p>
            <w:pPr>
              <w:pStyle w:val="Compact"/>
              <w:jc w:val="left"/>
            </w:pPr>
            <w:r>
              <w:t xml:space="preserve">.009</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1.16 [0.81, 1.50]</w:t>
            </w:r>
          </w:p>
        </w:tc>
        <w:tc>
          <w:tcPr/>
          <w:p>
            <w:pPr>
              <w:pStyle w:val="Compact"/>
              <w:jc w:val="left"/>
            </w:pPr>
            <w:r>
              <w:t xml:space="preserve">0.18</w:t>
            </w:r>
          </w:p>
        </w:tc>
        <w:tc>
          <w:tcPr/>
          <w:p>
            <w:pPr>
              <w:pStyle w:val="Compact"/>
              <w:jc w:val="left"/>
            </w:pPr>
            <w:r>
              <w:t xml:space="preserve">6.58</w:t>
            </w:r>
          </w:p>
        </w:tc>
        <w:tc>
          <w:tcPr/>
          <w:p>
            <w:pPr>
              <w:pStyle w:val="Compact"/>
              <w:jc w:val="left"/>
            </w:pPr>
            <w:r>
              <w:t xml:space="preserve">&lt; .001</w:t>
            </w:r>
          </w:p>
        </w:tc>
        <w:tc>
          <w:tcPr/>
          <w:p>
            <w:pPr>
              <w:pStyle w:val="Compact"/>
              <w:jc w:val="left"/>
            </w:pPr>
            <w:r>
              <w:t xml:space="preserve">1.00 [0.87, 1.13]</w:t>
            </w:r>
          </w:p>
        </w:tc>
        <w:tc>
          <w:tcPr/>
          <w:p>
            <w:pPr>
              <w:pStyle w:val="Compact"/>
              <w:jc w:val="left"/>
            </w:pPr>
            <w:r>
              <w:t xml:space="preserve">0.07</w:t>
            </w:r>
          </w:p>
        </w:tc>
        <w:tc>
          <w:tcPr/>
          <w:p>
            <w:pPr>
              <w:pStyle w:val="Compact"/>
              <w:jc w:val="left"/>
            </w:pPr>
            <w:r>
              <w:t xml:space="preserve">15.01</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0.00 [-0.01, 0.01]</w:t>
            </w:r>
          </w:p>
        </w:tc>
        <w:tc>
          <w:tcPr/>
          <w:p>
            <w:pPr>
              <w:pStyle w:val="Compact"/>
              <w:jc w:val="left"/>
            </w:pPr>
            <w:r>
              <w:t xml:space="preserve">0.01</w:t>
            </w:r>
          </w:p>
        </w:tc>
        <w:tc>
          <w:tcPr/>
          <w:p>
            <w:pPr>
              <w:pStyle w:val="Compact"/>
              <w:jc w:val="left"/>
            </w:pPr>
            <w:r>
              <w:t xml:space="preserve">0.02</w:t>
            </w:r>
          </w:p>
        </w:tc>
        <w:tc>
          <w:tcPr/>
          <w:p>
            <w:pPr>
              <w:pStyle w:val="Compact"/>
              <w:jc w:val="left"/>
            </w:pPr>
            <w:r>
              <w:t xml:space="preserve">.981</w:t>
            </w:r>
          </w:p>
        </w:tc>
        <w:tc>
          <w:tcPr/>
          <w:p>
            <w:pPr>
              <w:pStyle w:val="Compact"/>
              <w:jc w:val="left"/>
            </w:pPr>
            <w:r>
              <w:t xml:space="preserve">0.01 [0.00, 0.02]</w:t>
            </w:r>
          </w:p>
        </w:tc>
        <w:tc>
          <w:tcPr/>
          <w:p>
            <w:pPr>
              <w:pStyle w:val="Compact"/>
              <w:jc w:val="left"/>
            </w:pPr>
            <w:r>
              <w:t xml:space="preserve">0.01</w:t>
            </w:r>
          </w:p>
        </w:tc>
        <w:tc>
          <w:tcPr/>
          <w:p>
            <w:pPr>
              <w:pStyle w:val="Compact"/>
              <w:jc w:val="left"/>
            </w:pPr>
            <w:r>
              <w:t xml:space="preserve">2.30</w:t>
            </w:r>
          </w:p>
        </w:tc>
        <w:tc>
          <w:tcPr/>
          <w:p>
            <w:pPr>
              <w:pStyle w:val="Compact"/>
              <w:jc w:val="left"/>
            </w:pPr>
            <w:r>
              <w:t xml:space="preserve">.022</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-38.30</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-47.48</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[-0.02, -0.01]</w:t>
            </w:r>
          </w:p>
        </w:tc>
        <w:tc>
          <w:tcPr/>
          <w:p>
            <w:pPr>
              <w:pStyle w:val="Compact"/>
              <w:jc w:val="left"/>
            </w:pPr>
            <w:r>
              <w:t xml:space="preserve">0.00</w:t>
            </w:r>
          </w:p>
        </w:tc>
        <w:tc>
          <w:tcPr/>
          <w:p>
            <w:pPr>
              <w:pStyle w:val="Compact"/>
              <w:jc w:val="left"/>
            </w:pPr>
            <w:r>
              <w:t xml:space="preserve">-6.26</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0.00</w:t>
            </w:r>
          </w:p>
        </w:tc>
        <w:tc>
          <w:tcPr/>
          <w:p>
            <w:pPr>
              <w:pStyle w:val="Compact"/>
              <w:jc w:val="left"/>
            </w:pPr>
            <w:r>
              <w:t xml:space="preserve">-4.59</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2.05</w:t>
            </w:r>
          </w:p>
        </w:tc>
        <w:tc>
          <w:tcPr/>
          <w:p>
            <w:pPr>
              <w:pStyle w:val="Compact"/>
              <w:jc w:val="left"/>
            </w:pPr>
            <w:r>
              <w:t xml:space="preserve">.041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-1.52</w:t>
            </w:r>
          </w:p>
        </w:tc>
        <w:tc>
          <w:tcPr/>
          <w:p>
            <w:pPr>
              <w:pStyle w:val="Compact"/>
              <w:jc w:val="left"/>
            </w:pPr>
            <w:r>
              <w:t xml:space="preserve">.128</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2.66</w:t>
            </w:r>
          </w:p>
        </w:tc>
        <w:tc>
          <w:tcPr/>
          <w:p>
            <w:pPr>
              <w:pStyle w:val="Compact"/>
              <w:jc w:val="left"/>
            </w:pPr>
            <w:r>
              <w:t xml:space="preserve">.008</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0.80</w:t>
            </w:r>
          </w:p>
        </w:tc>
        <w:tc>
          <w:tcPr/>
          <w:p>
            <w:pPr>
              <w:pStyle w:val="Compact"/>
              <w:jc w:val="left"/>
            </w:pPr>
            <w:r>
              <w:t xml:space="preserve">.423</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1.18 [0.82, 1.54]</w:t>
            </w:r>
          </w:p>
        </w:tc>
        <w:tc>
          <w:tcPr/>
          <w:p>
            <w:pPr>
              <w:pStyle w:val="Compact"/>
              <w:jc w:val="left"/>
            </w:pPr>
            <w:r>
              <w:t xml:space="preserve">0.18</w:t>
            </w:r>
          </w:p>
        </w:tc>
        <w:tc>
          <w:tcPr/>
          <w:p>
            <w:pPr>
              <w:pStyle w:val="Compact"/>
              <w:jc w:val="left"/>
            </w:pPr>
            <w:r>
              <w:t xml:space="preserve">6.40</w:t>
            </w:r>
          </w:p>
        </w:tc>
        <w:tc>
          <w:tcPr/>
          <w:p>
            <w:pPr>
              <w:pStyle w:val="Compact"/>
              <w:jc w:val="left"/>
            </w:pPr>
            <w:r>
              <w:t xml:space="preserve">&lt; .001</w:t>
            </w:r>
          </w:p>
        </w:tc>
        <w:tc>
          <w:tcPr/>
          <w:p>
            <w:pPr>
              <w:pStyle w:val="Compact"/>
              <w:jc w:val="left"/>
            </w:pPr>
            <w:r>
              <w:t xml:space="preserve">1.00 [0.86, 1.13]</w:t>
            </w:r>
          </w:p>
        </w:tc>
        <w:tc>
          <w:tcPr/>
          <w:p>
            <w:pPr>
              <w:pStyle w:val="Compact"/>
              <w:jc w:val="left"/>
            </w:pPr>
            <w:r>
              <w:t xml:space="preserve">0.07</w:t>
            </w:r>
          </w:p>
        </w:tc>
        <w:tc>
          <w:tcPr/>
          <w:p>
            <w:pPr>
              <w:pStyle w:val="Compact"/>
              <w:jc w:val="left"/>
            </w:pPr>
            <w:r>
              <w:t xml:space="preserve">14.48</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-0.14 [-0.15, -0.12]</w:t>
            </w:r>
          </w:p>
        </w:tc>
        <w:tc>
          <w:tcPr/>
          <w:p>
            <w:pPr>
              <w:pStyle w:val="Compact"/>
              <w:jc w:val="left"/>
            </w:pPr>
            <w:r>
              <w:t xml:space="preserve">0.01</w:t>
            </w:r>
          </w:p>
        </w:tc>
        <w:tc>
          <w:tcPr/>
          <w:p>
            <w:pPr>
              <w:pStyle w:val="Compact"/>
              <w:jc w:val="left"/>
            </w:pPr>
            <w:r>
              <w:t xml:space="preserve">-20.83</w:t>
            </w:r>
          </w:p>
        </w:tc>
        <w:tc>
          <w:tcPr/>
          <w:p>
            <w:pPr>
              <w:pStyle w:val="Compact"/>
              <w:jc w:val="left"/>
            </w:pPr>
            <w:r>
              <w:t xml:space="preserve">&lt; .001</w:t>
            </w:r>
          </w:p>
        </w:tc>
        <w:tc>
          <w:tcPr/>
          <w:p>
            <w:pPr>
              <w:pStyle w:val="Compact"/>
              <w:jc w:val="left"/>
            </w:pPr>
            <w:r>
              <w:t xml:space="preserve">-0.07 [-0.08, -0.06]</w:t>
            </w:r>
          </w:p>
        </w:tc>
        <w:tc>
          <w:tcPr/>
          <w:p>
            <w:pPr>
              <w:pStyle w:val="Compact"/>
              <w:jc w:val="left"/>
            </w:pPr>
            <w:r>
              <w:t xml:space="preserve">0.01</w:t>
            </w:r>
          </w:p>
        </w:tc>
        <w:tc>
          <w:tcPr/>
          <w:p>
            <w:pPr>
              <w:pStyle w:val="Compact"/>
              <w:jc w:val="left"/>
            </w:pPr>
            <w:r>
              <w:t xml:space="preserve">-11.37</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-39.21</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-47.94</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-8.21</w:t>
            </w:r>
          </w:p>
        </w:tc>
        <w:tc>
          <w:tcPr/>
          <w:p>
            <w:pPr>
              <w:pStyle w:val="Compact"/>
              <w:jc w:val="left"/>
            </w:pPr>
            <w:r>
              <w:t xml:space="preserve">&lt; .001</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-0.84</w:t>
            </w:r>
          </w:p>
        </w:tc>
        <w:tc>
          <w:tcPr/>
          <w:p>
            <w:pPr>
              <w:pStyle w:val="Compact"/>
              <w:jc w:val="left"/>
            </w:pPr>
            <w:r>
              <w:t xml:space="preserve">.398</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13.43</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9.46</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4.31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.963</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1.10 [0.77, 1.44]</w:t>
            </w:r>
          </w:p>
        </w:tc>
        <w:tc>
          <w:tcPr/>
          <w:p>
            <w:pPr>
              <w:pStyle w:val="Compact"/>
              <w:jc w:val="left"/>
            </w:pPr>
            <w:r>
              <w:t xml:space="preserve">0.17</w:t>
            </w:r>
          </w:p>
        </w:tc>
        <w:tc>
          <w:tcPr/>
          <w:p>
            <w:pPr>
              <w:pStyle w:val="Compact"/>
              <w:jc w:val="left"/>
            </w:pPr>
            <w:r>
              <w:t xml:space="preserve">6.50</w:t>
            </w:r>
          </w:p>
        </w:tc>
        <w:tc>
          <w:tcPr/>
          <w:p>
            <w:pPr>
              <w:pStyle w:val="Compact"/>
              <w:jc w:val="left"/>
            </w:pPr>
            <w:r>
              <w:t xml:space="preserve">&lt; .001</w:t>
            </w:r>
          </w:p>
        </w:tc>
        <w:tc>
          <w:tcPr/>
          <w:p>
            <w:pPr>
              <w:pStyle w:val="Compact"/>
              <w:jc w:val="left"/>
            </w:pPr>
            <w:r>
              <w:t xml:space="preserve">0.97 [0.85, 1.09]</w:t>
            </w:r>
          </w:p>
        </w:tc>
        <w:tc>
          <w:tcPr/>
          <w:p>
            <w:pPr>
              <w:pStyle w:val="Compact"/>
              <w:jc w:val="left"/>
            </w:pPr>
            <w:r>
              <w:t xml:space="preserve">0.06</w:t>
            </w:r>
          </w:p>
        </w:tc>
        <w:tc>
          <w:tcPr/>
          <w:p>
            <w:pPr>
              <w:pStyle w:val="Compact"/>
              <w:jc w:val="left"/>
            </w:pPr>
            <w:r>
              <w:t xml:space="preserve">15.35</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0.16 [0.15, 0.17]</w:t>
            </w:r>
          </w:p>
        </w:tc>
        <w:tc>
          <w:tcPr/>
          <w:p>
            <w:pPr>
              <w:pStyle w:val="Compact"/>
              <w:jc w:val="left"/>
            </w:pPr>
            <w:r>
              <w:t xml:space="preserve">0.00</w:t>
            </w:r>
          </w:p>
        </w:tc>
        <w:tc>
          <w:tcPr/>
          <w:p>
            <w:pPr>
              <w:pStyle w:val="Compact"/>
              <w:jc w:val="left"/>
            </w:pPr>
            <w:r>
              <w:t xml:space="preserve">38.12</w:t>
            </w:r>
          </w:p>
        </w:tc>
        <w:tc>
          <w:tcPr/>
          <w:p>
            <w:pPr>
              <w:pStyle w:val="Compact"/>
              <w:jc w:val="left"/>
            </w:pPr>
            <w:r>
              <w:t xml:space="preserve">&lt; .001</w:t>
            </w:r>
          </w:p>
        </w:tc>
        <w:tc>
          <w:tcPr/>
          <w:p>
            <w:pPr>
              <w:pStyle w:val="Compact"/>
              <w:jc w:val="left"/>
            </w:pPr>
            <w:r>
              <w:t xml:space="preserve">0.12 [0.11, 0.13]</w:t>
            </w:r>
          </w:p>
        </w:tc>
        <w:tc>
          <w:tcPr/>
          <w:p>
            <w:pPr>
              <w:pStyle w:val="Compact"/>
              <w:jc w:val="left"/>
            </w:pPr>
            <w:r>
              <w:t xml:space="preserve">0.00</w:t>
            </w:r>
          </w:p>
        </w:tc>
        <w:tc>
          <w:tcPr/>
          <w:p>
            <w:pPr>
              <w:pStyle w:val="Compact"/>
              <w:jc w:val="left"/>
            </w:pPr>
            <w:r>
              <w:t xml:space="preserve">28.26</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-37.25</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-46.89</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0.01 [0.00, 0.01]</w:t>
            </w:r>
          </w:p>
        </w:tc>
        <w:tc>
          <w:tcPr/>
          <w:p>
            <w:pPr>
              <w:pStyle w:val="Compact"/>
              <w:jc w:val="left"/>
            </w:pPr>
            <w:r>
              <w:t xml:space="preserve">0.00</w:t>
            </w:r>
          </w:p>
        </w:tc>
        <w:tc>
          <w:tcPr/>
          <w:p>
            <w:pPr>
              <w:pStyle w:val="Compact"/>
              <w:jc w:val="left"/>
            </w:pPr>
            <w:r>
              <w:t xml:space="preserve">2.12</w:t>
            </w:r>
          </w:p>
        </w:tc>
        <w:tc>
          <w:tcPr/>
          <w:p>
            <w:pPr>
              <w:pStyle w:val="Compact"/>
              <w:jc w:val="left"/>
            </w:pPr>
            <w:r>
              <w:t xml:space="preserve">.034</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0.62</w:t>
            </w:r>
          </w:p>
        </w:tc>
        <w:tc>
          <w:tcPr/>
          <w:p>
            <w:pPr>
              <w:pStyle w:val="Compact"/>
              <w:jc w:val="left"/>
            </w:pPr>
            <w:r>
              <w:t xml:space="preserve">.536</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-19.27</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-18.06</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-1.23</w:t>
            </w:r>
          </w:p>
        </w:tc>
        <w:tc>
          <w:tcPr/>
          <w:p>
            <w:pPr>
              <w:pStyle w:val="Compact"/>
              <w:jc w:val="left"/>
            </w:pPr>
            <w:r>
              <w:t xml:space="preserve">.218</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-0.85</w:t>
            </w:r>
          </w:p>
        </w:tc>
        <w:tc>
          <w:tcPr/>
          <w:p>
            <w:pPr>
              <w:pStyle w:val="Compact"/>
              <w:jc w:val="left"/>
            </w:pPr>
            <w:r>
              <w:t xml:space="preserve">.396</w:t>
            </w:r>
          </w:p>
        </w:tc>
      </w:tr>
    </w:tbl>
    <w:p>
      <w:pPr>
        <w:pStyle w:val="table-note"/>
      </w:pPr>
      <w:r>
        <w:rPr>
          <w:i/>
          <w:iCs/>
        </w:rPr>
        <w:t xml:space="preserve">Note.</w:t>
      </w:r>
      <w:r>
        <w:t xml:space="preserve"> </w:t>
      </w:r>
      <w:r>
        <w:t xml:space="preserve">Adjusted for SES, sex, and BMI z-score. Outcomes variables are listed in the row headers.</w:t>
      </w:r>
    </w:p>
    <w:p>
      <w:pPr>
        <w:pStyle w:val="Textkrper"/>
      </w:pPr>
      <w:r>
        <w:t xml:space="preserve"> </w:t>
      </w:r>
    </w:p>
    <w:p>
      <w:pPr>
        <w:pStyle w:val="CaptionedFigure"/>
      </w:pPr>
      <w:r>
        <w:drawing>
          <wp:inline>
            <wp:extent cx="6565900" cy="2625618"/>
            <wp:effectExtent b="0" l="0" r="0" t="0"/>
            <wp:docPr descr="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 title="" id="46" name="Picture"/>
            <a:graphic>
              <a:graphicData uri="http://schemas.openxmlformats.org/drawingml/2006/picture">
                <pic:pic>
                  <pic:nvPicPr>
                    <pic:cNvPr descr="../Figures/main/PA%20on%20scale_sleep_duration_lag%20by%20Age_nolog.jpg" id="47" name="Picture"/>
                    <pic:cNvPicPr>
                      <a:picLocks noChangeArrowheads="1" noChangeAspect="1"/>
                    </pic:cNvPicPr>
                  </pic:nvPicPr>
                  <pic:blipFill>
                    <a:blip r:embed="rId4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48" w:name="fig:PA-by-sleep-duration-fig"/>
      <w:bookmarkEnd w:id="48"/>
      <w:r>
        <w:rPr>
          <w:i/>
          <w:iCs/>
        </w:rPr>
        <w:t xml:space="preserve">Figure</w:t>
      </w:r>
      <w:r>
        <w:t xml:space="preserve"> </w:t>
      </w:r>
      <w:r>
        <w:t xml:space="preserve">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49"/>
    <w:bookmarkStart w:id="54" w:name="Xddb7dd385d9dcfb042bacd1da9891f05b307b0e"/>
    <w:p>
      <w:pPr>
        <w:pStyle w:val="berschrift2"/>
      </w:pPr>
      <w:r>
        <w:t xml:space="preserve">The association between sleep efficiency and physical activity</w:t>
      </w:r>
    </w:p>
    <w:p>
      <w:pPr>
        <w:pStyle w:val="FirstParagraph"/>
      </w:pPr>
      <w:r>
        <w:t xml:space="preserve">We estimated the association between sleep efficiency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There was no linear association between sleep efficiency and physical activity volume, and only a weak positive association between sleep efficiency and more intense physical activity.</w:t>
      </w:r>
    </w:p>
    <w:p>
      <w:pPr>
        <w:pStyle w:val="CaptionedFigure"/>
      </w:pPr>
      <w:r>
        <w:drawing>
          <wp:inline>
            <wp:extent cx="6565900" cy="2625618"/>
            <wp:effectExtent b="0" l="0" r="0" t="0"/>
            <wp:docPr descr="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1" name="Picture"/>
            <a:graphic>
              <a:graphicData uri="http://schemas.openxmlformats.org/drawingml/2006/picture">
                <pic:pic>
                  <pic:nvPicPr>
                    <pic:cNvPr descr="../Figures/main/PA%20on%20scale_sleep_efficiency_lag%20by%20Age_nolog.jpg" id="52" name="Picture"/>
                    <pic:cNvPicPr>
                      <a:picLocks noChangeArrowheads="1" noChangeAspect="1"/>
                    </pic:cNvPicPr>
                  </pic:nvPicPr>
                  <pic:blipFill>
                    <a:blip r:embed="rId5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3" w:name="fig:PA-by-sleep-efficiency-fig"/>
      <w:bookmarkEnd w:id="53"/>
      <w:r>
        <w:rPr>
          <w:i/>
          <w:iCs/>
        </w:rPr>
        <w:t xml:space="preserve">Figure</w:t>
      </w:r>
      <w:r>
        <w:t xml:space="preserve"> </w:t>
      </w:r>
      <w:r>
        <w:t xml:space="preserve">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4"/>
    <w:bookmarkStart w:id="59" w:name="X3d07e254f7469e201e1728973236eeabe791b2b"/>
    <w:p>
      <w:pPr>
        <w:pStyle w:val="berschrift2"/>
      </w:pPr>
      <w:r>
        <w:t xml:space="preserve">The association between sleep onset and physical activity</w:t>
      </w:r>
    </w:p>
    <w:p>
      <w:pPr>
        <w:pStyle w:val="FirstParagraph"/>
      </w:pPr>
      <w:r>
        <w:t xml:space="preserve">We estimated the association between sleep onset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Earlier sleep onset was associated with higher next-day physical activity volume and, more weakly, intensity, although these associations were attenuated at older ages.</w:t>
      </w:r>
    </w:p>
    <w:p>
      <w:pPr>
        <w:pStyle w:val="CaptionedFigure"/>
      </w:pPr>
      <w:r>
        <w:drawing>
          <wp:inline>
            <wp:extent cx="6565900" cy="2625618"/>
            <wp:effectExtent b="0" l="0" r="0" t="0"/>
            <wp:docPr descr="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6" name="Picture"/>
            <a:graphic>
              <a:graphicData uri="http://schemas.openxmlformats.org/drawingml/2006/picture">
                <pic:pic>
                  <pic:nvPicPr>
                    <pic:cNvPr descr="../Figures/main/PA%20on%20scale_sleep_onset_lag%20by%20Age_nolog.jpg" id="57" name="Picture"/>
                    <pic:cNvPicPr>
                      <a:picLocks noChangeArrowheads="1" noChangeAspect="1"/>
                    </pic:cNvPicPr>
                  </pic:nvPicPr>
                  <pic:blipFill>
                    <a:blip r:embed="rId5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8" w:name="fig:PA-by-sleep-onset-fig"/>
      <w:bookmarkEnd w:id="58"/>
      <w:r>
        <w:rPr>
          <w:i/>
          <w:iCs/>
        </w:rPr>
        <w:t xml:space="preserve">Figure</w:t>
      </w:r>
      <w:r>
        <w:t xml:space="preserve"> </w:t>
      </w:r>
      <w:r>
        <w:t xml:space="preserve">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59"/>
    <w:bookmarkStart w:id="64" w:name="X6e3c3bb6f32c96f8b108022a638b3a7462e6e7f"/>
    <w:p>
      <w:pPr>
        <w:pStyle w:val="berschrift2"/>
      </w:pPr>
      <w:r>
        <w:t xml:space="preserve">The association between sleep regularity and physical activity</w:t>
      </w:r>
    </w:p>
    <w:p>
      <w:pPr>
        <w:pStyle w:val="FirstParagraph"/>
      </w:pPr>
      <w:r>
        <w:t xml:space="preserve">We estimated the association between sleep regularity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were slightly attenuated with age, such that for older adults the effect size was negligible.</w:t>
      </w:r>
    </w:p>
    <w:p>
      <w:pPr>
        <w:pStyle w:val="CaptionedFigure"/>
      </w:pPr>
      <w:r>
        <w:drawing>
          <wp:inline>
            <wp:extent cx="6565900" cy="2625618"/>
            <wp:effectExtent b="0" l="0" r="0" t="0"/>
            <wp:docPr descr="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1" name="Picture"/>
            <a:graphic>
              <a:graphicData uri="http://schemas.openxmlformats.org/drawingml/2006/picture">
                <pic:pic>
                  <pic:nvPicPr>
                    <pic:cNvPr descr="../Figures/main/PA%20on%20scale_sleep_regularity_lag%20by%20Age_nolog.jpg" id="62" name="Picture"/>
                    <pic:cNvPicPr>
                      <a:picLocks noChangeArrowheads="1" noChangeAspect="1"/>
                    </pic:cNvPicPr>
                  </pic:nvPicPr>
                  <pic:blipFill>
                    <a:blip r:embed="rId6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63" w:name="fig:PA-by-sleep-regularity-fig"/>
      <w:bookmarkEnd w:id="63"/>
      <w:r>
        <w:rPr>
          <w:i/>
          <w:iCs/>
        </w:rPr>
        <w:t xml:space="preserve">Figure</w:t>
      </w:r>
      <w:r>
        <w:t xml:space="preserve"> </w:t>
      </w:r>
      <w:r>
        <w:t xml:space="preserve">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4"/>
    <w:bookmarkEnd w:id="65"/>
    <w:bookmarkStart w:id="66" w:name="discussion"/>
    <w:p>
      <w:pPr>
        <w:pStyle w:val="berschrift1"/>
      </w:pPr>
      <w:r>
        <w:t xml:space="preserve">Discussion</w:t>
      </w:r>
    </w:p>
    <w:p>
      <w:pPr>
        <w:pStyle w:val="FirstParagraph"/>
      </w:pPr>
      <w:r>
        <w:t xml:space="preserve">In this study, we collated and harmonised accelerometer-assessed physical activity and sleep data from 20 studies around the world, covering participants across the lifespan.</w:t>
      </w:r>
      <w:r>
        <w:t xml:space="preserve"> </w:t>
      </w:r>
      <w:r>
        <w:t xml:space="preserve">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changes of 1 SD in the physical activity metrics were associated with changes of 0.02 to 0.29 SD in the sleep metrics, with the largest associations observed for sleep regularity.</w:t>
      </w:r>
    </w:p>
    <w:p>
      <w:pPr>
        <w:pStyle w:val="Textkrper"/>
      </w:pPr>
      <w:r>
        <w:t xml:space="preserve">When examining the reverse direction, we observed that those who fell asleep earlier or at a more regular time engaged in more total and more intense physical activity the following day.</w:t>
      </w:r>
      <w:r>
        <w:t xml:space="preserve"> </w:t>
      </w:r>
      <w:r>
        <w:t xml:space="preserve">Longer sleep duration conferred a smaller, curvilinear benefit for next-day physical activity, while sleep efficiency was only weakly associated with physical activity intensity and not with volume.</w:t>
      </w:r>
      <w:r>
        <w:t xml:space="preserve"> </w:t>
      </w:r>
      <w:r>
        <w:t xml:space="preserve">Our sensitivity analyses suggest that these findings were largely robust to the decisions made during analysis.</w:t>
      </w:r>
    </w:p>
    <w:p>
      <w:pPr>
        <w:pStyle w:val="Textkrper"/>
      </w:pPr>
      <w:r>
        <w:t xml:space="preserve">Our findings broadly align with meta-analyses of experimental research, although the strengths of the relationships we observed were much weaker</w:t>
      </w:r>
      <w:r>
        <w:t xml:space="preserve"> </w:t>
      </w:r>
      <w:r>
        <w:t xml:space="preserve">[16,17]</w:t>
      </w:r>
      <w:r>
        <w:t xml:space="preserve">.</w:t>
      </w:r>
      <w:r>
        <w:t xml:space="preserve"> </w:t>
      </w:r>
      <w:r>
        <w:t xml:space="preserve">For example,</w:t>
      </w:r>
      <w:r>
        <w:t xml:space="preserve"> </w:t>
      </w:r>
      <w:r>
        <w:t xml:space="preserve">[16]</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It is difficult to directly compare these effect sizes, however, as the experimental studies directly manipulated physical activity, whereas our study examined the relationship between habitual physical activity and sleep.</w:t>
      </w:r>
      <w:r>
        <w:t xml:space="preserve"> </w:t>
      </w:r>
      <w:r>
        <w:t xml:space="preserve">It may be that the routine nature of individuals’ physical activity makes associations more difficult to detect.</w:t>
      </w:r>
      <w:r>
        <w:t xml:space="preserve"> </w:t>
      </w:r>
      <w:r>
        <w:t xml:space="preserve">Trials also suggest that the benefits of exercise for sleep are concentrated in people whose sleep is poor at baseline</w:t>
      </w:r>
      <w:r>
        <w:t xml:space="preserve"> </w:t>
      </w:r>
      <w:r>
        <w:t xml:space="preserve">[17,18]</w:t>
      </w:r>
      <w:r>
        <w:t xml:space="preserve">, whereas our analysis did not target people with poor sleep.</w:t>
      </w:r>
      <w:r>
        <w:t xml:space="preserve"> </w:t>
      </w:r>
      <w:r>
        <w:t xml:space="preserve">Similarly, most of the previous studies which have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is important to note that sleep duration will sometimes be influenced by parameters external to the individual, such as work or school schedules or parenting duties, rather than by individual health behaviours.</w:t>
      </w:r>
    </w:p>
    <w:p>
      <w:pPr>
        <w:pStyle w:val="Textkrper"/>
      </w:pPr>
      <w:r>
        <w:t xml:space="preserve">Our findings can also be compared with observational studies of day-to-day sleep and physical activity.</w:t>
      </w:r>
      <w:r>
        <w:t xml:space="preserve"> </w:t>
      </w:r>
      <w:r>
        <w:t xml:space="preserve">A meta-analysis of 33 such studies in adults did not support a bidirectional daily association: some sleep parameters were weakly associated with next-day physical activity, and more active individuals slept slightly less</w:t>
      </w:r>
      <w:r>
        <w:t xml:space="preserve"> </w:t>
      </w:r>
      <w:r>
        <w:t xml:space="preserve">[24]</w:t>
      </w:r>
      <w:r>
        <w:t xml:space="preserve">.</w:t>
      </w:r>
      <w:r>
        <w:t xml:space="preserve"> </w:t>
      </w:r>
      <w:r>
        <w:t xml:space="preserve">Two recent studies of consumer wearables, each with millions of person-nights, found that previous-day activity had little association with sleep</w:t>
      </w:r>
      <w:r>
        <w:t xml:space="preserve"> </w:t>
      </w:r>
      <w:r>
        <w:t xml:space="preserve">[26]</w:t>
      </w:r>
      <w:r>
        <w:t xml:space="preserve">, that shorter sleep was followed by more activity the next day</w:t>
      </w:r>
      <w:r>
        <w:t xml:space="preserve"> </w:t>
      </w:r>
      <w:r>
        <w:t xml:space="preserve">[26,27]</w:t>
      </w:r>
      <w:r>
        <w:t xml:space="preserve">, and that earlier-than-usual sleep onset was followed by more moderate-to-vigorous activity</w:t>
      </w:r>
      <w:r>
        <w:t xml:space="preserve"> </w:t>
      </w:r>
      <w:r>
        <w:t xml:space="preserve">[27]</w:t>
      </w:r>
      <w:r>
        <w:t xml:space="preserve">.</w:t>
      </w:r>
      <w:r>
        <w:t xml:space="preserve"> </w:t>
      </w:r>
      <w:r>
        <w:t xml:space="preserve">Our finding that earlier sleep onset preceded more physical activity is consistent with these studies, but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t xml:space="preserve"> </w:t>
      </w:r>
      <w:r>
        <w:t xml:space="preserve">[61]</w:t>
      </w:r>
      <w:r>
        <w:t xml:space="preserve">, so our estimates partly reflect stable differences between people.</w:t>
      </w:r>
      <w:r>
        <w:t xml:space="preserve"> </w:t>
      </w:r>
      <w:r>
        <w:t xml:space="preserve">Neither wearable study examined sleep regularity, the outcome most strongly associated with physical activity in our data, and one suggested it as a direction for future research</w:t>
      </w:r>
      <w:r>
        <w:t xml:space="preserve"> </w:t>
      </w:r>
      <w:r>
        <w:t xml:space="preserve">[27]</w:t>
      </w:r>
      <w:r>
        <w:t xml:space="preserve">.</w:t>
      </w:r>
    </w:p>
    <w:p>
      <w:pPr>
        <w:pStyle w:val="Textkrper"/>
      </w:pPr>
      <w:r>
        <w:t xml:space="preserve">We found the most evidence for relationships between sleep regularity with physical activity volume and intensity.</w:t>
      </w:r>
      <w:r>
        <w:t xml:space="preserve"> </w:t>
      </w:r>
      <w:r>
        <w:t xml:space="preserve">This relationship appeared to be bi-directional, with sleep onset and regularity influencing physical activity the following day, and physical activity influencing sleep onset and regularity that night.</w:t>
      </w:r>
      <w:r>
        <w:t xml:space="preserve"> </w:t>
      </w:r>
      <w:r>
        <w:t xml:space="preserve">This is consistent with the idea that sleep and physical activity are mutually reinforcing behaviours</w:t>
      </w:r>
      <w:r>
        <w:t xml:space="preserve"> </w:t>
      </w:r>
      <w:r>
        <w:t xml:space="preserve">[15]</w:t>
      </w:r>
      <w:r>
        <w:t xml:space="preserve">, or that they are habitual and linked to factors such as the value placed on health.</w:t>
      </w:r>
      <w:r>
        <w:t xml:space="preserve"> </w:t>
      </w:r>
      <w:r>
        <w:t xml:space="preserve">Consistent physical activity may also act as a non-photic zeitgeber that helps stabilise circadian rhythms</w:t>
      </w:r>
      <w:r>
        <w:t xml:space="preserve"> </w:t>
      </w:r>
      <w:r>
        <w:t xml:space="preserve">[62]</w:t>
      </w:r>
      <w:r>
        <w:t xml:space="preserve">.</w:t>
      </w:r>
      <w:r>
        <w:t xml:space="preserve"> </w:t>
      </w:r>
      <w:r>
        <w:t xml:space="preserve">Sleep regularity is a stronger predictor of mortality than sleep duration</w:t>
      </w:r>
      <w:r>
        <w:t xml:space="preserve"> </w:t>
      </w:r>
      <w:r>
        <w:t xml:space="preserve">[63]</w:t>
      </w:r>
      <w:r>
        <w:t xml:space="preserve">, and irregular sleepers remain at higher risk of cardiovascular events and depression even when they meet sleep duration recommendations</w:t>
      </w:r>
      <w:r>
        <w:t xml:space="preserve"> </w:t>
      </w:r>
      <w:r>
        <w:t xml:space="preserve">[64,65]</w:t>
      </w:r>
      <w:r>
        <w:t xml:space="preserve">, so the finding that physical activity is associated with sleep regularity may be particularly important.</w:t>
      </w:r>
      <w:r>
        <w:t xml:space="preserve"> </w:t>
      </w:r>
      <w:r>
        <w:t xml:space="preserve">In pooled data from six cohorts, the combination of irregular sleep and low daily step counts was associated with higher adiposity and a less favourable lipid profile</w:t>
      </w:r>
      <w:r>
        <w:t xml:space="preserve"> </w:t>
      </w:r>
      <w:r>
        <w:t xml:space="preserve">[66]</w:t>
      </w:r>
      <w:r>
        <w:t xml:space="preserve">.</w:t>
      </w:r>
    </w:p>
    <w:p>
      <w:pPr>
        <w:pStyle w:val="Textkrper"/>
      </w:pPr>
      <w:r>
        <w:t xml:space="preserve">Contrary to expectations, we found little evidence to suggest that the associations of physical activity with next day sleep differed by age.</w:t>
      </w:r>
      <w:r>
        <w:t xml:space="preserve"> </w:t>
      </w:r>
      <w:r>
        <w:t xml:space="preserve">While several of the analyses suggested statistically significant interactions between age and physical activity, these were too small to be clinically meaningful.</w:t>
      </w:r>
      <w:r>
        <w:t xml:space="preserve"> </w:t>
      </w:r>
      <w:r>
        <w:t xml:space="preserve">This suggests that the interrelationship between physical activity and sleep are consistent across the lifespan, which is inconsistent with previous meta-analyses conducted on different ages.</w:t>
      </w:r>
      <w:r>
        <w:t xml:space="preserve"> </w:t>
      </w:r>
      <w:r>
        <w:t xml:space="preserve">A large study of adult wearable users similarly found that day-level associations were consistent across age groups</w:t>
      </w:r>
      <w:r>
        <w:t xml:space="preserve"> </w:t>
      </w:r>
      <w:r>
        <w:t xml:space="preserve">[26]</w:t>
      </w:r>
      <w:r>
        <w:t xml:space="preserve">.</w:t>
      </w:r>
      <w:r>
        <w:t xml:space="preserve"> </w:t>
      </w:r>
      <w:r>
        <w:t xml:space="preserve">More specifically, meta-analyses in adult populations have generally found associations</w:t>
      </w:r>
      <w:r>
        <w:t xml:space="preserve"> </w:t>
      </w:r>
      <w:r>
        <w:t xml:space="preserve">[16]</w:t>
      </w:r>
      <w:r>
        <w:t xml:space="preserve"> </w:t>
      </w:r>
      <w:r>
        <w:t xml:space="preserve">while those conducted in children and adolescents are less clear</w:t>
      </w:r>
      <w:r>
        <w:t xml:space="preserve"> </w:t>
      </w:r>
      <w:r>
        <w:t xml:space="preserve">[15,21,22]</w:t>
      </w:r>
      <w:r>
        <w:t xml:space="preserve">.</w:t>
      </w:r>
      <w:r>
        <w:t xml:space="preserve"> </w:t>
      </w:r>
      <w:r>
        <w:t xml:space="preserve">This would seem to suggest that the differences in findings across these meta-analyses are due to differences beyond just the age of the populations, such as the type of study designs used or the measures of physical activity and sleep.</w:t>
      </w:r>
      <w:r>
        <w:t xml:space="preserve"> </w:t>
      </w:r>
      <w:r>
        <w:t xml:space="preserve">It also demonstrates the importance of using individual participant data meta-analyses to examine these types of questions.</w:t>
      </w:r>
    </w:p>
    <w:p>
      <w:pPr>
        <w:pStyle w:val="Textkrper"/>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t xml:space="preserve"> </w:t>
      </w:r>
      <w:r>
        <w:t xml:space="preserve">[67]</w:t>
      </w:r>
      <w:r>
        <w:t xml:space="preserve">.</w:t>
      </w:r>
      <w:r>
        <w:t xml:space="preserve"> </w:t>
      </w:r>
      <w:r>
        <w:t xml:space="preserve">Given the well-established links between sleep and overall health</w:t>
      </w:r>
      <w:r>
        <w:t xml:space="preserve"> </w:t>
      </w:r>
      <w:r>
        <w:t xml:space="preserve">[3,4]</w:t>
      </w:r>
      <w:r>
        <w:t xml:space="preserve">, incorporating physical activity into public health messaging may have downstream benefits for population health.</w:t>
      </w:r>
      <w:r>
        <w:t xml:space="preserve"> </w:t>
      </w:r>
      <w:r>
        <w:t xml:space="preserve">However, our findings suggest that physical activity is not a universal solution for improving all aspects of sleep.</w:t>
      </w:r>
      <w:r>
        <w:t xml:space="preserve"> </w:t>
      </w:r>
      <w:r>
        <w:t xml:space="preserve">Public health messages should, therefore, emphasise the role of physical activity in promoting consistent sleep schedules rather than framing physical activity as a universal solution for improving sleep.</w:t>
      </w:r>
      <w:r>
        <w:t xml:space="preserve"> </w:t>
      </w:r>
      <w:r>
        <w:t xml:space="preserve">Additionally, we did not examine these relationships specifically in individuals with sleep disorders or other health conditions, where the effects of physical activity may differ.</w:t>
      </w:r>
      <w:r>
        <w:t xml:space="preserve"> </w:t>
      </w:r>
      <w:r>
        <w:t xml:space="preserve">Future research should explore whether targeting sleep regularity through physical activity interventions can provide meaningful health benefits beyond sleep itself.</w:t>
      </w:r>
    </w:p>
    <w:p>
      <w:pPr>
        <w:pStyle w:val="Textkrper"/>
      </w:pPr>
      <w:r>
        <w:t xml:space="preserve">Our study has several strengths, including the use of accelerometer-assessed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We also used modern methods for processing and estimating physical activity, including using the full 24 hours of data, and avoiding the use of intensity cut-points.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 physical activity estimates from different wear locations are strongly correlated but agree less well in absolute terms, particularly between wrist and hip</w:t>
      </w:r>
      <w:r>
        <w:t xml:space="preserve"> </w:t>
      </w:r>
      <w:r>
        <w:t xml:space="preserve">[68]</w:t>
      </w:r>
      <w:r>
        <w:t xml:space="preserve">.</w:t>
      </w:r>
      <w:r>
        <w:t xml:space="preserve"> </w:t>
      </w:r>
      <w:r>
        <w:t xml:space="preserve">We also chose to maximise the data available for analysis, at the expense of some precision in the estimates.</w:t>
      </w:r>
      <w:r>
        <w:t xml:space="preserve"> </w:t>
      </w:r>
      <w:r>
        <w:t xml:space="preserve">Specifically, we included participants with four or more days of valid wear time, while some recommend at least seven nights to estimate metrics such as sleep regularity</w:t>
      </w:r>
      <w:r>
        <w:t xml:space="preserve"> </w:t>
      </w:r>
      <w:r>
        <w:t xml:space="preserve">[69]</w:t>
      </w:r>
      <w:r>
        <w:t xml:space="preserve">, and reliable estimates of an individual’s night-to-night variability in sleep may require more than a month of data</w:t>
      </w:r>
      <w:r>
        <w:t xml:space="preserve"> </w:t>
      </w:r>
      <w:r>
        <w:t xml:space="preserve">[70]</w:t>
      </w:r>
      <w:r>
        <w:t xml:space="preserve">.</w:t>
      </w:r>
      <w:r>
        <w:t xml:space="preserve"> </w:t>
      </w:r>
      <w:r>
        <w:t xml:space="preserve">However, the processing method we used specifically allows for comparisons to day-pairs and this methodology has been used by others</w:t>
      </w:r>
      <w:r>
        <w:t xml:space="preserve"> </w:t>
      </w:r>
      <w:r>
        <w:t xml:space="preserve">[e.g., 63]</w:t>
      </w:r>
      <w:r>
        <w:t xml:space="preserve">.</w:t>
      </w:r>
      <w:r>
        <w:t xml:space="preserve"> </w:t>
      </w:r>
      <w:r>
        <w:t xml:space="preserve">Sleep regularity scores also depend on the software used to calculate them, with GGIR producing scores around 20 points lower than the sleepreg package</w:t>
      </w:r>
      <w:r>
        <w:t xml:space="preserve"> </w:t>
      </w:r>
      <w:r>
        <w:t xml:space="preserve">[71]</w:t>
      </w:r>
      <w:r>
        <w:t xml:space="preserve">, so absolute values from our data should not be compared directly with studies that used other implementations.</w:t>
      </w:r>
      <w:r>
        <w:t xml:space="preserve"> </w:t>
      </w:r>
      <w:r>
        <w:t xml:space="preserve">Additionally, although we controlled for several potential confounders, there may still be unmeasured factors affecting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that young adults are the most likely to report difficulty falling asleep</w:t>
      </w:r>
      <w:r>
        <w:t xml:space="preserve"> </w:t>
      </w:r>
      <w:r>
        <w:t xml:space="preserve">[11]</w:t>
      </w:r>
      <w:r>
        <w:t xml:space="preserve">.</w:t>
      </w:r>
    </w:p>
    <w:bookmarkEnd w:id="66"/>
    <w:bookmarkStart w:id="67" w:name="conclusion"/>
    <w:p>
      <w:pPr>
        <w:pStyle w:val="berschrift1"/>
      </w:pPr>
      <w:r>
        <w:t xml:space="preserve">Conclusion</w:t>
      </w:r>
    </w:p>
    <w:p>
      <w:pPr>
        <w:pStyle w:val="FirstParagraph"/>
      </w:pPr>
      <w:r>
        <w:t xml:space="preserve">Our study provides new insights into the relationship between physical activity and sleep across the lifespan using a large, globally diverse dataset with device-based measurements.</w:t>
      </w:r>
      <w:r>
        <w:t xml:space="preserve"> </w:t>
      </w:r>
      <w:r>
        <w:t xml:space="preserve">We found that physical activity was most consistently associated with sleep regularity, with weaker and less consistent associations observed for sleep duration, efficiency, and onset.</w:t>
      </w:r>
      <w:r>
        <w:t xml:space="preserve"> </w:t>
      </w:r>
      <w:r>
        <w:t xml:space="preserve">Additionally, our analyses revealed beneficial associations, where higher physical activity levels were associated with greater sleep regularity, and more regular sleep patterns predicted higher physical activity the following day.</w:t>
      </w:r>
      <w:r>
        <w:t xml:space="preserve"> </w:t>
      </w:r>
      <w:r>
        <w:t xml:space="preserve">However, this bidirectional association was attenuated in older adults, suggesting that the interplay between sleep and physical activity may change with age.</w:t>
      </w:r>
      <w:r>
        <w:t xml:space="preserve"> </w:t>
      </w:r>
      <w:r>
        <w:t xml:space="preserve">Findings suggest that public health efforts to promote physical activity may be particularly valuable for improving sleep consistency rather than sleep duration or efficiency.</w:t>
      </w:r>
      <w:r>
        <w:t xml:space="preserve"> </w:t>
      </w:r>
      <w:r>
        <w:t xml:space="preserve">While physical activity is unlikely to be a universal solution for sleep improvement, encouraging regular movement could support stable sleep patterns, which are increasingly recognized as a key determinant of overall health.</w:t>
      </w:r>
      <w:r>
        <w:t xml:space="preserve"> </w:t>
      </w:r>
      <w:r>
        <w:t xml:space="preserve">Future research should explore how targeted interventions—particularly those addressing sleep regularity—may enhance both sleep and physical activity behaviours across different age groups and populations.</w:t>
      </w:r>
    </w:p>
    <w:p>
      <w:r>
        <w:br w:type="page"/>
      </w:r>
    </w:p>
    <w:bookmarkEnd w:id="67"/>
    <w:bookmarkStart w:id="211" w:name="references"/>
    <w:p>
      <w:pPr>
        <w:pStyle w:val="berschrift1"/>
      </w:pPr>
      <w:r>
        <w:t xml:space="preserve">References</w:t>
      </w:r>
    </w:p>
    <w:bookmarkStart w:id="210" w:name="refs"/>
    <w:bookmarkStart w:id="69"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8">
        <w:r>
          <w:rPr>
            <w:rStyle w:val="Hyperlink"/>
          </w:rPr>
          <w:t xml:space="preserve">Sleep:</w:t>
        </w:r>
        <w:r>
          <w:rPr>
            <w:rStyle w:val="Hyperlink"/>
          </w:rPr>
          <w:t xml:space="preserve"> </w:t>
        </w:r>
        <w:r>
          <w:rPr>
            <w:rStyle w:val="Hyperlink"/>
          </w:rPr>
          <w:t xml:space="preserve">A Health Imperative</w:t>
        </w:r>
      </w:hyperlink>
      <w:r>
        <w:t xml:space="preserve">. Sleep. 2012 June;35(6):727–34.</w:t>
      </w:r>
      <w:r>
        <w:t xml:space="preserve"> </w:t>
      </w:r>
    </w:p>
    <w:bookmarkEnd w:id="69"/>
    <w:bookmarkStart w:id="71" w:name="ref-ramarSleepEssentialHealth2021"/>
    <w:p>
      <w:pPr>
        <w:pStyle w:val="Literaturverzeichnis"/>
      </w:pPr>
      <w:r>
        <w:t xml:space="preserve">2.</w:t>
      </w:r>
      <w:r>
        <w:t xml:space="preserve"> </w:t>
      </w:r>
      <w:r>
        <w:t xml:space="preserve">	</w:t>
      </w:r>
      <w:r>
        <w:t xml:space="preserve">Ramar K, Malhotra RK, Carden KA, Martin JL, Abbasi-Feinberg F, Aurora RN, Kapur VK, Olson EJ, Rosen CL, Rowley JA, Shelgikar AV, Trotti LM.</w:t>
      </w:r>
      <w:r>
        <w:t xml:space="preserve"> </w:t>
      </w:r>
      <w:hyperlink r:id="rId70">
        <w:r>
          <w:rPr>
            <w:rStyle w:val="Hyperlink"/>
          </w:rPr>
          <w:t xml:space="preserve">Sleep is essential to health: An</w:t>
        </w:r>
        <w:r>
          <w:rPr>
            <w:rStyle w:val="Hyperlink"/>
          </w:rPr>
          <w:t xml:space="preserve"> </w:t>
        </w:r>
        <w:r>
          <w:rPr>
            <w:rStyle w:val="Hyperlink"/>
          </w:rPr>
          <w:t xml:space="preserve">American Academy</w:t>
        </w:r>
        <w:r>
          <w:rPr>
            <w:rStyle w:val="Hyperlink"/>
          </w:rPr>
          <w:t xml:space="preserve"> </w:t>
        </w:r>
        <w:r>
          <w:rPr>
            <w:rStyle w:val="Hyperlink"/>
          </w:rPr>
          <w:t xml:space="preserve">of</w:t>
        </w:r>
        <w:r>
          <w:rPr>
            <w:rStyle w:val="Hyperlink"/>
          </w:rPr>
          <w:t xml:space="preserve"> </w:t>
        </w:r>
        <w:r>
          <w:rPr>
            <w:rStyle w:val="Hyperlink"/>
          </w:rPr>
          <w:t xml:space="preserve">Sleep Medicine</w:t>
        </w:r>
        <w:r>
          <w:rPr>
            <w:rStyle w:val="Hyperlink"/>
          </w:rPr>
          <w:t xml:space="preserve"> </w:t>
        </w:r>
        <w:r>
          <w:rPr>
            <w:rStyle w:val="Hyperlink"/>
          </w:rPr>
          <w:t xml:space="preserve">position statement</w:t>
        </w:r>
      </w:hyperlink>
      <w:r>
        <w:t xml:space="preserve">. Journal of Clinical Sleep Medicine. 2021 Oct;17(10):2115–9.</w:t>
      </w:r>
      <w:r>
        <w:t xml:space="preserve"> </w:t>
      </w:r>
    </w:p>
    <w:bookmarkEnd w:id="71"/>
    <w:bookmarkStart w:id="73" w:name="ref-huangSleepPhysicalActivity2022"/>
    <w:p>
      <w:pPr>
        <w:pStyle w:val="Literaturverzeichnis"/>
      </w:pPr>
      <w:r>
        <w:t xml:space="preserve">3.</w:t>
      </w:r>
      <w:r>
        <w:t xml:space="preserve"> </w:t>
      </w:r>
      <w:r>
        <w:t xml:space="preserve">	</w:t>
      </w:r>
      <w:r>
        <w:t xml:space="preserve">Huang BH, Duncan MJ, Cistulli PA, Nassar N, Hamer M, Stamatakis E.</w:t>
      </w:r>
      <w:r>
        <w:t xml:space="preserve"> </w:t>
      </w:r>
      <w:hyperlink r:id="rId72">
        <w:r>
          <w:rPr>
            <w:rStyle w:val="Hyperlink"/>
          </w:rPr>
          <w:t xml:space="preserve">Sleep and physical activity in relation to all-cause, cardiovascular disease and cancer mortality risk</w:t>
        </w:r>
      </w:hyperlink>
      <w:r>
        <w:t xml:space="preserve">. British Journal of Sports Medicine. 2022 July;56(13):718–24.</w:t>
      </w:r>
      <w:r>
        <w:t xml:space="preserve"> </w:t>
      </w:r>
    </w:p>
    <w:bookmarkEnd w:id="73"/>
    <w:bookmarkStart w:id="75" w:name="ref-kwokSelfReportedSleep2018"/>
    <w:p>
      <w:pPr>
        <w:pStyle w:val="Literaturverzeichnis"/>
      </w:pPr>
      <w:r>
        <w:t xml:space="preserve">4.</w:t>
      </w:r>
      <w:r>
        <w:t xml:space="preserve"> </w:t>
      </w:r>
      <w:r>
        <w:t xml:space="preserve">	</w:t>
      </w:r>
      <w:r>
        <w:t xml:space="preserve">Kwok CS, Kontopantelis E, Kuligowski G, Gray M, Muhyaldeen A, Gale CP, Peat GM, Cleator J, Chew-Graham C, Loke YK, Mamas MA.</w:t>
      </w:r>
      <w:r>
        <w:t xml:space="preserve"> </w:t>
      </w:r>
      <w:hyperlink r:id="rId74">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5"/>
    <w:bookmarkStart w:id="77" w:name="ref-maSleepDurationTotal2016"/>
    <w:p>
      <w:pPr>
        <w:pStyle w:val="Literaturverzeichnis"/>
      </w:pPr>
      <w:r>
        <w:t xml:space="preserve">5.</w:t>
      </w:r>
      <w:r>
        <w:t xml:space="preserve"> </w:t>
      </w:r>
      <w:r>
        <w:t xml:space="preserve">	</w:t>
      </w:r>
      <w:r>
        <w:t xml:space="preserve">Ma QQ, Yao Q, Lin L, Chen GC, Yu JB.</w:t>
      </w:r>
      <w:r>
        <w:t xml:space="preserve"> </w:t>
      </w:r>
      <w:hyperlink r:id="rId76">
        <w:r>
          <w:rPr>
            <w:rStyle w:val="Hyperlink"/>
          </w:rPr>
          <w:t xml:space="preserve">Sleep duration and total cancer mortality: A meta-analysis of prospective studies</w:t>
        </w:r>
      </w:hyperlink>
      <w:r>
        <w:t xml:space="preserve">. Sleep Medicine. 2016 Nov;27–28:39–44.</w:t>
      </w:r>
      <w:r>
        <w:t xml:space="preserve"> </w:t>
      </w:r>
    </w:p>
    <w:bookmarkEnd w:id="77"/>
    <w:bookmarkStart w:id="79" w:name="X346925cdfc2f52c89d96d4a14a2ac1b330702a3"/>
    <w:p>
      <w:pPr>
        <w:pStyle w:val="Literaturverzeichnis"/>
      </w:pPr>
      <w:r>
        <w:t xml:space="preserve">6.</w:t>
      </w:r>
      <w:r>
        <w:t xml:space="preserve"> </w:t>
      </w:r>
      <w:r>
        <w:t xml:space="preserve">	</w:t>
      </w:r>
      <w:r>
        <w:t xml:space="preserve">Wakefield JRH, Bowe M, Kellezi B, Butcher A, Groeger JA.</w:t>
      </w:r>
      <w:r>
        <w:t xml:space="preserve"> </w:t>
      </w:r>
      <w:hyperlink r:id="rId78">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9"/>
    <w:bookmarkStart w:id="81" w:name="ref-slettenImportanceSleepRegularity2023"/>
    <w:p>
      <w:pPr>
        <w:pStyle w:val="Literaturverzeichnis"/>
      </w:pPr>
      <w:r>
        <w:t xml:space="preserve">7.</w:t>
      </w:r>
      <w:r>
        <w:t xml:space="preserve"> </w:t>
      </w:r>
      <w:r>
        <w:t xml:space="preserve">	</w:t>
      </w:r>
      <w:r>
        <w:t xml:space="preserve">Sletten TL, Weaver MD, Foster RG, Gozal D, Klerman EB, Rajaratnam SMW, Roenneberg T, Takahashi JS, Turek FW, Vitiello MV, Young MW, Czeisler CA.</w:t>
      </w:r>
      <w:r>
        <w:t xml:space="preserve"> </w:t>
      </w:r>
      <w:hyperlink r:id="rId80">
        <w:r>
          <w:rPr>
            <w:rStyle w:val="Hyperlink"/>
          </w:rPr>
          <w:t xml:space="preserve">The importance of sleep regularity: A consensus statement of the</w:t>
        </w:r>
        <w:r>
          <w:rPr>
            <w:rStyle w:val="Hyperlink"/>
          </w:rPr>
          <w:t xml:space="preserve"> </w:t>
        </w:r>
        <w:r>
          <w:rPr>
            <w:rStyle w:val="Hyperlink"/>
          </w:rPr>
          <w:t xml:space="preserve">National Sleep Foundation</w:t>
        </w:r>
        <w:r>
          <w:rPr>
            <w:rStyle w:val="Hyperlink"/>
          </w:rPr>
          <w:t xml:space="preserve"> </w:t>
        </w:r>
        <w:r>
          <w:rPr>
            <w:rStyle w:val="Hyperlink"/>
          </w:rPr>
          <w:t xml:space="preserve">sleep timing and variability panel</w:t>
        </w:r>
      </w:hyperlink>
      <w:r>
        <w:t xml:space="preserve">. Sleep Health. 2023 Dec;9(6):801–20.</w:t>
      </w:r>
      <w:r>
        <w:t xml:space="preserve"> </w:t>
      </w:r>
    </w:p>
    <w:bookmarkEnd w:id="81"/>
    <w:bookmarkStart w:id="83" w:name="Xf3bf9d2500c3688e789e432c894721949a0b555"/>
    <w:p>
      <w:pPr>
        <w:pStyle w:val="Literaturverzeichnis"/>
      </w:pPr>
      <w:r>
        <w:t xml:space="preserve">8.</w:t>
      </w:r>
      <w:r>
        <w:t xml:space="preserve"> </w:t>
      </w:r>
      <w:r>
        <w:t xml:space="preserve">	</w:t>
      </w:r>
      <w:r>
        <w:t xml:space="preserve">St-Onge MP, Aggarwal B, Fernandez-Mendoza J, Johnson D, Kline CE, Knutson KL, Redeker N, Grandner MA, on behalf of the American Heart Association Council on Lifestyle and Cardiometabolic Health; Council on Cardiovascular and Stroke Nursing; Council on Clinical Cardiology; and Council on Quality of Care and Outcomes Research</w:t>
      </w:r>
      <w:r>
        <w:t xml:space="preserve">.</w:t>
      </w:r>
      <w:r>
        <w:t xml:space="preserve"> </w:t>
      </w:r>
      <w:hyperlink r:id="rId82">
        <w:r>
          <w:rPr>
            <w:rStyle w:val="Hyperlink"/>
          </w:rPr>
          <w:t xml:space="preserve">Multidimensional</w:t>
        </w:r>
        <w:r>
          <w:rPr>
            <w:rStyle w:val="Hyperlink"/>
          </w:rPr>
          <w:t xml:space="preserve"> </w:t>
        </w:r>
        <w:r>
          <w:rPr>
            <w:rStyle w:val="Hyperlink"/>
          </w:rPr>
          <w:t xml:space="preserve">Sleep Health</w:t>
        </w:r>
        <w:r>
          <w:rPr>
            <w:rStyle w:val="Hyperlink"/>
          </w:rPr>
          <w:t xml:space="preserve">:</w:t>
        </w:r>
        <w:r>
          <w:rPr>
            <w:rStyle w:val="Hyperlink"/>
          </w:rPr>
          <w:t xml:space="preserve"> </w:t>
        </w:r>
        <w:r>
          <w:rPr>
            <w:rStyle w:val="Hyperlink"/>
          </w:rPr>
          <w:t xml:space="preserve">Definitions</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w:t>
        </w:r>
        <w:r>
          <w:rPr>
            <w:rStyle w:val="Hyperlink"/>
          </w:rPr>
          <w:t xml:space="preserve"> </w:t>
        </w:r>
        <w:r>
          <w:rPr>
            <w:rStyle w:val="Hyperlink"/>
          </w:rPr>
          <w:t xml:space="preserve">Cardiometabolic Health</w:t>
        </w:r>
        <w:r>
          <w:rPr>
            <w:rStyle w:val="Hyperlink"/>
          </w:rPr>
          <w:t xml:space="preserve">:</w:t>
        </w:r>
        <w:r>
          <w:rPr>
            <w:rStyle w:val="Hyperlink"/>
          </w:rPr>
          <w:t xml:space="preserve"> </w:t>
        </w:r>
        <w:r>
          <w:rPr>
            <w:rStyle w:val="Hyperlink"/>
          </w:rPr>
          <w:t xml:space="preserve">A Scientific Statement From</w:t>
        </w:r>
        <w:r>
          <w:rPr>
            <w:rStyle w:val="Hyperlink"/>
          </w:rPr>
          <w:t xml:space="preserve"> </w:t>
        </w:r>
        <w:r>
          <w:rPr>
            <w:rStyle w:val="Hyperlink"/>
          </w:rPr>
          <w:t xml:space="preserve">the</w:t>
        </w:r>
        <w:r>
          <w:rPr>
            <w:rStyle w:val="Hyperlink"/>
          </w:rPr>
          <w:t xml:space="preserve"> </w:t>
        </w:r>
        <w:r>
          <w:rPr>
            <w:rStyle w:val="Hyperlink"/>
          </w:rPr>
          <w:t xml:space="preserve">American Heart Association</w:t>
        </w:r>
      </w:hyperlink>
      <w:r>
        <w:t xml:space="preserve">. Circulation: Cardiovascular Quality and Outcomes. 2025 May;18(5).</w:t>
      </w:r>
      <w:r>
        <w:t xml:space="preserve"> </w:t>
      </w:r>
    </w:p>
    <w:bookmarkEnd w:id="83"/>
    <w:bookmarkStart w:id="85" w:name="ref-kalkanisSleepRegularityImportant2025"/>
    <w:p>
      <w:pPr>
        <w:pStyle w:val="Literaturverzeichnis"/>
      </w:pPr>
      <w:r>
        <w:t xml:space="preserve">9.</w:t>
      </w:r>
      <w:r>
        <w:t xml:space="preserve"> </w:t>
      </w:r>
      <w:r>
        <w:t xml:space="preserve">	</w:t>
      </w:r>
      <w:r>
        <w:t xml:space="preserve">Kalkanis A, Lenkens D, Steiropoulos P, Testelmans D.</w:t>
      </w:r>
      <w:r>
        <w:t xml:space="preserve"> </w:t>
      </w:r>
      <w:hyperlink r:id="rId84">
        <w:r>
          <w:rPr>
            <w:rStyle w:val="Hyperlink"/>
          </w:rPr>
          <w:t xml:space="preserve">Sleep regularity as an important component of sleep hygiene: A systematic review</w:t>
        </w:r>
      </w:hyperlink>
      <w:r>
        <w:t xml:space="preserve">. Sleep Medicine Reviews. 2025 Dec;84:102203.</w:t>
      </w:r>
      <w:r>
        <w:t xml:space="preserve"> </w:t>
      </w:r>
    </w:p>
    <w:bookmarkEnd w:id="85"/>
    <w:bookmarkStart w:id="87" w:name="ref-gariepyHowAreAdolescents2020"/>
    <w:p>
      <w:pPr>
        <w:pStyle w:val="Literaturverzeichnis"/>
      </w:pPr>
      <w:r>
        <w:t xml:space="preserve">10.</w:t>
      </w:r>
      <w:r>
        <w:t xml:space="preserve"> </w:t>
      </w:r>
      <w:r>
        <w:t xml:space="preserve">	</w:t>
      </w:r>
      <w:r>
        <w:t xml:space="preserve">Gariepy G, Danna S, Gobiņa I, Rasmussen M, Gaspar De Matos M, Tynjälä J, Janssen I, Kalman M, Villeruša A, Husarova D, Brooks F, Elgar FJ, Klavina-Makrecka S, Šmigelskas K, Gaspar T, Schnohr C.</w:t>
      </w:r>
      <w:r>
        <w:t xml:space="preserve"> </w:t>
      </w:r>
      <w:hyperlink r:id="rId86">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 Journal of Adolescent Health. 2020 June;66(6):S81–8.</w:t>
      </w:r>
      <w:r>
        <w:t xml:space="preserve"> </w:t>
      </w:r>
    </w:p>
    <w:bookmarkEnd w:id="87"/>
    <w:bookmarkStart w:id="89" w:name="ref-ngShortSleepDuration2026"/>
    <w:p>
      <w:pPr>
        <w:pStyle w:val="Literaturverzeichnis"/>
      </w:pPr>
      <w:r>
        <w:t xml:space="preserve">11.</w:t>
      </w:r>
      <w:r>
        <w:t xml:space="preserve"> </w:t>
      </w:r>
      <w:r>
        <w:t xml:space="preserve">	</w:t>
      </w:r>
      <w:r>
        <w:t xml:space="preserve">Ng AE, Black LI, Adjaye-Gbewonyo D. Short sleep duration and sleep difficulties among adults:</w:t>
      </w:r>
      <w:r>
        <w:t xml:space="preserve"> </w:t>
      </w:r>
      <w:r>
        <w:t xml:space="preserve">United States</w:t>
      </w:r>
      <w:r>
        <w:t xml:space="preserve">, 2024 [Internet]. Hyattsville, MD: National Center for Health Statistics; 2026 Apr [cited 2026 Oct 10]. Report No.: 559. Available from:</w:t>
      </w:r>
      <w:r>
        <w:t xml:space="preserve"> </w:t>
      </w:r>
      <w:hyperlink r:id="rId88">
        <w:r>
          <w:rPr>
            <w:rStyle w:val="Hyperlink"/>
          </w:rPr>
          <w:t xml:space="preserve">https://www.cdc.gov/nchs/products/databriefs/db559.htm</w:t>
        </w:r>
      </w:hyperlink>
    </w:p>
    <w:bookmarkEnd w:id="89"/>
    <w:bookmarkStart w:id="91" w:name="X9f6eaf42f11165e1fa538473b177648f28db4e3"/>
    <w:p>
      <w:pPr>
        <w:pStyle w:val="Literaturverzeichnis"/>
      </w:pPr>
      <w:r>
        <w:t xml:space="preserve">12.</w:t>
      </w:r>
      <w:r>
        <w:t xml:space="preserve"> </w:t>
      </w:r>
      <w:r>
        <w:t xml:space="preserve">	</w:t>
      </w:r>
      <w:r>
        <w:t xml:space="preserve">Hirshkowitz M, Whiton K, Albert SM, Alessi C, Bruni O, DonCarlos L, Hazen N, Herman J, Adams Hillard PJ, Katz ES, Kheirandish-Gozal L, Neubauer DN, O’Donnell AE, Ohayon M, Peever J, Rawding R, Sachdeva RC, Setters B, Vitiello MV, Ware JC.</w:t>
      </w:r>
      <w:r>
        <w:t xml:space="preserve"> </w:t>
      </w:r>
      <w:hyperlink r:id="rId90">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 Sleep Health. 2015 Dec;1(4):233–43.</w:t>
      </w:r>
      <w:r>
        <w:t xml:space="preserve"> </w:t>
      </w:r>
    </w:p>
    <w:bookmarkEnd w:id="91"/>
    <w:bookmarkStart w:id="93" w:name="ref-dzierzewskiHowMuchSleep2026"/>
    <w:p>
      <w:pPr>
        <w:pStyle w:val="Literaturverzeichnis"/>
      </w:pPr>
      <w:r>
        <w:t xml:space="preserve">13.</w:t>
      </w:r>
      <w:r>
        <w:t xml:space="preserve"> </w:t>
      </w:r>
      <w:r>
        <w:t xml:space="preserve">	</w:t>
      </w:r>
      <w:r>
        <w:t xml:space="preserve">Dzierzewski JM, Hirshkowitz M, Dautovich ND, Nielson SA, Miller AN, Erickson AJ, Vitiello MV.</w:t>
      </w:r>
      <w:r>
        <w:t xml:space="preserve"> </w:t>
      </w:r>
      <w:hyperlink r:id="rId92">
        <w:r>
          <w:rPr>
            <w:rStyle w:val="Hyperlink"/>
          </w:rPr>
          <w:t xml:space="preserve">How much sleep do you need:</w:t>
        </w:r>
        <w:r>
          <w:rPr>
            <w:rStyle w:val="Hyperlink"/>
          </w:rPr>
          <w:t xml:space="preserve"> </w:t>
        </w:r>
        <w:r>
          <w:rPr>
            <w:rStyle w:val="Hyperlink"/>
          </w:rPr>
          <w:t xml:space="preserve">A</w:t>
        </w:r>
        <w:r>
          <w:rPr>
            <w:rStyle w:val="Hyperlink"/>
          </w:rPr>
          <w:t xml:space="preserve"> </w:t>
        </w:r>
        <w:r>
          <w:rPr>
            <w:rStyle w:val="Hyperlink"/>
          </w:rPr>
          <w:t xml:space="preserve">10-year systematic review of</w:t>
        </w:r>
        <w:r>
          <w:rPr>
            <w:rStyle w:val="Hyperlink"/>
          </w:rPr>
          <w:t xml:space="preserve"> </w:t>
        </w:r>
        <w:r>
          <w:rPr>
            <w:rStyle w:val="Hyperlink"/>
          </w:rPr>
          <w:t xml:space="preserve">National Sleep Foundation</w:t>
        </w:r>
        <w:r>
          <w:rPr>
            <w:rStyle w:val="Hyperlink"/>
          </w:rPr>
          <w:t xml:space="preserve">’s sleep duration recommendations and examination of sex differences</w:t>
        </w:r>
      </w:hyperlink>
      <w:r>
        <w:t xml:space="preserve">. Sleep Health. 2026 Aug;12(4):599–611.</w:t>
      </w:r>
      <w:r>
        <w:t xml:space="preserve"> </w:t>
      </w:r>
    </w:p>
    <w:bookmarkEnd w:id="93"/>
    <w:bookmarkStart w:id="95" w:name="ref-limNeedPromoteSleep2023"/>
    <w:p>
      <w:pPr>
        <w:pStyle w:val="Literaturverzeichnis"/>
      </w:pPr>
      <w:r>
        <w:t xml:space="preserve">14.</w:t>
      </w:r>
      <w:r>
        <w:t xml:space="preserve"> </w:t>
      </w:r>
      <w:r>
        <w:t xml:space="preserve">	</w:t>
      </w:r>
      <w:r>
        <w:t xml:space="preserve">Lim DC, Najafi A, Afifi L, Bassetti CL, Buysse DJ, Han F, Högl B, Melaku YA, Morin CM, Pack AI, Poyares D, Somers VK, Eastwood PR, Zee PC, Jackson CL.</w:t>
      </w:r>
      <w:r>
        <w:t xml:space="preserve"> </w:t>
      </w:r>
      <w:hyperlink r:id="rId94">
        <w:r>
          <w:rPr>
            <w:rStyle w:val="Hyperlink"/>
          </w:rPr>
          <w:t xml:space="preserve">The need to promote sleep health in public health agendas across the globe</w:t>
        </w:r>
      </w:hyperlink>
      <w:r>
        <w:t xml:space="preserve">. The Lancet Public Health. 2023 Oct;8(10):e820–6.</w:t>
      </w:r>
      <w:r>
        <w:t xml:space="preserve"> </w:t>
      </w:r>
    </w:p>
    <w:bookmarkEnd w:id="95"/>
    <w:bookmarkStart w:id="97" w:name="ref-klinePhysicalActivitySleep2021"/>
    <w:p>
      <w:pPr>
        <w:pStyle w:val="Literaturverzeichnis"/>
      </w:pPr>
      <w:r>
        <w:t xml:space="preserve">15.</w:t>
      </w:r>
      <w:r>
        <w:t xml:space="preserve"> </w:t>
      </w:r>
      <w:r>
        <w:t xml:space="preserve">	</w:t>
      </w:r>
      <w:r>
        <w:t xml:space="preserve">Kline CE, Hillman CH, Bloodgood Sheppard B, Tennant B, Conroy DE, Macko RF, Marquez DX, Petruzzello SJ, Powell KE, Erickson KI.</w:t>
      </w:r>
      <w:r>
        <w:t xml:space="preserve"> </w:t>
      </w:r>
      <w:hyperlink r:id="rId96">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97"/>
    <w:bookmarkStart w:id="99" w:name="ref-kredlowEffectsPhysicalActivity2015"/>
    <w:p>
      <w:pPr>
        <w:pStyle w:val="Literaturverzeichnis"/>
      </w:pPr>
      <w:r>
        <w:t xml:space="preserve">16.</w:t>
      </w:r>
      <w:r>
        <w:t xml:space="preserve"> </w:t>
      </w:r>
      <w:r>
        <w:t xml:space="preserve">	</w:t>
      </w:r>
      <w:r>
        <w:t xml:space="preserve">Kredlow MA, Capozzoli MC, Hearon BA, Calkins AW, Otto MW.</w:t>
      </w:r>
      <w:r>
        <w:t xml:space="preserve"> </w:t>
      </w:r>
      <w:hyperlink r:id="rId98">
        <w:r>
          <w:rPr>
            <w:rStyle w:val="Hyperlink"/>
          </w:rPr>
          <w:t xml:space="preserve">The effects of physical activity on sleep: A meta-analytic review</w:t>
        </w:r>
      </w:hyperlink>
      <w:r>
        <w:t xml:space="preserve">. Journal of Behavioral Medicine. 2015 June;38(3):427–49.</w:t>
      </w:r>
      <w:r>
        <w:t xml:space="preserve"> </w:t>
      </w:r>
    </w:p>
    <w:bookmarkEnd w:id="99"/>
    <w:bookmarkStart w:id="101" w:name="X53f94bcc1a07604a1a559ebebf63ed17655a129"/>
    <w:p>
      <w:pPr>
        <w:pStyle w:val="Literaturverzeichnis"/>
      </w:pPr>
      <w:r>
        <w:t xml:space="preserve">17.</w:t>
      </w:r>
      <w:r>
        <w:t xml:space="preserve"> </w:t>
      </w:r>
      <w:r>
        <w:t xml:space="preserve">	</w:t>
      </w:r>
      <w:r>
        <w:t xml:space="preserve">Liang Z, Zhao S, Tian S, Wang C, Zhang M, Xu K, Yin M, Ng S, Ning Z.</w:t>
      </w:r>
      <w:r>
        <w:t xml:space="preserve"> </w:t>
      </w:r>
      <w:hyperlink r:id="rId100">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 Sleep Medicine Reviews. 2026 Apr;86:102239.</w:t>
      </w:r>
      <w:r>
        <w:t xml:space="preserve"> </w:t>
      </w:r>
    </w:p>
    <w:bookmarkEnd w:id="101"/>
    <w:bookmarkStart w:id="103" w:name="ref-xiongOptimalExerciseType2025"/>
    <w:p>
      <w:pPr>
        <w:pStyle w:val="Literaturverzeichnis"/>
      </w:pPr>
      <w:r>
        <w:t xml:space="preserve">18.</w:t>
      </w:r>
      <w:r>
        <w:t xml:space="preserve"> </w:t>
      </w:r>
      <w:r>
        <w:t xml:space="preserve">	</w:t>
      </w:r>
      <w:r>
        <w:t xml:space="preserve">Xiong Z, Yuan Y, Qiu B, Yang Y, Bai Y, Wang J, Wang T, Liu H, ShangGuan Y, Jiang S, Wang F, Ding W, Wang Z, Li Y, Zhang L.</w:t>
      </w:r>
      <w:r>
        <w:t xml:space="preserve"> </w:t>
      </w:r>
      <w:hyperlink r:id="rId102">
        <w:r>
          <w:rPr>
            <w:rStyle w:val="Hyperlink"/>
          </w:rPr>
          <w:t xml:space="preserve">Optimal exercise type and dose to improve sleep quality in older adults: A systematic review and network meta-analysis</w:t>
        </w:r>
      </w:hyperlink>
      <w:r>
        <w:t xml:space="preserve">. BMC Geriatrics. 2025 Nov;25(1):1031.</w:t>
      </w:r>
      <w:r>
        <w:t xml:space="preserve"> </w:t>
      </w:r>
    </w:p>
    <w:bookmarkEnd w:id="103"/>
    <w:bookmarkStart w:id="105" w:name="ref-buEffectsVariousExercise2026"/>
    <w:p>
      <w:pPr>
        <w:pStyle w:val="Literaturverzeichnis"/>
      </w:pPr>
      <w:r>
        <w:t xml:space="preserve">19.</w:t>
      </w:r>
      <w:r>
        <w:t xml:space="preserve"> </w:t>
      </w:r>
      <w:r>
        <w:t xml:space="preserve">	</w:t>
      </w:r>
      <w:r>
        <w:t xml:space="preserve">Bu Z, Liu F, Shahjalal M, Song Y, Li M, Zhuo R, Zhong Q, Du Y, Lu C, Yang Z, Yang H, Zhong P, Liu J, Liu Z.</w:t>
      </w:r>
      <w:r>
        <w:t xml:space="preserve"> </w:t>
      </w:r>
      <w:hyperlink r:id="rId104">
        <w:r>
          <w:rPr>
            <w:rStyle w:val="Hyperlink"/>
          </w:rPr>
          <w:t xml:space="preserve">Effects of various exercise interventions in insomnia patients: A systematic review and network meta-analysis</w:t>
        </w:r>
      </w:hyperlink>
      <w:r>
        <w:t xml:space="preserve">. BMJ Evidence-Based Medicine. 2026 Apr;31(2):102–13.</w:t>
      </w:r>
      <w:r>
        <w:t xml:space="preserve"> </w:t>
      </w:r>
    </w:p>
    <w:bookmarkEnd w:id="105"/>
    <w:bookmarkStart w:id="107" w:name="ref-bullWorldHealthOrganization2020"/>
    <w:p>
      <w:pPr>
        <w:pStyle w:val="Literaturverzeichnis"/>
      </w:pPr>
      <w:r>
        <w:t xml:space="preserve">20.</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106">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107"/>
    <w:bookmarkStart w:id="109" w:name="ref-antczakPhysicalActivitySleep2020"/>
    <w:p>
      <w:pPr>
        <w:pStyle w:val="Literaturverzeichnis"/>
      </w:pPr>
      <w:r>
        <w:t xml:space="preserve">21.</w:t>
      </w:r>
      <w:r>
        <w:t xml:space="preserve"> </w:t>
      </w:r>
      <w:r>
        <w:t xml:space="preserve">	</w:t>
      </w:r>
      <w:r>
        <w:t xml:space="preserve">Antczak D, Lonsdale C, Lee J, Hilland T, Duncan MJ, del Pozo Cruz B, Hulteen RM, Parker PD, Sanders T</w:t>
      </w:r>
      <w:r>
        <w:t xml:space="preserve">.</w:t>
      </w:r>
      <w:r>
        <w:t xml:space="preserve"> </w:t>
      </w:r>
      <w:hyperlink r:id="rId10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June;51:101278.</w:t>
      </w:r>
      <w:r>
        <w:t xml:space="preserve"> </w:t>
      </w:r>
    </w:p>
    <w:bookmarkEnd w:id="109"/>
    <w:bookmarkStart w:id="111" w:name="ref-langRelationshipPhysicalActivity2016"/>
    <w:p>
      <w:pPr>
        <w:pStyle w:val="Literaturverzeichnis"/>
      </w:pPr>
      <w:r>
        <w:t xml:space="preserve">22.</w:t>
      </w:r>
      <w:r>
        <w:t xml:space="preserve"> </w:t>
      </w:r>
      <w:r>
        <w:t xml:space="preserve">	</w:t>
      </w:r>
      <w:r>
        <w:t xml:space="preserve">Lang C, Kalak N, Brand S, Holsboer-Trachsler E, Pühse U, Gerber M.</w:t>
      </w:r>
      <w:r>
        <w:t xml:space="preserve"> </w:t>
      </w:r>
      <w:hyperlink r:id="rId11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111"/>
    <w:bookmarkStart w:id="113" w:name="ref-songEffectsPhysicalActivity2026"/>
    <w:p>
      <w:pPr>
        <w:pStyle w:val="Literaturverzeichnis"/>
      </w:pPr>
      <w:r>
        <w:t xml:space="preserve">23.</w:t>
      </w:r>
      <w:r>
        <w:t xml:space="preserve"> </w:t>
      </w:r>
      <w:r>
        <w:t xml:space="preserve">	</w:t>
      </w:r>
      <w:r>
        <w:t xml:space="preserve">Song H, Jiang X, Li Y, Cao Y, He C, Zuo H, Liu T, Zhang M.</w:t>
      </w:r>
      <w:r>
        <w:t xml:space="preserve"> </w:t>
      </w:r>
      <w:hyperlink r:id="rId112">
        <w:r>
          <w:rPr>
            <w:rStyle w:val="Hyperlink"/>
          </w:rPr>
          <w:t xml:space="preserve">Effects of physical activity on sleep in children and adolescents: A systematic review and meta-analysis of randomised controlled trials</w:t>
        </w:r>
      </w:hyperlink>
      <w:r>
        <w:t xml:space="preserve">. European Child &amp; Adolescent Psychiatry. 2026 Feb;35(2):397–411.</w:t>
      </w:r>
      <w:r>
        <w:t xml:space="preserve"> </w:t>
      </w:r>
    </w:p>
    <w:bookmarkEnd w:id="113"/>
    <w:bookmarkStart w:id="115" w:name="ref-atouiDailyAssociationsSleep2021"/>
    <w:p>
      <w:pPr>
        <w:pStyle w:val="Literaturverzeichnis"/>
      </w:pPr>
      <w:r>
        <w:t xml:space="preserve">24.</w:t>
      </w:r>
      <w:r>
        <w:t xml:space="preserve"> </w:t>
      </w:r>
      <w:r>
        <w:t xml:space="preserve">	</w:t>
      </w:r>
      <w:r>
        <w:t xml:space="preserve">Atoui S, Chevance G, Romain AJ, Kingsbury C, Lachance JP, Bernard P.</w:t>
      </w:r>
      <w:r>
        <w:t xml:space="preserve"> </w:t>
      </w:r>
      <w:hyperlink r:id="rId114">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2021 June;57:101426.</w:t>
      </w:r>
      <w:r>
        <w:t xml:space="preserve"> </w:t>
      </w:r>
    </w:p>
    <w:bookmarkEnd w:id="115"/>
    <w:bookmarkStart w:id="117" w:name="X08db413d23244d678eac41a242ba20f89bf4e1a"/>
    <w:p>
      <w:pPr>
        <w:pStyle w:val="Literaturverzeichnis"/>
      </w:pPr>
      <w:r>
        <w:t xml:space="preserve">25.</w:t>
      </w:r>
      <w:r>
        <w:t xml:space="preserve"> </w:t>
      </w:r>
      <w:r>
        <w:t xml:space="preserve">	</w:t>
      </w:r>
      <w:r>
        <w:t xml:space="preserve">Huang WY, Ho RS, Tremblay MS, Wong SH.</w:t>
      </w:r>
      <w:r>
        <w:t xml:space="preserve"> </w:t>
      </w:r>
      <w:hyperlink r:id="rId116">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Sleep Research. 2021;30(6):e13378.</w:t>
      </w:r>
      <w:r>
        <w:t xml:space="preserve"> </w:t>
      </w:r>
    </w:p>
    <w:bookmarkEnd w:id="117"/>
    <w:bookmarkStart w:id="119" w:name="Xe4a823e06609d81c5c3561efa68d49e650fa9f0"/>
    <w:p>
      <w:pPr>
        <w:pStyle w:val="Literaturverzeichnis"/>
      </w:pPr>
      <w:r>
        <w:t xml:space="preserve">26.</w:t>
      </w:r>
      <w:r>
        <w:t xml:space="preserve"> </w:t>
      </w:r>
      <w:r>
        <w:t xml:space="preserve">	</w:t>
      </w:r>
      <w:r>
        <w:t xml:space="preserve">Fitton J, Nguyen DP, Lechat B, Scott H, Toson B, Manners J, Dunbar C, Sansom K, Pinilla L, Hudson A, Naik G, Vakulin A, Reynolds AC, Catcheside P, Escourrou P, Eckert DJ.</w:t>
      </w:r>
      <w:r>
        <w:t xml:space="preserve"> </w:t>
      </w:r>
      <w:hyperlink r:id="rId118">
        <w:r>
          <w:rPr>
            <w:rStyle w:val="Hyperlink"/>
          </w:rPr>
          <w:t xml:space="preserve">Bidirectional associations between sleep and physical activity investigated using large-scale objective monitoring data</w:t>
        </w:r>
      </w:hyperlink>
      <w:r>
        <w:t xml:space="preserve">. Communications Medicine. 2025 Dec;5(1):519.</w:t>
      </w:r>
      <w:r>
        <w:t xml:space="preserve"> </w:t>
      </w:r>
    </w:p>
    <w:bookmarkEnd w:id="119"/>
    <w:bookmarkStart w:id="121" w:name="ref-leotaSleepDurationTiming2025"/>
    <w:p>
      <w:pPr>
        <w:pStyle w:val="Literaturverzeichnis"/>
      </w:pPr>
      <w:r>
        <w:t xml:space="preserve">27.</w:t>
      </w:r>
      <w:r>
        <w:t xml:space="preserve"> </w:t>
      </w:r>
      <w:r>
        <w:t xml:space="preserve">	</w:t>
      </w:r>
      <w:r>
        <w:t xml:space="preserve">Leota J, Czeisler MÉ, Le F, Presby DM, Capodilupo ER, Scott H, Wiley JF, Drummond SPA, Rajaratnam SMW, Facer-Childs ER.</w:t>
      </w:r>
      <w:r>
        <w:t xml:space="preserve"> </w:t>
      </w:r>
      <w:hyperlink r:id="rId120">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 Proceedings of the National Academy of Sciences. 2025 July;122(27):e2420846122.</w:t>
      </w:r>
      <w:r>
        <w:t xml:space="preserve"> </w:t>
      </w:r>
    </w:p>
    <w:bookmarkEnd w:id="121"/>
    <w:bookmarkStart w:id="123" w:name="ref-aielloEffectExerciseTraining2016"/>
    <w:p>
      <w:pPr>
        <w:pStyle w:val="Literaturverzeichnis"/>
      </w:pPr>
      <w:r>
        <w:t xml:space="preserve">28.</w:t>
      </w:r>
      <w:r>
        <w:t xml:space="preserve"> </w:t>
      </w:r>
      <w:r>
        <w:t xml:space="preserve">	</w:t>
      </w:r>
      <w:r>
        <w:t xml:space="preserve">Aiello KD, Caughey WG, Nelluri B, Sharma A, Mookadam F, Mookadam M.</w:t>
      </w:r>
      <w:r>
        <w:t xml:space="preserve"> </w:t>
      </w:r>
      <w:hyperlink r:id="rId122">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123"/>
    <w:bookmarkStart w:id="125" w:name="ref-bannoExerciseCanImprove2018"/>
    <w:p>
      <w:pPr>
        <w:pStyle w:val="Literaturverzeichnis"/>
      </w:pPr>
      <w:r>
        <w:t xml:space="preserve">29.</w:t>
      </w:r>
      <w:r>
        <w:t xml:space="preserve"> </w:t>
      </w:r>
      <w:r>
        <w:t xml:space="preserve">	</w:t>
      </w:r>
      <w:r>
        <w:t xml:space="preserve">Banno M, Harada Y, Taniguchi M, Tobita R, Tsujimoto H, Tsujimoto Y, Kataoka Y, Noda A.</w:t>
      </w:r>
      <w:r>
        <w:t xml:space="preserve"> </w:t>
      </w:r>
      <w:hyperlink r:id="rId124">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125"/>
    <w:bookmarkStart w:id="127" w:name="ref-bartelProtectiveRiskFactors2015"/>
    <w:p>
      <w:pPr>
        <w:pStyle w:val="Literaturverzeichnis"/>
      </w:pPr>
      <w:r>
        <w:t xml:space="preserve">30.</w:t>
      </w:r>
      <w:r>
        <w:t xml:space="preserve"> </w:t>
      </w:r>
      <w:r>
        <w:t xml:space="preserve">	</w:t>
      </w:r>
      <w:r>
        <w:t xml:space="preserve">Bartel KA, Gradisar M, Williamson P.</w:t>
      </w:r>
      <w:r>
        <w:t xml:space="preserve"> </w:t>
      </w:r>
      <w:hyperlink r:id="rId126">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June;21:72–85.</w:t>
      </w:r>
      <w:r>
        <w:t xml:space="preserve"> </w:t>
      </w:r>
    </w:p>
    <w:bookmarkEnd w:id="127"/>
    <w:bookmarkStart w:id="129" w:name="ref-edwardsAssessingImpactDiet2019"/>
    <w:p>
      <w:pPr>
        <w:pStyle w:val="Literaturverzeichnis"/>
      </w:pPr>
      <w:r>
        <w:t xml:space="preserve">31.</w:t>
      </w:r>
      <w:r>
        <w:t xml:space="preserve"> </w:t>
      </w:r>
      <w:r>
        <w:t xml:space="preserve">	</w:t>
      </w:r>
      <w:r>
        <w:t xml:space="preserve">Edwards BA, Bristow C, O’Driscoll DM, Wong A-M, Ghazi L, Davidson ZE, Young A, Truby H, Haines TP, Hamilton GS.</w:t>
      </w:r>
      <w:r>
        <w:t xml:space="preserve"> </w:t>
      </w:r>
      <w:hyperlink r:id="rId128">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129"/>
    <w:bookmarkStart w:id="131" w:name="ref-gaoShorttermEfficacyMinimally2019"/>
    <w:p>
      <w:pPr>
        <w:pStyle w:val="Literaturverzeichnis"/>
      </w:pPr>
      <w:r>
        <w:t xml:space="preserve">32.</w:t>
      </w:r>
      <w:r>
        <w:t xml:space="preserve"> </w:t>
      </w:r>
      <w:r>
        <w:t xml:space="preserve">	</w:t>
      </w:r>
      <w:r>
        <w:t xml:space="preserve">Gao Y-N, Wu Y-C, Lin S-Y, Chang JZ-C, Tu Y-K.</w:t>
      </w:r>
      <w:r>
        <w:t xml:space="preserve"> </w:t>
      </w:r>
      <w:hyperlink r:id="rId130">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31"/>
    <w:bookmarkStart w:id="133" w:name="ref-iftikharComparativeEfficacyCPAP2017"/>
    <w:p>
      <w:pPr>
        <w:pStyle w:val="Literaturverzeichnis"/>
      </w:pPr>
      <w:r>
        <w:t xml:space="preserve">33.</w:t>
      </w:r>
      <w:r>
        <w:t xml:space="preserve"> </w:t>
      </w:r>
      <w:r>
        <w:t xml:space="preserve">	</w:t>
      </w:r>
      <w:r>
        <w:t xml:space="preserve">Iftikhar IH, Bittencourt L, Youngstedt SD, Ayas N, Cistulli P, Schwab R, Durkin MW, Magalang UJ.</w:t>
      </w:r>
      <w:r>
        <w:t xml:space="preserve"> </w:t>
      </w:r>
      <w:hyperlink r:id="rId132">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33"/>
    <w:bookmarkStart w:id="135" w:name="ref-iftikharEffectsExerciseTraining2014"/>
    <w:p>
      <w:pPr>
        <w:pStyle w:val="Literaturverzeichnis"/>
      </w:pPr>
      <w:r>
        <w:t xml:space="preserve">34.</w:t>
      </w:r>
      <w:r>
        <w:t xml:space="preserve"> </w:t>
      </w:r>
      <w:r>
        <w:t xml:space="preserve">	</w:t>
      </w:r>
      <w:r>
        <w:t xml:space="preserve">Iftikhar IH, Kline CE, Youngstedt SD.</w:t>
      </w:r>
      <w:r>
        <w:t xml:space="preserve"> </w:t>
      </w:r>
      <w:hyperlink r:id="rId134">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35"/>
    <w:bookmarkStart w:id="137" w:name="ref-janssenAssociationsScreenTime2020"/>
    <w:p>
      <w:pPr>
        <w:pStyle w:val="Literaturverzeichnis"/>
      </w:pPr>
      <w:r>
        <w:t xml:space="preserve">35.</w:t>
      </w:r>
      <w:r>
        <w:t xml:space="preserve"> </w:t>
      </w:r>
      <w:r>
        <w:t xml:space="preserve">	</w:t>
      </w:r>
      <w:r>
        <w:t xml:space="preserve">Janssen X, Martin A, Hughes AR, Hill CM, Kotronoulas G, Hesketh KR.</w:t>
      </w:r>
      <w:r>
        <w:t xml:space="preserve"> </w:t>
      </w:r>
      <w:hyperlink r:id="rId136">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37"/>
    <w:bookmarkStart w:id="139" w:name="ref-ledermanDoesExerciseImprove2019"/>
    <w:p>
      <w:pPr>
        <w:pStyle w:val="Literaturverzeichnis"/>
      </w:pPr>
      <w:r>
        <w:t xml:space="preserve">36.</w:t>
      </w:r>
      <w:r>
        <w:t xml:space="preserve"> </w:t>
      </w:r>
      <w:r>
        <w:t xml:space="preserve">	</w:t>
      </w:r>
      <w:r>
        <w:t xml:space="preserve">Lederman O, Ward PB, Firth J, Maloney C, Carney R, Vancampfort D, Stubbs B, Kalucy M, Rosenbaum S.</w:t>
      </w:r>
      <w:r>
        <w:t xml:space="preserve"> </w:t>
      </w:r>
      <w:hyperlink r:id="rId138">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39"/>
    <w:bookmarkStart w:id="141" w:name="ref-lins-filhoEffectExerciseTraining2020"/>
    <w:p>
      <w:pPr>
        <w:pStyle w:val="Literaturverzeichnis"/>
      </w:pPr>
      <w:r>
        <w:t xml:space="preserve">37.</w:t>
      </w:r>
      <w:r>
        <w:t xml:space="preserve"> </w:t>
      </w:r>
      <w:r>
        <w:t xml:space="preserve">	</w:t>
      </w:r>
      <w:r>
        <w:t xml:space="preserve">Lins-Filho OL, Pedrosa RP, Gomes JML, Dantas Moraes SL, Vasconcelos BCE, Lemos CAA, Pellizzer EP.</w:t>
      </w:r>
      <w:r>
        <w:t xml:space="preserve"> </w:t>
      </w:r>
      <w:hyperlink r:id="rId140">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41"/>
    <w:bookmarkStart w:id="143" w:name="ref-mendelsonObstructiveSleepApnea2018"/>
    <w:p>
      <w:pPr>
        <w:pStyle w:val="Literaturverzeichnis"/>
      </w:pPr>
      <w:r>
        <w:t xml:space="preserve">38.</w:t>
      </w:r>
      <w:r>
        <w:t xml:space="preserve"> </w:t>
      </w:r>
      <w:r>
        <w:t xml:space="preserve">	</w:t>
      </w:r>
      <w:r>
        <w:t xml:space="preserve">Mendelson M, Bailly S, Marillier M, Flore P, Borel JC, Vivodtzev I, Doutreleau S, Verges S, Tamisier R, Pépin J-L.</w:t>
      </w:r>
      <w:r>
        <w:t xml:space="preserve"> </w:t>
      </w:r>
      <w:hyperlink r:id="rId142">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43"/>
    <w:bookmarkStart w:id="145" w:name="ref-rubio-ariasEffectExerciseSleep2017"/>
    <w:p>
      <w:pPr>
        <w:pStyle w:val="Literaturverzeichnis"/>
      </w:pPr>
      <w:r>
        <w:t xml:space="preserve">39.</w:t>
      </w:r>
      <w:r>
        <w:t xml:space="preserve"> </w:t>
      </w:r>
      <w:r>
        <w:t xml:space="preserve">	</w:t>
      </w:r>
      <w:r>
        <w:t xml:space="preserve">Rubio-Arias JÁ, Marín-Cascales E, Ramos-Campo DJ, Hernandez AV, Pérez-López FR.</w:t>
      </w:r>
      <w:r>
        <w:t xml:space="preserve"> </w:t>
      </w:r>
      <w:hyperlink r:id="rId144">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45"/>
    <w:bookmarkStart w:id="147" w:name="ref-stutzEffectsEveningExercise2019"/>
    <w:p>
      <w:pPr>
        <w:pStyle w:val="Literaturverzeichnis"/>
      </w:pPr>
      <w:r>
        <w:t xml:space="preserve">40.</w:t>
      </w:r>
      <w:r>
        <w:t xml:space="preserve"> </w:t>
      </w:r>
      <w:r>
        <w:t xml:space="preserve">	</w:t>
      </w:r>
      <w:r>
        <w:t xml:space="preserve">Stutz J, Eiholzer R, Spengler CM.</w:t>
      </w:r>
      <w:r>
        <w:t xml:space="preserve"> </w:t>
      </w:r>
      <w:hyperlink r:id="rId146">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47"/>
    <w:bookmarkStart w:id="149" w:name="ref-yangEffectsExerciseSleep2020"/>
    <w:p>
      <w:pPr>
        <w:pStyle w:val="Literaturverzeichnis"/>
      </w:pPr>
      <w:r>
        <w:t xml:space="preserve">41.</w:t>
      </w:r>
      <w:r>
        <w:t xml:space="preserve"> </w:t>
      </w:r>
      <w:r>
        <w:t xml:space="preserve">	</w:t>
      </w:r>
      <w:r>
        <w:t xml:space="preserve">Yang S-Y, Lan S-J, Yen Y-Y, Hsieh Y-P, Kung P-T, Lan S-H.</w:t>
      </w:r>
      <w:r>
        <w:t xml:space="preserve"> </w:t>
      </w:r>
      <w:hyperlink r:id="rId148">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w:t>
        </w:r>
        <w:r>
          <w:rPr>
            <w:rStyle w:val="Hyperlink"/>
          </w:rPr>
          <w:t xml:space="preserve">-analysis of</w:t>
        </w:r>
        <w:r>
          <w:rPr>
            <w:rStyle w:val="Hyperlink"/>
          </w:rPr>
          <w:t xml:space="preserve"> </w:t>
        </w:r>
        <w:r>
          <w:rPr>
            <w:rStyle w:val="Hyperlink"/>
          </w:rPr>
          <w:t xml:space="preserve">Randomized Controlled Trials</w:t>
        </w:r>
      </w:hyperlink>
      <w:r>
        <w:t xml:space="preserve">. Asian Nursing Research. 2020;14(1):1–10.</w:t>
      </w:r>
      <w:r>
        <w:t xml:space="preserve"> </w:t>
      </w:r>
    </w:p>
    <w:bookmarkEnd w:id="149"/>
    <w:bookmarkStart w:id="151" w:name="ref-yangExerciseTrainingImproves2012"/>
    <w:p>
      <w:pPr>
        <w:pStyle w:val="Literaturverzeichnis"/>
      </w:pPr>
      <w:r>
        <w:t xml:space="preserve">42.</w:t>
      </w:r>
      <w:r>
        <w:t xml:space="preserve"> </w:t>
      </w:r>
      <w:r>
        <w:t xml:space="preserve">	</w:t>
      </w:r>
      <w:r>
        <w:t xml:space="preserve">Yang P-Y, Ho K-H, Chen H-C, Chien M-Y.</w:t>
      </w:r>
      <w:r>
        <w:t xml:space="preserve"> </w:t>
      </w:r>
      <w:hyperlink r:id="rId150">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51"/>
    <w:bookmarkStart w:id="153" w:name="ref-yangSedentaryBehaviorSleep2017"/>
    <w:p>
      <w:pPr>
        <w:pStyle w:val="Literaturverzeichnis"/>
      </w:pPr>
      <w:r>
        <w:t xml:space="preserve">43.</w:t>
      </w:r>
      <w:r>
        <w:t xml:space="preserve"> </w:t>
      </w:r>
      <w:r>
        <w:t xml:space="preserve">	</w:t>
      </w:r>
      <w:r>
        <w:t xml:space="preserve">Yang Y, Shin JC, Li D, An R.</w:t>
      </w:r>
      <w:r>
        <w:t xml:space="preserve"> </w:t>
      </w:r>
      <w:hyperlink r:id="rId152">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53"/>
    <w:bookmarkStart w:id="155" w:name="ref-rileyUsingIndividualParticipant2023"/>
    <w:p>
      <w:pPr>
        <w:pStyle w:val="Literaturverzeichnis"/>
      </w:pPr>
      <w:r>
        <w:t xml:space="preserve">44.</w:t>
      </w:r>
      <w:r>
        <w:t xml:space="preserve"> </w:t>
      </w:r>
      <w:r>
        <w:t xml:space="preserve">	</w:t>
      </w:r>
      <w:r>
        <w:t xml:space="preserve">Riley RD, Dias S, Donegan S, Tierney JF, Stewart LA, Efthimiou O, Phillippo DM.</w:t>
      </w:r>
      <w:r>
        <w:t xml:space="preserve"> </w:t>
      </w:r>
      <w:hyperlink r:id="rId154">
        <w:r>
          <w:rPr>
            <w:rStyle w:val="Hyperlink"/>
          </w:rPr>
          <w:t xml:space="preserve">Using individual participant data to improve network meta-analysis projects</w:t>
        </w:r>
      </w:hyperlink>
      <w:r>
        <w:t xml:space="preserve">. BMJ Evidence-Based Medicine. 2023 June;28(3):197–203.</w:t>
      </w:r>
      <w:r>
        <w:t xml:space="preserve"> </w:t>
      </w:r>
    </w:p>
    <w:bookmarkEnd w:id="155"/>
    <w:bookmarkStart w:id="157" w:name="Xa0cbe05eccacccf17bde02d7669b1fb01f31efd"/>
    <w:p>
      <w:pPr>
        <w:pStyle w:val="Literaturverzeichnis"/>
      </w:pPr>
      <w:r>
        <w:t xml:space="preserve">45.</w:t>
      </w:r>
      <w:r>
        <w:t xml:space="preserve"> </w:t>
      </w:r>
      <w:r>
        <w:t xml:space="preserve">	</w:t>
      </w:r>
      <w:r>
        <w:t xml:space="preserve">Ioannidis J.</w:t>
      </w:r>
      <w:r>
        <w:t xml:space="preserve"> </w:t>
      </w:r>
      <w:hyperlink r:id="rId156">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57"/>
    <w:bookmarkStart w:id="159" w:name="X48b2c7764fd235bdd97ded4effee72a4c88fe29"/>
    <w:p>
      <w:pPr>
        <w:pStyle w:val="Literaturverzeichnis"/>
      </w:pPr>
      <w:r>
        <w:t xml:space="preserve">46.</w:t>
      </w:r>
      <w:r>
        <w:t xml:space="preserve"> </w:t>
      </w:r>
      <w:r>
        <w:t xml:space="preserve">	</w:t>
      </w:r>
      <w:r>
        <w:t xml:space="preserve">Hinde S, Spackman E.</w:t>
      </w:r>
      <w:r>
        <w:t xml:space="preserve"> </w:t>
      </w:r>
      <w:hyperlink r:id="rId158">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59"/>
    <w:bookmarkStart w:id="161" w:name="ref-miguelesGGIRResearchCommunity2019"/>
    <w:p>
      <w:pPr>
        <w:pStyle w:val="Literaturverzeichnis"/>
      </w:pPr>
      <w:r>
        <w:t xml:space="preserve">47.</w:t>
      </w:r>
      <w:r>
        <w:t xml:space="preserve"> </w:t>
      </w:r>
      <w:r>
        <w:t xml:space="preserve">	</w:t>
      </w:r>
      <w:r>
        <w:t xml:space="preserve">Migueles JH, Rowlands AV, Huber F, Sabia S, Van Hees VT.</w:t>
      </w:r>
      <w:r>
        <w:t xml:space="preserve"> </w:t>
      </w:r>
      <w:hyperlink r:id="rId160">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Sept;2(3):188–96.</w:t>
      </w:r>
      <w:r>
        <w:t xml:space="preserve"> </w:t>
      </w:r>
    </w:p>
    <w:bookmarkEnd w:id="161"/>
    <w:bookmarkStart w:id="163" w:name="ref-vanheesEstimatingSleepParameters2018"/>
    <w:p>
      <w:pPr>
        <w:pStyle w:val="Literaturverzeichnis"/>
      </w:pPr>
      <w:r>
        <w:t xml:space="preserve">48.</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62">
        <w:r>
          <w:rPr>
            <w:rStyle w:val="Hyperlink"/>
          </w:rPr>
          <w:t xml:space="preserve">Estimating sleep parameters using an accelerometer without sleep diary</w:t>
        </w:r>
      </w:hyperlink>
      <w:r>
        <w:t xml:space="preserve">. Scientific Reports. 2018 Aug;8(1).</w:t>
      </w:r>
      <w:r>
        <w:t xml:space="preserve"> </w:t>
      </w:r>
    </w:p>
    <w:bookmarkEnd w:id="163"/>
    <w:bookmarkStart w:id="165" w:name="X52b7e7b03e85d368e668eadc670bd2cc68a9aa2"/>
    <w:p>
      <w:pPr>
        <w:pStyle w:val="Literaturverzeichnis"/>
      </w:pPr>
      <w:r>
        <w:t xml:space="preserve">49.</w:t>
      </w:r>
      <w:r>
        <w:t xml:space="preserve"> </w:t>
      </w:r>
      <w:r>
        <w:t xml:space="preserve">	</w:t>
      </w:r>
      <w:r>
        <w:t xml:space="preserve">Cepni AB, Burkart S, Zhu X, White J, Finnegan O, Nelakuditi S, Beets M, Brown Iii D, Pate R, Welk G, De Zambotti M, Ghosal R, Wang Y, Armstrong B, Adams E, Van Hees V, Glenn Weaver R.</w:t>
      </w:r>
      <w:r>
        <w:t xml:space="preserve"> </w:t>
      </w:r>
      <w:hyperlink r:id="rId164">
        <w:r>
          <w:rPr>
            <w:rStyle w:val="Hyperlink"/>
          </w:rPr>
          <w:t xml:space="preserve">Evaluating the performance of open-source and proprietary processing of actigraphy sleep estimation in children with suspected sleep disorders: A comparison with polysomnography</w:t>
        </w:r>
      </w:hyperlink>
      <w:r>
        <w:t xml:space="preserve">. SLEEP. 2025 Apr;48(4):zsae267.</w:t>
      </w:r>
      <w:r>
        <w:t xml:space="preserve"> </w:t>
      </w:r>
    </w:p>
    <w:bookmarkEnd w:id="165"/>
    <w:bookmarkStart w:id="167" w:name="ref-chenPerformanceAutomatedSleep2026"/>
    <w:p>
      <w:pPr>
        <w:pStyle w:val="Literaturverzeichnis"/>
      </w:pPr>
      <w:r>
        <w:t xml:space="preserve">50.</w:t>
      </w:r>
      <w:r>
        <w:t xml:space="preserve"> </w:t>
      </w:r>
      <w:r>
        <w:t xml:space="preserve">	</w:t>
      </w:r>
      <w:r>
        <w:t xml:space="preserve">Chen PW, Jansen EC, Cielo CM, Williamson AA, Banker M, Kaye M, Song PXK, Peterson KE, Cantoral A, Téllez-Rojo MM, Goldstein C, Zanna K, Sano A, Moreno JP, Kalkwarf H, Zemel BS, Mitchell JA.</w:t>
      </w:r>
      <w:r>
        <w:t xml:space="preserve"> </w:t>
      </w:r>
      <w:hyperlink r:id="rId166">
        <w:r>
          <w:rPr>
            <w:rStyle w:val="Hyperlink"/>
          </w:rPr>
          <w:t xml:space="preserve">Performance of an automated sleep scoring approach for actigraphy data in children and adolescents</w:t>
        </w:r>
      </w:hyperlink>
      <w:r>
        <w:t xml:space="preserve">. SLEEP. 2026 Feb;49(2):zsaf282.</w:t>
      </w:r>
      <w:r>
        <w:t xml:space="preserve"> </w:t>
      </w:r>
    </w:p>
    <w:bookmarkEnd w:id="167"/>
    <w:bookmarkStart w:id="169" w:name="Xbe20fa38378946dc0b1773dd99972809ef5fd5a"/>
    <w:p>
      <w:pPr>
        <w:pStyle w:val="Literaturverzeichnis"/>
      </w:pPr>
      <w:r>
        <w:t xml:space="preserve">51.</w:t>
      </w:r>
      <w:r>
        <w:t xml:space="preserve"> </w:t>
      </w:r>
      <w:r>
        <w:t xml:space="preserve">	</w:t>
      </w:r>
      <w:r>
        <w:t xml:space="preserve">Rowlands AV, Plekhanova T, Yates T, Mirkes EM, Davies M, Khunti K, Edwardson CL.</w:t>
      </w:r>
      <w:r>
        <w:t xml:space="preserve"> </w:t>
      </w:r>
      <w:hyperlink r:id="rId168">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Sept;2(3):131–42.</w:t>
      </w:r>
      <w:r>
        <w:t xml:space="preserve"> </w:t>
      </w:r>
    </w:p>
    <w:bookmarkEnd w:id="169"/>
    <w:bookmarkStart w:id="171" w:name="X604bed0f69fd81ef683c99aa873c9b58e271a81"/>
    <w:p>
      <w:pPr>
        <w:pStyle w:val="Literaturverzeichnis"/>
      </w:pPr>
      <w:r>
        <w:t xml:space="preserve">52.</w:t>
      </w:r>
      <w:r>
        <w:t xml:space="preserve"> </w:t>
      </w:r>
      <w:r>
        <w:t xml:space="preserve">	</w:t>
      </w:r>
      <w:r>
        <w:t xml:space="preserve">Rowlands AV.</w:t>
      </w:r>
      <w:r>
        <w:t xml:space="preserve"> </w:t>
      </w:r>
      <w:hyperlink r:id="rId170">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71"/>
    <w:bookmarkStart w:id="173" w:name="X43174f17c57b130f8bcfaa5ce76066a2d121af0"/>
    <w:p>
      <w:pPr>
        <w:pStyle w:val="Literaturverzeichnis"/>
      </w:pPr>
      <w:r>
        <w:t xml:space="preserve">53.</w:t>
      </w:r>
      <w:r>
        <w:t xml:space="preserve"> </w:t>
      </w:r>
      <w:r>
        <w:t xml:space="preserve">	</w:t>
      </w:r>
      <w:r>
        <w:t xml:space="preserve">Rowlands AV, Dawkins NP, Maylor B, Edwardson CL, Fairclough SJ, Davies MJ, Harrington DM, Khunti K, Yates T.</w:t>
      </w:r>
      <w:r>
        <w:t xml:space="preserve"> </w:t>
      </w:r>
      <w:hyperlink r:id="rId172">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73"/>
    <w:bookmarkStart w:id="175" w:name="ref-rowlandsDatadrivenMeaningfulEasy2019"/>
    <w:p>
      <w:pPr>
        <w:pStyle w:val="Literaturverzeichnis"/>
      </w:pPr>
      <w:r>
        <w:t xml:space="preserve">54.</w:t>
      </w:r>
      <w:r>
        <w:t xml:space="preserve"> </w:t>
      </w:r>
      <w:r>
        <w:t xml:space="preserve">	</w:t>
      </w:r>
      <w:r>
        <w:t xml:space="preserve">Rowlands AV, Sherar LB, Fairclough SJ, Yates T, Edwardson CL, Harrington DM, Davies MJ, Munir F, Khunti K, Stiles VH.</w:t>
      </w:r>
      <w:r>
        <w:t xml:space="preserve"> </w:t>
      </w:r>
      <w:hyperlink r:id="rId174">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75"/>
    <w:bookmarkStart w:id="177" w:name="ref-gabaHowShortSleepers2020"/>
    <w:p>
      <w:pPr>
        <w:pStyle w:val="Literaturverzeichnis"/>
      </w:pPr>
      <w:r>
        <w:t xml:space="preserve">55.</w:t>
      </w:r>
      <w:r>
        <w:t xml:space="preserve"> </w:t>
      </w:r>
      <w:r>
        <w:t xml:space="preserve">	</w:t>
      </w:r>
      <w:r>
        <w:t xml:space="preserve">Gába A, Dygrýn J, Štefelová N, Rubín L, Hron K, Jakubec L, Pedišić Ž.</w:t>
      </w:r>
      <w:r>
        <w:t xml:space="preserve"> </w:t>
      </w:r>
      <w:hyperlink r:id="rId176">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77"/>
    <w:bookmarkStart w:id="179" w:name="ref-vanheesSeparatingMovementGravity2013"/>
    <w:p>
      <w:pPr>
        <w:pStyle w:val="Literaturverzeichnis"/>
      </w:pPr>
      <w:r>
        <w:t xml:space="preserve">56.</w:t>
      </w:r>
      <w:r>
        <w:t xml:space="preserve"> </w:t>
      </w:r>
      <w:r>
        <w:t xml:space="preserve">	</w:t>
      </w:r>
      <w:r>
        <w:t xml:space="preserve">Van Hees VT, Gorzelniak L, Dean León EC, Eder M, Pias M, Taherian S, Ekelund U, Renström F, Franks PW, Horsch A, Brage S.</w:t>
      </w:r>
      <w:r>
        <w:t xml:space="preserve"> </w:t>
      </w:r>
      <w:hyperlink r:id="rId178">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79"/>
    <w:bookmarkStart w:id="181" w:name="X022f3831132bc70b1c35b8637c58a02b68d7942"/>
    <w:p>
      <w:pPr>
        <w:pStyle w:val="Literaturverzeichnis"/>
      </w:pPr>
      <w:r>
        <w:t xml:space="preserve">57.</w:t>
      </w:r>
      <w:r>
        <w:t xml:space="preserve"> </w:t>
      </w:r>
      <w:r>
        <w:t xml:space="preserve">	</w:t>
      </w:r>
      <w:r>
        <w:t xml:space="preserve">Weston SJ, Ritchie SJ, Rohrer JM, Przybylski AK.</w:t>
      </w:r>
      <w:r>
        <w:t xml:space="preserve"> </w:t>
      </w:r>
      <w:hyperlink r:id="rId180">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Sept;2(3):214–27.</w:t>
      </w:r>
      <w:r>
        <w:t xml:space="preserve"> </w:t>
      </w:r>
    </w:p>
    <w:bookmarkEnd w:id="181"/>
    <w:bookmarkStart w:id="183" w:name="ref-maccounBlindAnalysisHide2015"/>
    <w:p>
      <w:pPr>
        <w:pStyle w:val="Literaturverzeichnis"/>
      </w:pPr>
      <w:r>
        <w:t xml:space="preserve">58.</w:t>
      </w:r>
      <w:r>
        <w:t xml:space="preserve"> </w:t>
      </w:r>
      <w:r>
        <w:t xml:space="preserve">	</w:t>
      </w:r>
      <w:r>
        <w:t xml:space="preserve">MacCoun R, Perlmutter S.</w:t>
      </w:r>
      <w:r>
        <w:t xml:space="preserve"> </w:t>
      </w:r>
      <w:hyperlink r:id="rId182">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83"/>
    <w:bookmarkStart w:id="185" w:name="ref-buurenMiceMultivariateImputation2011"/>
    <w:p>
      <w:pPr>
        <w:pStyle w:val="Literaturverzeichnis"/>
      </w:pPr>
      <w:r>
        <w:t xml:space="preserve">59.</w:t>
      </w:r>
      <w:r>
        <w:t xml:space="preserve"> </w:t>
      </w:r>
      <w:r>
        <w:t xml:space="preserve">	</w:t>
      </w:r>
      <w:r>
        <w:t xml:space="preserve">Buuren SV, Groothuis-Oudshoorn K.</w:t>
      </w:r>
      <w:r>
        <w:t xml:space="preserve"> </w:t>
      </w:r>
      <w:hyperlink r:id="rId184">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85"/>
    <w:bookmarkStart w:id="187" w:name="ref-curranIntegrativeDataAnalysis2009"/>
    <w:p>
      <w:pPr>
        <w:pStyle w:val="Literaturverzeichnis"/>
      </w:pPr>
      <w:r>
        <w:t xml:space="preserve">60.</w:t>
      </w:r>
      <w:r>
        <w:t xml:space="preserve"> </w:t>
      </w:r>
      <w:r>
        <w:t xml:space="preserve">	</w:t>
      </w:r>
      <w:r>
        <w:t xml:space="preserve">Curran PJ, Hussong AM.</w:t>
      </w:r>
      <w:r>
        <w:t xml:space="preserve"> </w:t>
      </w:r>
      <w:hyperlink r:id="rId186">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87"/>
    <w:bookmarkStart w:id="189" w:name="X6eb1f349e9b4e02bcd323b968d94a1f87e6d048"/>
    <w:p>
      <w:pPr>
        <w:pStyle w:val="Literaturverzeichnis"/>
      </w:pPr>
      <w:r>
        <w:t xml:space="preserve">61.</w:t>
      </w:r>
      <w:r>
        <w:t xml:space="preserve"> </w:t>
      </w:r>
      <w:r>
        <w:t xml:space="preserve">	</w:t>
      </w:r>
      <w:r>
        <w:t xml:space="preserve">Pham H, Svensson T, Chung U, Svensson AK.</w:t>
      </w:r>
      <w:r>
        <w:t xml:space="preserve"> </w:t>
      </w:r>
      <w:hyperlink r:id="rId188">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 npj Aging. 2025 May;11(1):36.</w:t>
      </w:r>
      <w:r>
        <w:t xml:space="preserve"> </w:t>
      </w:r>
    </w:p>
    <w:bookmarkEnd w:id="189"/>
    <w:bookmarkStart w:id="191" w:name="ref-korkutataImpactExerciseSleep2025"/>
    <w:p>
      <w:pPr>
        <w:pStyle w:val="Literaturverzeichnis"/>
      </w:pPr>
      <w:r>
        <w:t xml:space="preserve">62.</w:t>
      </w:r>
      <w:r>
        <w:t xml:space="preserve"> </w:t>
      </w:r>
      <w:r>
        <w:t xml:space="preserve">	</w:t>
      </w:r>
      <w:r>
        <w:t xml:space="preserve">Korkutata A, Korkutata M, Lazarus M.</w:t>
      </w:r>
      <w:r>
        <w:t xml:space="preserve"> </w:t>
      </w:r>
      <w:hyperlink r:id="rId190">
        <w:r>
          <w:rPr>
            <w:rStyle w:val="Hyperlink"/>
          </w:rPr>
          <w:t xml:space="preserve">The impact of exercise on sleep and sleep disorders</w:t>
        </w:r>
      </w:hyperlink>
      <w:r>
        <w:t xml:space="preserve">. npj Biological Timing and Sleep. 2025 Feb;2(1):5.</w:t>
      </w:r>
      <w:r>
        <w:t xml:space="preserve"> </w:t>
      </w:r>
    </w:p>
    <w:bookmarkEnd w:id="191"/>
    <w:bookmarkStart w:id="193" w:name="ref-windredSleepRegularityStronger2024"/>
    <w:p>
      <w:pPr>
        <w:pStyle w:val="Literaturverzeichnis"/>
      </w:pPr>
      <w:r>
        <w:t xml:space="preserve">63.</w:t>
      </w:r>
      <w:r>
        <w:t xml:space="preserve"> </w:t>
      </w:r>
      <w:r>
        <w:t xml:space="preserve">	</w:t>
      </w:r>
      <w:r>
        <w:t xml:space="preserve">Windred DP, Burns AC, Lane JM, Saxena R, Rutter MK, Cain SW, Phillips AJK.</w:t>
      </w:r>
      <w:r>
        <w:t xml:space="preserve"> </w:t>
      </w:r>
      <w:hyperlink r:id="rId192">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193"/>
    <w:bookmarkStart w:id="195" w:name="ref-chaputSleepRegularityMajor2025"/>
    <w:p>
      <w:pPr>
        <w:pStyle w:val="Literaturverzeichnis"/>
      </w:pPr>
      <w:r>
        <w:t xml:space="preserve">64.</w:t>
      </w:r>
      <w:r>
        <w:t xml:space="preserve"> </w:t>
      </w:r>
      <w:r>
        <w:t xml:space="preserve">	</w:t>
      </w:r>
      <w:r>
        <w:t xml:space="preserve">Chaput JP, Biswas RK, Ahmadi M, Cistulli PA, Rajaratnam SMW, Bian W, St-Onge MP, Stamatakis E.</w:t>
      </w:r>
      <w:r>
        <w:t xml:space="preserve"> </w:t>
      </w:r>
      <w:hyperlink r:id="rId194">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 Journal of Epidemiology and Community Health. 2025 Apr;79(4):257–64.</w:t>
      </w:r>
      <w:r>
        <w:t xml:space="preserve"> </w:t>
      </w:r>
    </w:p>
    <w:bookmarkEnd w:id="195"/>
    <w:bookmarkStart w:id="197" w:name="ref-liRegularSleepPatterns2025"/>
    <w:p>
      <w:pPr>
        <w:pStyle w:val="Literaturverzeichnis"/>
      </w:pPr>
      <w:r>
        <w:t xml:space="preserve">65.</w:t>
      </w:r>
      <w:r>
        <w:t xml:space="preserve"> </w:t>
      </w:r>
      <w:r>
        <w:t xml:space="preserve">	</w:t>
      </w:r>
      <w:r>
        <w:t xml:space="preserve">Li DR, Li ZX, Li MH, Liu BQ, Fang Q, Liu JC, Zheng WR, Gong TT, Gao SY, Wu QJ.</w:t>
      </w:r>
      <w:r>
        <w:t xml:space="preserve"> </w:t>
      </w:r>
      <w:hyperlink r:id="rId196">
        <w:r>
          <w:rPr>
            <w:rStyle w:val="Hyperlink"/>
          </w:rPr>
          <w:t xml:space="preserve">Regular sleep patterns, not just duration, critical for mental health: Association of accelerometer-derived sleep regularity with incident depression and anxiety</w:t>
        </w:r>
      </w:hyperlink>
      <w:r>
        <w:t xml:space="preserve">. Psychological Medicine. 2025;55:e239.</w:t>
      </w:r>
      <w:r>
        <w:t xml:space="preserve"> </w:t>
      </w:r>
    </w:p>
    <w:bookmarkEnd w:id="197"/>
    <w:bookmarkStart w:id="199" w:name="X3dcefcfecd3e560d9d4104fca06e135b23ac92e"/>
    <w:p>
      <w:pPr>
        <w:pStyle w:val="Literaturverzeichnis"/>
      </w:pPr>
      <w:r>
        <w:t xml:space="preserve">66.</w:t>
      </w:r>
      <w:r>
        <w:t xml:space="preserve"> </w:t>
      </w:r>
      <w:r>
        <w:t xml:space="preserve">	</w:t>
      </w:r>
      <w:r>
        <w:t xml:space="preserve">Bian W, Ahmadi MN, Biswas RK, Blodgett JM, Atkin AJ, Chan HW, Del Pozo Cruz B, Suorsa K, Bakker EA, Pulsford RM, Mielke GI, Johansson PJ, Hettiarachchi P, Koemel NA, Thijssen DHJ, Stenholm S, Mishra GD, Teixeira-Pinto A, Rangul V, Sherar LB, Ekelund U, Hughes AD, Lee IM, Cistulli PA, Holtermann A, Koster A, Hamer M, Stamatakis E, Savelberg H, De Galan B, Van De Kallen C, Eijsvogels TMH.</w:t>
      </w:r>
      <w:r>
        <w:t xml:space="preserve"> </w:t>
      </w:r>
      <w:hyperlink r:id="rId198">
        <w:r>
          <w:rPr>
            <w:rStyle w:val="Hyperlink"/>
          </w:rPr>
          <w:t xml:space="preserve">Device-</w:t>
        </w:r>
        <w:r>
          <w:rPr>
            <w:rStyle w:val="Hyperlink"/>
          </w:rPr>
          <w:t xml:space="preserve">Measured Sleep Characteristics</w:t>
        </w:r>
        <w:r>
          <w:rPr>
            <w:rStyle w:val="Hyperlink"/>
          </w:rPr>
          <w:t xml:space="preserve">,</w:t>
        </w:r>
        <w:r>
          <w:rPr>
            <w:rStyle w:val="Hyperlink"/>
          </w:rPr>
          <w:t xml:space="preserve"> </w:t>
        </w:r>
        <w:r>
          <w:rPr>
            <w:rStyle w:val="Hyperlink"/>
          </w:rPr>
          <w:t xml:space="preserve">Daily Step Count</w:t>
        </w:r>
        <w:r>
          <w:rPr>
            <w:rStyle w:val="Hyperlink"/>
          </w:rPr>
          <w:t xml:space="preserve">, and</w:t>
        </w:r>
        <w:r>
          <w:rPr>
            <w:rStyle w:val="Hyperlink"/>
          </w:rPr>
          <w:t xml:space="preserve"> </w:t>
        </w:r>
        <w:r>
          <w:rPr>
            <w:rStyle w:val="Hyperlink"/>
          </w:rPr>
          <w:t xml:space="preserve">Cardiometabolic Health Markers</w:t>
        </w:r>
        <w:r>
          <w:rPr>
            <w:rStyle w:val="Hyperlink"/>
          </w:rPr>
          <w:t xml:space="preserve">:</w:t>
        </w:r>
        <w:r>
          <w:rPr>
            <w:rStyle w:val="Hyperlink"/>
          </w:rPr>
          <w:t xml:space="preserve"> </w:t>
        </w:r>
        <w:r>
          <w:rPr>
            <w:rStyle w:val="Hyperlink"/>
          </w:rPr>
          <w:t xml:space="preserve">Findings From</w:t>
        </w:r>
        <w:r>
          <w:rPr>
            <w:rStyle w:val="Hyperlink"/>
          </w:rPr>
          <w:t xml:space="preserve"> </w:t>
        </w:r>
        <w:r>
          <w:rPr>
            <w:rStyle w:val="Hyperlink"/>
          </w:rPr>
          <w:t xml:space="preserve">the</w:t>
        </w:r>
        <w:r>
          <w:rPr>
            <w:rStyle w:val="Hyperlink"/>
          </w:rPr>
          <w:t xml:space="preserve"> </w:t>
        </w:r>
        <w:r>
          <w:rPr>
            <w:rStyle w:val="Hyperlink"/>
          </w:rPr>
          <w:t xml:space="preserve">Prospective Physical Activity</w:t>
        </w:r>
        <w:r>
          <w:rPr>
            <w:rStyle w:val="Hyperlink"/>
          </w:rPr>
          <w:t xml:space="preserve">,</w:t>
        </w:r>
        <w:r>
          <w:rPr>
            <w:rStyle w:val="Hyperlink"/>
          </w:rPr>
          <w:t xml:space="preserve"> </w:t>
        </w:r>
        <w:r>
          <w:rPr>
            <w:rStyle w:val="Hyperlink"/>
          </w:rPr>
          <w:t xml:space="preserve">Sitting</w:t>
        </w:r>
        <w:r>
          <w:rPr>
            <w:rStyle w:val="Hyperlink"/>
          </w:rPr>
          <w:t xml:space="preserve">, and</w:t>
        </w:r>
        <w:r>
          <w:rPr>
            <w:rStyle w:val="Hyperlink"/>
          </w:rPr>
          <w:t xml:space="preserve"> </w:t>
        </w:r>
        <w:r>
          <w:rPr>
            <w:rStyle w:val="Hyperlink"/>
          </w:rPr>
          <w:t xml:space="preserve">Sleep</w:t>
        </w:r>
        <w:r>
          <w:rPr>
            <w:rStyle w:val="Hyperlink"/>
          </w:rPr>
          <w:t xml:space="preserve"> </w:t>
        </w:r>
        <w:r>
          <w:rPr>
            <w:rStyle w:val="Hyperlink"/>
          </w:rPr>
          <w:t xml:space="preserve">(</w:t>
        </w:r>
        <w:r>
          <w:rPr>
            <w:rStyle w:val="Hyperlink"/>
          </w:rPr>
          <w:t xml:space="preserve">ProPASS</w:t>
        </w:r>
        <w:r>
          <w:rPr>
            <w:rStyle w:val="Hyperlink"/>
          </w:rPr>
          <w:t xml:space="preserve">)</w:t>
        </w:r>
        <w:r>
          <w:rPr>
            <w:rStyle w:val="Hyperlink"/>
          </w:rPr>
          <w:t xml:space="preserve"> </w:t>
        </w:r>
        <w:r>
          <w:rPr>
            <w:rStyle w:val="Hyperlink"/>
          </w:rPr>
          <w:t xml:space="preserve">Consortium</w:t>
        </w:r>
      </w:hyperlink>
      <w:r>
        <w:t xml:space="preserve">. Circulation: Cardiovascular Quality and Outcomes. 2025 Aug;18(8).</w:t>
      </w:r>
      <w:r>
        <w:t xml:space="preserve"> </w:t>
      </w:r>
    </w:p>
    <w:bookmarkEnd w:id="199"/>
    <w:bookmarkStart w:id="201" w:name="X639320ef06b9a00f96c25d59c61d1cecd19efb7"/>
    <w:p>
      <w:pPr>
        <w:pStyle w:val="Literaturverzeichnis"/>
      </w:pPr>
      <w:r>
        <w:t xml:space="preserve">67.</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w:t>
      </w:r>
      <w:r>
        <w:t xml:space="preserve">[Internet].</w:t>
      </w:r>
      <w:r>
        <w:t xml:space="preserve"> </w:t>
      </w:r>
      <w:r>
        <w:t xml:space="preserve">Australian Government Department of Health, Disability and Ageing</w:t>
      </w:r>
      <w:r>
        <w:t xml:space="preserve">; 2026 [cited 2026 Oct 10]. Available from:</w:t>
      </w:r>
      <w:r>
        <w:t xml:space="preserve"> </w:t>
      </w:r>
      <w:hyperlink r:id="rId200">
        <w:r>
          <w:rPr>
            <w:rStyle w:val="Hyperlink"/>
          </w:rPr>
          <w:t xml:space="preserve">https://www.health.gov.au/topics/physical-activity/24-hour-movement-guidelines-for-all-australians</w:t>
        </w:r>
      </w:hyperlink>
    </w:p>
    <w:bookmarkEnd w:id="201"/>
    <w:bookmarkStart w:id="203" w:name="X8a37ba8db1ca0ed2098879ac119b82bf42627b2"/>
    <w:p>
      <w:pPr>
        <w:pStyle w:val="Literaturverzeichnis"/>
      </w:pPr>
      <w:r>
        <w:t xml:space="preserve">68.</w:t>
      </w:r>
      <w:r>
        <w:t xml:space="preserve"> </w:t>
      </w:r>
      <w:r>
        <w:t xml:space="preserve">	</w:t>
      </w:r>
      <w:r>
        <w:t xml:space="preserve">Zisou C, Maylor BD, Acquah A, Hammami I, Reynolds AC, Maddison KJ, McVeigh JA, Eastwood P, Straker L, Healy GN, Dunstan DW, Davies MJ, Yates T, Rowlands AV, Edwardson CL, Smith-Byrne K, Hopewell JC, Doherty A.</w:t>
      </w:r>
      <w:r>
        <w:t xml:space="preserve"> </w:t>
      </w:r>
      <w:hyperlink r:id="rId202">
        <w:r>
          <w:rPr>
            <w:rStyle w:val="Hyperlink"/>
          </w:rPr>
          <w:t xml:space="preserve">Towards harmonised accelerometer-derived physical activity: A comparability study across wrist, thigh, and hip wear locations</w:t>
        </w:r>
      </w:hyperlink>
      <w:r>
        <w:t xml:space="preserve">. International Journal of Behavioral Nutrition and Physical Activity. 2026 Sept;</w:t>
      </w:r>
      <w:r>
        <w:t xml:space="preserve"> </w:t>
      </w:r>
    </w:p>
    <w:bookmarkEnd w:id="203"/>
    <w:bookmarkStart w:id="205" w:name="ref-lokHowManyDays2024"/>
    <w:p>
      <w:pPr>
        <w:pStyle w:val="Literaturverzeichnis"/>
      </w:pPr>
      <w:r>
        <w:t xml:space="preserve">69.</w:t>
      </w:r>
      <w:r>
        <w:t xml:space="preserve"> </w:t>
      </w:r>
      <w:r>
        <w:t xml:space="preserve">	</w:t>
      </w:r>
      <w:r>
        <w:t xml:space="preserve">Lok R, Suh S, Rue S, Weed L, Zeitzer JM.</w:t>
      </w:r>
      <w:r>
        <w:t xml:space="preserve"> </w:t>
      </w:r>
      <w:hyperlink r:id="rId204">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Sept;e14332.</w:t>
      </w:r>
      <w:r>
        <w:t xml:space="preserve"> </w:t>
      </w:r>
    </w:p>
    <w:bookmarkEnd w:id="205"/>
    <w:bookmarkStart w:id="207" w:name="ref-leotaHowManyNights2026"/>
    <w:p>
      <w:pPr>
        <w:pStyle w:val="Literaturverzeichnis"/>
      </w:pPr>
      <w:r>
        <w:t xml:space="preserve">70.</w:t>
      </w:r>
      <w:r>
        <w:t xml:space="preserve"> </w:t>
      </w:r>
      <w:r>
        <w:t xml:space="preserve">	</w:t>
      </w:r>
      <w:r>
        <w:t xml:space="preserve">Leota J, Messman BA, Le F, Jasinski S, Capodilupo ER, Facer-Childs ER, Wiley JF.</w:t>
      </w:r>
      <w:r>
        <w:t xml:space="preserve"> </w:t>
      </w:r>
      <w:hyperlink r:id="rId206">
        <w:r>
          <w:rPr>
            <w:rStyle w:val="Hyperlink"/>
          </w:rPr>
          <w:t xml:space="preserve">How many nights are needed?</w:t>
        </w:r>
        <w:r>
          <w:rPr>
            <w:rStyle w:val="Hyperlink"/>
          </w:rPr>
          <w:t xml:space="preserve"> </w:t>
        </w:r>
        <w:r>
          <w:rPr>
            <w:rStyle w:val="Hyperlink"/>
          </w:rPr>
          <w:t xml:space="preserve">The</w:t>
        </w:r>
        <w:r>
          <w:rPr>
            <w:rStyle w:val="Hyperlink"/>
          </w:rPr>
          <w:t xml:space="preserve"> </w:t>
        </w:r>
        <w:r>
          <w:rPr>
            <w:rStyle w:val="Hyperlink"/>
          </w:rPr>
          <w:t xml:space="preserve">short-term stability of intraindividual variability in sleep parameters derived from accelerometry data in a cohort of normal sleepers</w:t>
        </w:r>
      </w:hyperlink>
      <w:r>
        <w:t xml:space="preserve">. SLEEP. 2026 June;49(6):zsag040.</w:t>
      </w:r>
      <w:r>
        <w:t xml:space="preserve"> </w:t>
      </w:r>
    </w:p>
    <w:bookmarkEnd w:id="207"/>
    <w:bookmarkStart w:id="209" w:name="X788491c5923f0191c7754de30119a79b2bbb3a4"/>
    <w:p>
      <w:pPr>
        <w:pStyle w:val="Literaturverzeichnis"/>
      </w:pPr>
      <w:r>
        <w:t xml:space="preserve">71.</w:t>
      </w:r>
      <w:r>
        <w:t xml:space="preserve"> </w:t>
      </w:r>
      <w:r>
        <w:t xml:space="preserve">	</w:t>
      </w:r>
      <w:r>
        <w:t xml:space="preserve">Czeisler MÉ, Leota J, Le F, Campbell-Brown B, Rajaratnam SMW, Pase MP, Kramer DB.</w:t>
      </w:r>
      <w:r>
        <w:t xml:space="preserve"> </w:t>
      </w:r>
      <w:hyperlink r:id="rId208">
        <w:r>
          <w:rPr>
            <w:rStyle w:val="Hyperlink"/>
          </w:rPr>
          <w:t xml:space="preserve">Comparison of</w:t>
        </w:r>
        <w:r>
          <w:rPr>
            <w:rStyle w:val="Hyperlink"/>
          </w:rPr>
          <w:t xml:space="preserve"> </w:t>
        </w:r>
        <w:r>
          <w:rPr>
            <w:rStyle w:val="Hyperlink"/>
          </w:rPr>
          <w:t xml:space="preserve">Sleep Regularity Index</w:t>
        </w:r>
        <w:r>
          <w:rPr>
            <w:rStyle w:val="Hyperlink"/>
          </w:rPr>
          <w:t xml:space="preserve"> </w:t>
        </w:r>
        <w:r>
          <w:rPr>
            <w:rStyle w:val="Hyperlink"/>
          </w:rPr>
          <w:t xml:space="preserve">scores calculated by open-source packages and implications for outcomes research: Rationale and design of the</w:t>
        </w:r>
        <w:r>
          <w:rPr>
            <w:rStyle w:val="Hyperlink"/>
          </w:rPr>
          <w:t xml:space="preserve"> </w:t>
        </w:r>
        <w:r>
          <w:rPr>
            <w:rStyle w:val="Hyperlink"/>
          </w:rPr>
          <w:t xml:space="preserve">RIRI</w:t>
        </w:r>
        <w:r>
          <w:rPr>
            <w:rStyle w:val="Hyperlink"/>
          </w:rPr>
          <w:t xml:space="preserve"> </w:t>
        </w:r>
        <w:r>
          <w:rPr>
            <w:rStyle w:val="Hyperlink"/>
          </w:rPr>
          <w:t xml:space="preserve">statement (</w:t>
        </w:r>
        <w:r>
          <w:rPr>
            <w:rStyle w:val="Hyperlink"/>
          </w:rPr>
          <w:t xml:space="preserve">Reporting Items</w:t>
        </w:r>
        <w:r>
          <w:rPr>
            <w:rStyle w:val="Hyperlink"/>
          </w:rPr>
          <w:t xml:space="preserve"> </w:t>
        </w:r>
        <w:r>
          <w:rPr>
            <w:rStyle w:val="Hyperlink"/>
          </w:rPr>
          <w:t xml:space="preserve">for</w:t>
        </w:r>
        <w:r>
          <w:rPr>
            <w:rStyle w:val="Hyperlink"/>
          </w:rPr>
          <w:t xml:space="preserve"> </w:t>
        </w:r>
        <w:r>
          <w:rPr>
            <w:rStyle w:val="Hyperlink"/>
          </w:rPr>
          <w:t xml:space="preserve">Regularity Indices</w:t>
        </w:r>
        <w:r>
          <w:rPr>
            <w:rStyle w:val="Hyperlink"/>
          </w:rPr>
          <w:t xml:space="preserve">)</w:t>
        </w:r>
      </w:hyperlink>
      <w:r>
        <w:t xml:space="preserve">. SLEEP. 2026 Apr;49(4):zsaf299.</w:t>
      </w:r>
      <w:r>
        <w:t xml:space="preserve"> </w:t>
      </w:r>
    </w:p>
    <w:bookmarkEnd w:id="209"/>
    <w:bookmarkEnd w:id="210"/>
    <w:p>
      <w:r>
        <w:br w:type="page"/>
      </w:r>
    </w:p>
    <w:bookmarkEnd w:id="211"/>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45" Target="media/rId45.jpg" /><Relationship Type="http://schemas.openxmlformats.org/officeDocument/2006/relationships/image" Id="rId50" Target="media/rId50.jpg" /><Relationship Type="http://schemas.openxmlformats.org/officeDocument/2006/relationships/image" Id="rId55" Target="media/rId55.jpg" /><Relationship Type="http://schemas.openxmlformats.org/officeDocument/2006/relationships/image" Id="rId60" Target="media/rId60.jpg" /><Relationship Type="http://schemas.openxmlformats.org/officeDocument/2006/relationships/image" Id="rId39" Target="media/rId39.jpg" /><Relationship Type="http://schemas.openxmlformats.org/officeDocument/2006/relationships/image" Id="rId34" Target="media/rId34.jpg" /><Relationship Type="http://schemas.openxmlformats.org/officeDocument/2006/relationships/hyperlink" Id="rId134" Target="https://doi.org/10.1007/s00408-013-9511-3" TargetMode="External" /><Relationship Type="http://schemas.openxmlformats.org/officeDocument/2006/relationships/hyperlink" Id="rId112" Target="https://doi.org/10.1007/s00787-025-02892-6" TargetMode="External" /><Relationship Type="http://schemas.openxmlformats.org/officeDocument/2006/relationships/hyperlink" Id="rId98" Target="https://doi.org/10.1007/s10865-015-9617-6" TargetMode="External" /><Relationship Type="http://schemas.openxmlformats.org/officeDocument/2006/relationships/hyperlink" Id="rId152" Target="https://doi.org/10.1007/s12529-016-9609-0" TargetMode="External" /><Relationship Type="http://schemas.openxmlformats.org/officeDocument/2006/relationships/hyperlink" Id="rId158" Target="https://doi.org/10.1007/s40273-014-0205-3" TargetMode="External" /><Relationship Type="http://schemas.openxmlformats.org/officeDocument/2006/relationships/hyperlink" Id="rId146" Target="https://doi.org/10.1007/s40279-018-1015-0" TargetMode="External" /><Relationship Type="http://schemas.openxmlformats.org/officeDocument/2006/relationships/hyperlink" Id="rId150" Target="https://doi.org/10.1016/S1836-9553(12)70106-6" TargetMode="External" /><Relationship Type="http://schemas.openxmlformats.org/officeDocument/2006/relationships/hyperlink" Id="rId94" Target="https://doi.org/10.1016/S2468-2667(23)00182-2" TargetMode="External" /><Relationship Type="http://schemas.openxmlformats.org/officeDocument/2006/relationships/hyperlink" Id="rId148" Target="https://doi.org/10.1016/j.anr.2020.01.003" TargetMode="External" /><Relationship Type="http://schemas.openxmlformats.org/officeDocument/2006/relationships/hyperlink" Id="rId86" Target="https://doi.org/10.1016/j.jadohealth.2020.03.013" TargetMode="External" /><Relationship Type="http://schemas.openxmlformats.org/officeDocument/2006/relationships/hyperlink" Id="rId130" Target="https://doi.org/10.1016/j.jfma.2018.02.008" TargetMode="External" /><Relationship Type="http://schemas.openxmlformats.org/officeDocument/2006/relationships/hyperlink" Id="rId138" Target="https://doi.org/10.1016/j.jpsychires.2018.11.004" TargetMode="External" /><Relationship Type="http://schemas.openxmlformats.org/officeDocument/2006/relationships/hyperlink" Id="rId174" Target="https://doi.org/10.1016/j.jsams.2019.06.016" TargetMode="External" /><Relationship Type="http://schemas.openxmlformats.org/officeDocument/2006/relationships/hyperlink" Id="rId144" Target="https://doi.org/10.1016/j.maturitas.2017.04.003" TargetMode="External" /><Relationship Type="http://schemas.openxmlformats.org/officeDocument/2006/relationships/hyperlink" Id="rId122" Target="https://doi.org/10.1016/j.rmed.2016.05.015" TargetMode="External" /><Relationship Type="http://schemas.openxmlformats.org/officeDocument/2006/relationships/hyperlink" Id="rId132" Target="https://doi.org/10.1016/j.sleep.2016.06.001" TargetMode="External" /><Relationship Type="http://schemas.openxmlformats.org/officeDocument/2006/relationships/hyperlink" Id="rId76" Target="https://doi.org/10.1016/j.sleep.2016.06.036" TargetMode="External" /><Relationship Type="http://schemas.openxmlformats.org/officeDocument/2006/relationships/hyperlink" Id="rId140" Target="https://doi.org/10.1016/j.sleep.2019.12.022" TargetMode="External" /><Relationship Type="http://schemas.openxmlformats.org/officeDocument/2006/relationships/hyperlink" Id="rId90" Target="https://doi.org/10.1016/j.sleh.2015.10.004" TargetMode="External" /><Relationship Type="http://schemas.openxmlformats.org/officeDocument/2006/relationships/hyperlink" Id="rId80" Target="https://doi.org/10.1016/j.sleh.2023.07.016" TargetMode="External" /><Relationship Type="http://schemas.openxmlformats.org/officeDocument/2006/relationships/hyperlink" Id="rId92" Target="https://doi.org/10.1016/j.sleh.2026.05.011" TargetMode="External" /><Relationship Type="http://schemas.openxmlformats.org/officeDocument/2006/relationships/hyperlink" Id="rId126" Target="https://doi.org/10.1016/j.smrv.2014.08.002" TargetMode="External" /><Relationship Type="http://schemas.openxmlformats.org/officeDocument/2006/relationships/hyperlink" Id="rId110" Target="https://doi.org/10.1016/j.smrv.2015.07.004" TargetMode="External" /><Relationship Type="http://schemas.openxmlformats.org/officeDocument/2006/relationships/hyperlink" Id="rId136" Target="https://doi.org/10.1016/j.smrv.2019.101226" TargetMode="External" /><Relationship Type="http://schemas.openxmlformats.org/officeDocument/2006/relationships/hyperlink" Id="rId108" Target="https://doi.org/10.1016/j.smrv.2020.101278" TargetMode="External" /><Relationship Type="http://schemas.openxmlformats.org/officeDocument/2006/relationships/hyperlink" Id="rId114" Target="https://doi.org/10.1016/j.smrv.2021.101426" TargetMode="External" /><Relationship Type="http://schemas.openxmlformats.org/officeDocument/2006/relationships/hyperlink" Id="rId96" Target="https://doi.org/10.1016/j.smrv.2021.101489" TargetMode="External" /><Relationship Type="http://schemas.openxmlformats.org/officeDocument/2006/relationships/hyperlink" Id="rId84" Target="https://doi.org/10.1016/j.smrv.2025.102203" TargetMode="External" /><Relationship Type="http://schemas.openxmlformats.org/officeDocument/2006/relationships/hyperlink" Id="rId100" Target="https://doi.org/10.1016/j.smrv.2026.102239" TargetMode="External" /><Relationship Type="http://schemas.openxmlformats.org/officeDocument/2006/relationships/hyperlink" Id="rId196" Target="https://doi.org/10.1017/S0033291725101281" TargetMode="External" /><Relationship Type="http://schemas.openxmlformats.org/officeDocument/2006/relationships/hyperlink" Id="rId186" Target="https://doi.org/10.1037/a0015914" TargetMode="External" /><Relationship Type="http://schemas.openxmlformats.org/officeDocument/2006/relationships/hyperlink" Id="rId182" Target="https://doi.org/10.1038/526187a" TargetMode="External" /><Relationship Type="http://schemas.openxmlformats.org/officeDocument/2006/relationships/hyperlink" Id="rId188" Target="https://doi.org/10.1038/s41514-025-00223-2" TargetMode="External" /><Relationship Type="http://schemas.openxmlformats.org/officeDocument/2006/relationships/hyperlink" Id="rId162" Target="https://doi.org/10.1038/s41598-018-31266-z" TargetMode="External" /><Relationship Type="http://schemas.openxmlformats.org/officeDocument/2006/relationships/hyperlink" Id="rId118" Target="https://doi.org/10.1038/s43856-025-01226-6" TargetMode="External" /><Relationship Type="http://schemas.openxmlformats.org/officeDocument/2006/relationships/hyperlink" Id="rId190" Target="https://doi.org/10.1038/s44323-024-00018-w" TargetMode="External" /><Relationship Type="http://schemas.openxmlformats.org/officeDocument/2006/relationships/hyperlink" Id="rId120" Target="https://doi.org/10.1073/pnas.2420846122" TargetMode="External" /><Relationship Type="http://schemas.openxmlformats.org/officeDocument/2006/relationships/hyperlink" Id="rId192" Target="https://doi.org/10.1093/sleep/zsad253" TargetMode="External" /><Relationship Type="http://schemas.openxmlformats.org/officeDocument/2006/relationships/hyperlink" Id="rId164" Target="https://doi.org/10.1093/sleep/zsae267" TargetMode="External" /><Relationship Type="http://schemas.openxmlformats.org/officeDocument/2006/relationships/hyperlink" Id="rId166" Target="https://doi.org/10.1093/sleep/zsaf282" TargetMode="External" /><Relationship Type="http://schemas.openxmlformats.org/officeDocument/2006/relationships/hyperlink" Id="rId208" Target="https://doi.org/10.1093/sleep/zsaf299" TargetMode="External" /><Relationship Type="http://schemas.openxmlformats.org/officeDocument/2006/relationships/hyperlink" Id="rId206" Target="https://doi.org/10.1093/sleep/zsag040" TargetMode="External" /><Relationship Type="http://schemas.openxmlformats.org/officeDocument/2006/relationships/hyperlink" Id="rId78" Target="https://doi.org/10.1111/bjhp.12391" TargetMode="External" /><Relationship Type="http://schemas.openxmlformats.org/officeDocument/2006/relationships/hyperlink" Id="rId116" Target="https://doi.org/10.1111/jsr.13378" TargetMode="External" /><Relationship Type="http://schemas.openxmlformats.org/officeDocument/2006/relationships/hyperlink" Id="rId204" Target="https://doi.org/10.1111/jsr.14332" TargetMode="External" /><Relationship Type="http://schemas.openxmlformats.org/officeDocument/2006/relationships/hyperlink" Id="rId128" Target="https://doi.org/10.1111/resp.13580" TargetMode="External" /><Relationship Type="http://schemas.openxmlformats.org/officeDocument/2006/relationships/hyperlink" Id="rId160" Target="https://doi.org/10.1123/jmpb.2018-0063" TargetMode="External" /><Relationship Type="http://schemas.openxmlformats.org/officeDocument/2006/relationships/hyperlink" Id="rId168" Target="https://doi.org/10.1123/jmpb.2018-0073" TargetMode="External" /><Relationship Type="http://schemas.openxmlformats.org/officeDocument/2006/relationships/hyperlink" Id="rId170" Target="https://doi.org/10.1123/pes.2018-0201" TargetMode="External" /><Relationship Type="http://schemas.openxmlformats.org/officeDocument/2006/relationships/hyperlink" Id="rId156" Target="https://doi.org/10.1136/bjsports-2017-097621" TargetMode="External" /><Relationship Type="http://schemas.openxmlformats.org/officeDocument/2006/relationships/hyperlink" Id="rId106" Target="https://doi.org/10.1136/bjsports-2020-102955" TargetMode="External" /><Relationship Type="http://schemas.openxmlformats.org/officeDocument/2006/relationships/hyperlink" Id="rId72" Target="https://doi.org/10.1136/bjsports-2021-104046" TargetMode="External" /><Relationship Type="http://schemas.openxmlformats.org/officeDocument/2006/relationships/hyperlink" Id="rId154" Target="https://doi.org/10.1136/bmjebm-2022-111931" TargetMode="External" /><Relationship Type="http://schemas.openxmlformats.org/officeDocument/2006/relationships/hyperlink" Id="rId104" Target="https://doi.org/10.1136/bmjebm-2024-113512" TargetMode="External" /><Relationship Type="http://schemas.openxmlformats.org/officeDocument/2006/relationships/hyperlink" Id="rId194" Target="https://doi.org/10.1136/jech-2024-222795" TargetMode="External" /><Relationship Type="http://schemas.openxmlformats.org/officeDocument/2006/relationships/hyperlink" Id="rId198" Target="https://doi.org/10.1161/CIRCOUTCOMES.124.011873" TargetMode="External" /><Relationship Type="http://schemas.openxmlformats.org/officeDocument/2006/relationships/hyperlink" Id="rId82" Target="https://doi.org/10.1161/HCQ.0000000000000139" TargetMode="External" /><Relationship Type="http://schemas.openxmlformats.org/officeDocument/2006/relationships/hyperlink" Id="rId74" Target="https://doi.org/10.1161/jaha.118.008552" TargetMode="External" /><Relationship Type="http://schemas.openxmlformats.org/officeDocument/2006/relationships/hyperlink" Id="rId180" Target="https://doi.org/10.1177/2515245919848684" TargetMode="External" /><Relationship Type="http://schemas.openxmlformats.org/officeDocument/2006/relationships/hyperlink" Id="rId102" Target="https://doi.org/10.1186/s12877-025-06607-z" TargetMode="External" /><Relationship Type="http://schemas.openxmlformats.org/officeDocument/2006/relationships/hyperlink" Id="rId176" Target="https://doi.org/10.1186/s12966-020-01004-8" TargetMode="External" /><Relationship Type="http://schemas.openxmlformats.org/officeDocument/2006/relationships/hyperlink" Id="rId202" Target="https://doi.org/10.1186/s12966-026-01975-0" TargetMode="External" /><Relationship Type="http://schemas.openxmlformats.org/officeDocument/2006/relationships/hyperlink" Id="rId172" Target="https://doi.org/10.1186/s40798-019-0225-9" TargetMode="External" /><Relationship Type="http://schemas.openxmlformats.org/officeDocument/2006/relationships/hyperlink" Id="rId178" Target="https://doi.org/10.1371/journal.pone.0061691" TargetMode="External" /><Relationship Type="http://schemas.openxmlformats.org/officeDocument/2006/relationships/hyperlink" Id="rId184" Target="https://doi.org/10.18637/jss.v045.i03" TargetMode="External" /><Relationship Type="http://schemas.openxmlformats.org/officeDocument/2006/relationships/hyperlink" Id="rId142" Target="https://doi.org/10.3389/fneur.2018.00073" TargetMode="External" /><Relationship Type="http://schemas.openxmlformats.org/officeDocument/2006/relationships/hyperlink" Id="rId70" Target="https://doi.org/10.5664/jcsm.9476" TargetMode="External" /><Relationship Type="http://schemas.openxmlformats.org/officeDocument/2006/relationships/hyperlink" Id="rId68" Target="https://doi.org/10.5665/sleep.1846" TargetMode="External" /><Relationship Type="http://schemas.openxmlformats.org/officeDocument/2006/relationships/hyperlink" Id="rId124" Target="https://doi.org/10.7717/peerj.5172" TargetMode="External" /><Relationship Type="http://schemas.openxmlformats.org/officeDocument/2006/relationships/hyperlink" Id="rId20" Target="https://osf.io/ahd96" TargetMode="External" /><Relationship Type="http://schemas.openxmlformats.org/officeDocument/2006/relationships/hyperlink" Id="rId88" Target="https://www.cdc.gov/nchs/products/databriefs/db559.htm" TargetMode="External" /><Relationship Type="http://schemas.openxmlformats.org/officeDocument/2006/relationships/hyperlink" Id="rId200" Target="https://www.health.gov.au/topics/physical-activity/24-hour-movement-guidelines-for-all-australians" TargetMode="External" /><Relationship Type="http://schemas.openxmlformats.org/officeDocument/2006/relationships/hyperlink" Id="rId19"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7/s00408-013-9511-3" TargetMode="External" /><Relationship Type="http://schemas.openxmlformats.org/officeDocument/2006/relationships/hyperlink" Id="rId112" Target="https://doi.org/10.1007/s00787-025-02892-6" TargetMode="External" /><Relationship Type="http://schemas.openxmlformats.org/officeDocument/2006/relationships/hyperlink" Id="rId98" Target="https://doi.org/10.1007/s10865-015-9617-6" TargetMode="External" /><Relationship Type="http://schemas.openxmlformats.org/officeDocument/2006/relationships/hyperlink" Id="rId152" Target="https://doi.org/10.1007/s12529-016-9609-0" TargetMode="External" /><Relationship Type="http://schemas.openxmlformats.org/officeDocument/2006/relationships/hyperlink" Id="rId158" Target="https://doi.org/10.1007/s40273-014-0205-3" TargetMode="External" /><Relationship Type="http://schemas.openxmlformats.org/officeDocument/2006/relationships/hyperlink" Id="rId146" Target="https://doi.org/10.1007/s40279-018-1015-0" TargetMode="External" /><Relationship Type="http://schemas.openxmlformats.org/officeDocument/2006/relationships/hyperlink" Id="rId150" Target="https://doi.org/10.1016/S1836-9553(12)70106-6" TargetMode="External" /><Relationship Type="http://schemas.openxmlformats.org/officeDocument/2006/relationships/hyperlink" Id="rId94" Target="https://doi.org/10.1016/S2468-2667(23)00182-2" TargetMode="External" /><Relationship Type="http://schemas.openxmlformats.org/officeDocument/2006/relationships/hyperlink" Id="rId148" Target="https://doi.org/10.1016/j.anr.2020.01.003" TargetMode="External" /><Relationship Type="http://schemas.openxmlformats.org/officeDocument/2006/relationships/hyperlink" Id="rId86" Target="https://doi.org/10.1016/j.jadohealth.2020.03.013" TargetMode="External" /><Relationship Type="http://schemas.openxmlformats.org/officeDocument/2006/relationships/hyperlink" Id="rId130" Target="https://doi.org/10.1016/j.jfma.2018.02.008" TargetMode="External" /><Relationship Type="http://schemas.openxmlformats.org/officeDocument/2006/relationships/hyperlink" Id="rId138" Target="https://doi.org/10.1016/j.jpsychires.2018.11.004" TargetMode="External" /><Relationship Type="http://schemas.openxmlformats.org/officeDocument/2006/relationships/hyperlink" Id="rId174" Target="https://doi.org/10.1016/j.jsams.2019.06.016" TargetMode="External" /><Relationship Type="http://schemas.openxmlformats.org/officeDocument/2006/relationships/hyperlink" Id="rId144" Target="https://doi.org/10.1016/j.maturitas.2017.04.003" TargetMode="External" /><Relationship Type="http://schemas.openxmlformats.org/officeDocument/2006/relationships/hyperlink" Id="rId122" Target="https://doi.org/10.1016/j.rmed.2016.05.015" TargetMode="External" /><Relationship Type="http://schemas.openxmlformats.org/officeDocument/2006/relationships/hyperlink" Id="rId132" Target="https://doi.org/10.1016/j.sleep.2016.06.001" TargetMode="External" /><Relationship Type="http://schemas.openxmlformats.org/officeDocument/2006/relationships/hyperlink" Id="rId76" Target="https://doi.org/10.1016/j.sleep.2016.06.036" TargetMode="External" /><Relationship Type="http://schemas.openxmlformats.org/officeDocument/2006/relationships/hyperlink" Id="rId140" Target="https://doi.org/10.1016/j.sleep.2019.12.022" TargetMode="External" /><Relationship Type="http://schemas.openxmlformats.org/officeDocument/2006/relationships/hyperlink" Id="rId90" Target="https://doi.org/10.1016/j.sleh.2015.10.004" TargetMode="External" /><Relationship Type="http://schemas.openxmlformats.org/officeDocument/2006/relationships/hyperlink" Id="rId80" Target="https://doi.org/10.1016/j.sleh.2023.07.016" TargetMode="External" /><Relationship Type="http://schemas.openxmlformats.org/officeDocument/2006/relationships/hyperlink" Id="rId92" Target="https://doi.org/10.1016/j.sleh.2026.05.011" TargetMode="External" /><Relationship Type="http://schemas.openxmlformats.org/officeDocument/2006/relationships/hyperlink" Id="rId126" Target="https://doi.org/10.1016/j.smrv.2014.08.002" TargetMode="External" /><Relationship Type="http://schemas.openxmlformats.org/officeDocument/2006/relationships/hyperlink" Id="rId110" Target="https://doi.org/10.1016/j.smrv.2015.07.004" TargetMode="External" /><Relationship Type="http://schemas.openxmlformats.org/officeDocument/2006/relationships/hyperlink" Id="rId136" Target="https://doi.org/10.1016/j.smrv.2019.101226" TargetMode="External" /><Relationship Type="http://schemas.openxmlformats.org/officeDocument/2006/relationships/hyperlink" Id="rId108" Target="https://doi.org/10.1016/j.smrv.2020.101278" TargetMode="External" /><Relationship Type="http://schemas.openxmlformats.org/officeDocument/2006/relationships/hyperlink" Id="rId114" Target="https://doi.org/10.1016/j.smrv.2021.101426" TargetMode="External" /><Relationship Type="http://schemas.openxmlformats.org/officeDocument/2006/relationships/hyperlink" Id="rId96" Target="https://doi.org/10.1016/j.smrv.2021.101489" TargetMode="External" /><Relationship Type="http://schemas.openxmlformats.org/officeDocument/2006/relationships/hyperlink" Id="rId84" Target="https://doi.org/10.1016/j.smrv.2025.102203" TargetMode="External" /><Relationship Type="http://schemas.openxmlformats.org/officeDocument/2006/relationships/hyperlink" Id="rId100" Target="https://doi.org/10.1016/j.smrv.2026.102239" TargetMode="External" /><Relationship Type="http://schemas.openxmlformats.org/officeDocument/2006/relationships/hyperlink" Id="rId196" Target="https://doi.org/10.1017/S0033291725101281" TargetMode="External" /><Relationship Type="http://schemas.openxmlformats.org/officeDocument/2006/relationships/hyperlink" Id="rId186" Target="https://doi.org/10.1037/a0015914" TargetMode="External" /><Relationship Type="http://schemas.openxmlformats.org/officeDocument/2006/relationships/hyperlink" Id="rId182" Target="https://doi.org/10.1038/526187a" TargetMode="External" /><Relationship Type="http://schemas.openxmlformats.org/officeDocument/2006/relationships/hyperlink" Id="rId188" Target="https://doi.org/10.1038/s41514-025-00223-2" TargetMode="External" /><Relationship Type="http://schemas.openxmlformats.org/officeDocument/2006/relationships/hyperlink" Id="rId162" Target="https://doi.org/10.1038/s41598-018-31266-z" TargetMode="External" /><Relationship Type="http://schemas.openxmlformats.org/officeDocument/2006/relationships/hyperlink" Id="rId118" Target="https://doi.org/10.1038/s43856-025-01226-6" TargetMode="External" /><Relationship Type="http://schemas.openxmlformats.org/officeDocument/2006/relationships/hyperlink" Id="rId190" Target="https://doi.org/10.1038/s44323-024-00018-w" TargetMode="External" /><Relationship Type="http://schemas.openxmlformats.org/officeDocument/2006/relationships/hyperlink" Id="rId120" Target="https://doi.org/10.1073/pnas.2420846122" TargetMode="External" /><Relationship Type="http://schemas.openxmlformats.org/officeDocument/2006/relationships/hyperlink" Id="rId192" Target="https://doi.org/10.1093/sleep/zsad253" TargetMode="External" /><Relationship Type="http://schemas.openxmlformats.org/officeDocument/2006/relationships/hyperlink" Id="rId164" Target="https://doi.org/10.1093/sleep/zsae267" TargetMode="External" /><Relationship Type="http://schemas.openxmlformats.org/officeDocument/2006/relationships/hyperlink" Id="rId166" Target="https://doi.org/10.1093/sleep/zsaf282" TargetMode="External" /><Relationship Type="http://schemas.openxmlformats.org/officeDocument/2006/relationships/hyperlink" Id="rId208" Target="https://doi.org/10.1093/sleep/zsaf299" TargetMode="External" /><Relationship Type="http://schemas.openxmlformats.org/officeDocument/2006/relationships/hyperlink" Id="rId206" Target="https://doi.org/10.1093/sleep/zsag040" TargetMode="External" /><Relationship Type="http://schemas.openxmlformats.org/officeDocument/2006/relationships/hyperlink" Id="rId78" Target="https://doi.org/10.1111/bjhp.12391" TargetMode="External" /><Relationship Type="http://schemas.openxmlformats.org/officeDocument/2006/relationships/hyperlink" Id="rId116" Target="https://doi.org/10.1111/jsr.13378" TargetMode="External" /><Relationship Type="http://schemas.openxmlformats.org/officeDocument/2006/relationships/hyperlink" Id="rId204" Target="https://doi.org/10.1111/jsr.14332" TargetMode="External" /><Relationship Type="http://schemas.openxmlformats.org/officeDocument/2006/relationships/hyperlink" Id="rId128" Target="https://doi.org/10.1111/resp.13580" TargetMode="External" /><Relationship Type="http://schemas.openxmlformats.org/officeDocument/2006/relationships/hyperlink" Id="rId160" Target="https://doi.org/10.1123/jmpb.2018-0063" TargetMode="External" /><Relationship Type="http://schemas.openxmlformats.org/officeDocument/2006/relationships/hyperlink" Id="rId168" Target="https://doi.org/10.1123/jmpb.2018-0073" TargetMode="External" /><Relationship Type="http://schemas.openxmlformats.org/officeDocument/2006/relationships/hyperlink" Id="rId170" Target="https://doi.org/10.1123/pes.2018-0201" TargetMode="External" /><Relationship Type="http://schemas.openxmlformats.org/officeDocument/2006/relationships/hyperlink" Id="rId156" Target="https://doi.org/10.1136/bjsports-2017-097621" TargetMode="External" /><Relationship Type="http://schemas.openxmlformats.org/officeDocument/2006/relationships/hyperlink" Id="rId106" Target="https://doi.org/10.1136/bjsports-2020-102955" TargetMode="External" /><Relationship Type="http://schemas.openxmlformats.org/officeDocument/2006/relationships/hyperlink" Id="rId72" Target="https://doi.org/10.1136/bjsports-2021-104046" TargetMode="External" /><Relationship Type="http://schemas.openxmlformats.org/officeDocument/2006/relationships/hyperlink" Id="rId154" Target="https://doi.org/10.1136/bmjebm-2022-111931" TargetMode="External" /><Relationship Type="http://schemas.openxmlformats.org/officeDocument/2006/relationships/hyperlink" Id="rId104" Target="https://doi.org/10.1136/bmjebm-2024-113512" TargetMode="External" /><Relationship Type="http://schemas.openxmlformats.org/officeDocument/2006/relationships/hyperlink" Id="rId194" Target="https://doi.org/10.1136/jech-2024-222795" TargetMode="External" /><Relationship Type="http://schemas.openxmlformats.org/officeDocument/2006/relationships/hyperlink" Id="rId198" Target="https://doi.org/10.1161/CIRCOUTCOMES.124.011873" TargetMode="External" /><Relationship Type="http://schemas.openxmlformats.org/officeDocument/2006/relationships/hyperlink" Id="rId82" Target="https://doi.org/10.1161/HCQ.0000000000000139" TargetMode="External" /><Relationship Type="http://schemas.openxmlformats.org/officeDocument/2006/relationships/hyperlink" Id="rId74" Target="https://doi.org/10.1161/jaha.118.008552" TargetMode="External" /><Relationship Type="http://schemas.openxmlformats.org/officeDocument/2006/relationships/hyperlink" Id="rId180" Target="https://doi.org/10.1177/2515245919848684" TargetMode="External" /><Relationship Type="http://schemas.openxmlformats.org/officeDocument/2006/relationships/hyperlink" Id="rId102" Target="https://doi.org/10.1186/s12877-025-06607-z" TargetMode="External" /><Relationship Type="http://schemas.openxmlformats.org/officeDocument/2006/relationships/hyperlink" Id="rId176" Target="https://doi.org/10.1186/s12966-020-01004-8" TargetMode="External" /><Relationship Type="http://schemas.openxmlformats.org/officeDocument/2006/relationships/hyperlink" Id="rId202" Target="https://doi.org/10.1186/s12966-026-01975-0" TargetMode="External" /><Relationship Type="http://schemas.openxmlformats.org/officeDocument/2006/relationships/hyperlink" Id="rId172" Target="https://doi.org/10.1186/s40798-019-0225-9" TargetMode="External" /><Relationship Type="http://schemas.openxmlformats.org/officeDocument/2006/relationships/hyperlink" Id="rId178" Target="https://doi.org/10.1371/journal.pone.0061691" TargetMode="External" /><Relationship Type="http://schemas.openxmlformats.org/officeDocument/2006/relationships/hyperlink" Id="rId184" Target="https://doi.org/10.18637/jss.v045.i03" TargetMode="External" /><Relationship Type="http://schemas.openxmlformats.org/officeDocument/2006/relationships/hyperlink" Id="rId142" Target="https://doi.org/10.3389/fneur.2018.00073" TargetMode="External" /><Relationship Type="http://schemas.openxmlformats.org/officeDocument/2006/relationships/hyperlink" Id="rId70" Target="https://doi.org/10.5664/jcsm.9476" TargetMode="External" /><Relationship Type="http://schemas.openxmlformats.org/officeDocument/2006/relationships/hyperlink" Id="rId68" Target="https://doi.org/10.5665/sleep.1846" TargetMode="External" /><Relationship Type="http://schemas.openxmlformats.org/officeDocument/2006/relationships/hyperlink" Id="rId124" Target="https://doi.org/10.7717/peerj.5172" TargetMode="External" /><Relationship Type="http://schemas.openxmlformats.org/officeDocument/2006/relationships/hyperlink" Id="rId20" Target="https://osf.io/ahd96" TargetMode="External" /><Relationship Type="http://schemas.openxmlformats.org/officeDocument/2006/relationships/hyperlink" Id="rId88" Target="https://www.cdc.gov/nchs/products/databriefs/db559.htm" TargetMode="External" /><Relationship Type="http://schemas.openxmlformats.org/officeDocument/2006/relationships/hyperlink" Id="rId200" Target="https://www.health.gov.au/topics/physical-activity/24-hour-movement-guidelines-for-all-australians" TargetMode="External" /><Relationship Type="http://schemas.openxmlformats.org/officeDocument/2006/relationships/hyperlink" Id="rId19"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2026-10-10T20:47:08Z</dcterms:created>
  <dcterms:modified xsi:type="dcterms:W3CDTF">2026-10-10T20:47:08Z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