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220,612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1">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2"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2"/>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1">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checked all data for implausibly low or high measurements which were excluded if they fell outside of ±4SD of the mean, as these likely indicate measurement device failures.</w:t>
      </w:r>
      <w:r>
        <w:t xml:space="preserve"> </w:t>
      </w:r>
      <w:r>
        <w:t xml:space="preserve">We assumed missing covariate and moderator data to be missing at random or completely at random and imputed these missing values using multiple imputation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[43]</w:t>
      </w:r>
      <w:r>
        <w:t xml:space="preserve">.</w:t>
      </w:r>
      <w:r>
        <w:t xml:space="preserve"> </w:t>
      </w:r>
      <w:r>
        <w:t xml:space="preserve">We predict each sleep indicator by each physical activity indicator controlling for sex, body mass index (BMI) and region.</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7"/>
    <w:bookmarkStart w:id="28"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Of these, 71,451 days were excluded as they had insufficient wear time, which also resulted in the exclusion of 4,214 participants.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The majority of participants came from Europe, Oceania, and South America, with limited data from other regions.</w:t>
      </w:r>
      <w:r>
        <w:t xml:space="preserve"> </w:t>
      </w:r>
      <w:r>
        <w:t xml:space="preserve">There was a near-even split by sex (50.5% female), but age skewed towards both younger children (2-11 years, 39.8%) and older adults (66+ years, 26.8%).</w:t>
      </w:r>
    </w:p>
    <w:p>
      <w:pPr>
        <w:pStyle w:val="Textkrper"/>
      </w:pPr>
      <w:r>
        <w:t xml:space="preserve">Valid observations were not uniform across the days of the week (</w:t>
      </w:r>
      <m:oMath>
        <m:sSubSup>
          <m:e>
            <m:r>
              <m:t>χ</m:t>
            </m:r>
          </m:e>
          <m:sub>
            <m:d>
              <m:dPr>
                <m:begChr m:val="("/>
                <m:endChr m:val=")"/>
                <m:sepChr m:val=""/>
                <m:grow/>
              </m:dPr>
              <m:e>
                <m:r>
                  <m:t>6</m:t>
                </m:r>
              </m:e>
            </m:d>
          </m:sub>
          <m:sup>
            <m:r>
              <m:t>2</m:t>
            </m:r>
          </m:sup>
        </m:sSubSup>
      </m:oMath>
      <w:r>
        <w:t xml:space="preserve"> </w:t>
      </w:r>
      <w:r>
        <w:t xml:space="preserve">= 298.93, p = &lt; .001).</w:t>
      </w:r>
      <w:r>
        <w:t xml:space="preserve"> </w:t>
      </w:r>
      <w:r>
        <w:t xml:space="preserve">Weekends were over-represented (Saturday: z = 6.09; Sunday: z = 11.44), while Wednesdays (z = -9.77) and Thursdays (z = -8.54) were under-represented.</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9,758</w:t>
            </w:r>
          </w:p>
        </w:tc>
        <w:tc>
          <w:tcPr/>
          <w:p>
            <w:pPr>
              <w:pStyle w:val="Compact"/>
              <w:jc w:val="left"/>
            </w:pPr>
            <w:r>
              <w:t xml:space="preserve">3,062</w:t>
            </w:r>
          </w:p>
        </w:tc>
        <w:tc>
          <w:tcPr/>
          <w:p>
            <w:pPr>
              <w:pStyle w:val="Compact"/>
              <w:jc w:val="left"/>
            </w:pPr>
            <w:r>
              <w:t xml:space="preserve">473</w:t>
            </w:r>
          </w:p>
        </w:tc>
        <w:tc>
          <w:tcPr/>
          <w:p>
            <w:pPr>
              <w:pStyle w:val="Compact"/>
              <w:jc w:val="left"/>
            </w:pPr>
            <w:r>
              <w:t xml:space="preserve">4,675</w:t>
            </w:r>
          </w:p>
        </w:tc>
        <w:tc>
          <w:tcPr/>
          <w:p>
            <w:pPr>
              <w:pStyle w:val="Compact"/>
              <w:jc w:val="left"/>
            </w:pPr>
            <w:r>
              <w:t xml:space="preserve">6,563</w:t>
            </w:r>
          </w:p>
        </w:tc>
      </w:tr>
      <w:tr>
        <w:tc>
          <w:tcPr/>
          <w:p>
            <w:pPr>
              <w:pStyle w:val="Compact"/>
              <w:jc w:val="left"/>
            </w:pPr>
            <w:r>
              <w:t xml:space="preserve">   Age</w:t>
            </w:r>
          </w:p>
        </w:tc>
        <w:tc>
          <w:tcPr/>
          <w:p>
            <w:pPr>
              <w:pStyle w:val="Compact"/>
              <w:jc w:val="left"/>
            </w:pPr>
            <w:r>
              <w:t xml:space="preserve">9.49 (1.51)</w:t>
            </w:r>
          </w:p>
        </w:tc>
        <w:tc>
          <w:tcPr/>
          <w:p>
            <w:pPr>
              <w:pStyle w:val="Compact"/>
              <w:jc w:val="left"/>
            </w:pPr>
            <w:r>
              <w:t xml:space="preserve">13.71 (2.39)</w:t>
            </w:r>
          </w:p>
        </w:tc>
        <w:tc>
          <w:tcPr/>
          <w:p>
            <w:pPr>
              <w:pStyle w:val="Compact"/>
              <w:jc w:val="left"/>
            </w:pPr>
            <w:r>
              <w:t xml:space="preserve">23.90 (6.13)</w:t>
            </w:r>
          </w:p>
        </w:tc>
        <w:tc>
          <w:tcPr/>
          <w:p>
            <w:pPr>
              <w:pStyle w:val="Compact"/>
              <w:jc w:val="left"/>
            </w:pPr>
            <w:r>
              <w:t xml:space="preserve">56.72 (7.55)</w:t>
            </w:r>
          </w:p>
        </w:tc>
        <w:tc>
          <w:tcPr/>
          <w:p>
            <w:pPr>
              <w:pStyle w:val="Compact"/>
              <w:jc w:val="left"/>
            </w:pPr>
            <w:r>
              <w:t xml:space="preserve">72.21 (4.73)</w:t>
            </w:r>
          </w:p>
        </w:tc>
      </w:tr>
      <w:tr>
        <w:tc>
          <w:tcPr/>
          <w:p>
            <w:pPr>
              <w:pStyle w:val="Compact"/>
              <w:jc w:val="left"/>
            </w:pPr>
            <w:r>
              <w:t xml:space="preserve">   BMI</w:t>
            </w:r>
          </w:p>
        </w:tc>
        <w:tc>
          <w:tcPr/>
          <w:p>
            <w:pPr>
              <w:pStyle w:val="Compact"/>
              <w:jc w:val="left"/>
            </w:pPr>
            <w:r>
              <w:t xml:space="preserve">17.95 (3.30)</w:t>
            </w:r>
          </w:p>
        </w:tc>
        <w:tc>
          <w:tcPr/>
          <w:p>
            <w:pPr>
              <w:pStyle w:val="Compact"/>
              <w:jc w:val="left"/>
            </w:pPr>
            <w:r>
              <w:t xml:space="preserve">20.39 (4.00)</w:t>
            </w:r>
          </w:p>
        </w:tc>
        <w:tc>
          <w:tcPr/>
          <w:p>
            <w:pPr>
              <w:pStyle w:val="Compact"/>
              <w:jc w:val="left"/>
            </w:pPr>
            <w:r>
              <w:t xml:space="preserve">24.71 (5.88)</w:t>
            </w:r>
          </w:p>
        </w:tc>
        <w:tc>
          <w:tcPr/>
          <w:p>
            <w:pPr>
              <w:pStyle w:val="Compact"/>
              <w:jc w:val="left"/>
            </w:pPr>
            <w:r>
              <w:t xml:space="preserve">26.87 (4.95)</w:t>
            </w:r>
          </w:p>
        </w:tc>
        <w:tc>
          <w:tcPr/>
          <w:p>
            <w:pPr>
              <w:pStyle w:val="Compact"/>
              <w:jc w:val="left"/>
            </w:pPr>
            <w:r>
              <w:t xml:space="preserve">27.08 (4.42)</w:t>
            </w:r>
          </w:p>
        </w:tc>
      </w:tr>
      <w:tr>
        <w:tc>
          <w:tcPr/>
          <w:p>
            <w:pPr>
              <w:pStyle w:val="Compact"/>
              <w:jc w:val="left"/>
            </w:pPr>
            <w:r>
              <w:t xml:space="preserve">   Valid Weartime Hours</w:t>
            </w:r>
          </w:p>
        </w:tc>
        <w:tc>
          <w:tcPr/>
          <w:p>
            <w:pPr>
              <w:pStyle w:val="Compact"/>
              <w:jc w:val="left"/>
            </w:pPr>
            <w:r>
              <w:t xml:space="preserve">23.11 (1.67)</w:t>
            </w:r>
          </w:p>
        </w:tc>
        <w:tc>
          <w:tcPr/>
          <w:p>
            <w:pPr>
              <w:pStyle w:val="Compact"/>
              <w:jc w:val="left"/>
            </w:pPr>
            <w:r>
              <w:t xml:space="preserve">23.07 (1.75)</w:t>
            </w:r>
          </w:p>
        </w:tc>
        <w:tc>
          <w:tcPr/>
          <w:p>
            <w:pPr>
              <w:pStyle w:val="Compact"/>
              <w:jc w:val="left"/>
            </w:pPr>
            <w:r>
              <w:t xml:space="preserve">23.35 (1.53)</w:t>
            </w:r>
          </w:p>
        </w:tc>
        <w:tc>
          <w:tcPr/>
          <w:p>
            <w:pPr>
              <w:pStyle w:val="Compact"/>
              <w:jc w:val="left"/>
            </w:pPr>
            <w:r>
              <w:t xml:space="preserve">23.72 (0.87)</w:t>
            </w:r>
          </w:p>
        </w:tc>
        <w:tc>
          <w:tcPr/>
          <w:p>
            <w:pPr>
              <w:pStyle w:val="Compact"/>
              <w:jc w:val="left"/>
            </w:pPr>
            <w:r>
              <w:t xml:space="preserve">23.87 (0.60)</w:t>
            </w:r>
          </w:p>
        </w:tc>
      </w:tr>
      <w:tr>
        <w:tc>
          <w:tcPr/>
          <w:p>
            <w:pPr>
              <w:pStyle w:val="Compact"/>
              <w:jc w:val="left"/>
            </w:pPr>
            <w:r>
              <w:t xml:space="preserve">   Valid Weatime Days</w:t>
            </w:r>
          </w:p>
        </w:tc>
        <w:tc>
          <w:tcPr/>
          <w:p>
            <w:pPr>
              <w:pStyle w:val="Compact"/>
              <w:jc w:val="left"/>
            </w:pPr>
            <w:r>
              <w:t xml:space="preserve">5.56 (1.93)</w:t>
            </w:r>
          </w:p>
        </w:tc>
        <w:tc>
          <w:tcPr/>
          <w:p>
            <w:pPr>
              <w:pStyle w:val="Compact"/>
              <w:jc w:val="left"/>
            </w:pPr>
            <w:r>
              <w:t xml:space="preserve">5.14 (1.78)</w:t>
            </w:r>
          </w:p>
        </w:tc>
        <w:tc>
          <w:tcPr/>
          <w:p>
            <w:pPr>
              <w:pStyle w:val="Compact"/>
              <w:jc w:val="left"/>
            </w:pPr>
            <w:r>
              <w:t xml:space="preserve">4.64 (1.36)</w:t>
            </w:r>
          </w:p>
        </w:tc>
        <w:tc>
          <w:tcPr/>
          <w:p>
            <w:pPr>
              <w:pStyle w:val="Compact"/>
              <w:jc w:val="left"/>
            </w:pPr>
            <w:r>
              <w:t xml:space="preserve">7.27 (2.60)</w:t>
            </w:r>
          </w:p>
        </w:tc>
        <w:tc>
          <w:tcPr/>
          <w:p>
            <w:pPr>
              <w:pStyle w:val="Compact"/>
              <w:jc w:val="left"/>
            </w:pPr>
            <w:r>
              <w:t xml:space="preserve">6.49 (2.12)</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-2.36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43.79 (25.80)</w:t>
            </w:r>
          </w:p>
        </w:tc>
        <w:tc>
          <w:tcPr/>
          <w:p>
            <w:pPr>
              <w:pStyle w:val="Compact"/>
              <w:jc w:val="left"/>
            </w:pPr>
            <w:r>
              <w:t xml:space="preserve">43.13 (17.26)</w:t>
            </w:r>
          </w:p>
        </w:tc>
        <w:tc>
          <w:tcPr/>
          <w:p>
            <w:pPr>
              <w:pStyle w:val="Compact"/>
              <w:jc w:val="left"/>
            </w:pPr>
            <w:r>
              <w:t xml:space="preserve">41.12 (11.59)</w:t>
            </w:r>
          </w:p>
        </w:tc>
        <w:tc>
          <w:tcPr/>
          <w:p>
            <w:pPr>
              <w:pStyle w:val="Compact"/>
              <w:jc w:val="left"/>
            </w:pPr>
            <w:r>
              <w:t xml:space="preserve">39.60 (13.14)</w:t>
            </w:r>
          </w:p>
        </w:tc>
        <w:tc>
          <w:tcPr/>
          <w:p>
            <w:pPr>
              <w:pStyle w:val="Compact"/>
              <w:jc w:val="left"/>
            </w:pPr>
            <w:r>
              <w:t xml:space="preserve">31.30 (10.41)</w:t>
            </w:r>
          </w:p>
        </w:tc>
      </w:tr>
      <w:tr>
        <w:tc>
          <w:tcPr/>
          <w:p>
            <w:pPr>
              <w:pStyle w:val="Compact"/>
              <w:jc w:val="left"/>
            </w:pPr>
            <w:r>
              <w:t xml:space="preserve">   Sleep Duration (min)</w:t>
            </w:r>
          </w:p>
        </w:tc>
        <w:tc>
          <w:tcPr/>
          <w:p>
            <w:pPr>
              <w:pStyle w:val="Compact"/>
              <w:jc w:val="left"/>
            </w:pPr>
            <w:r>
              <w:t xml:space="preserve">485.41 (54.44)</w:t>
            </w:r>
          </w:p>
        </w:tc>
        <w:tc>
          <w:tcPr/>
          <w:p>
            <w:pPr>
              <w:pStyle w:val="Compact"/>
              <w:jc w:val="left"/>
            </w:pPr>
            <w:r>
              <w:t xml:space="preserve">449.68 (66.67)</w:t>
            </w:r>
          </w:p>
        </w:tc>
        <w:tc>
          <w:tcPr/>
          <w:p>
            <w:pPr>
              <w:pStyle w:val="Compact"/>
              <w:jc w:val="left"/>
            </w:pPr>
            <w:r>
              <w:t xml:space="preserve">412.24 (57.99)</w:t>
            </w:r>
          </w:p>
        </w:tc>
        <w:tc>
          <w:tcPr/>
          <w:p>
            <w:pPr>
              <w:pStyle w:val="Compact"/>
              <w:jc w:val="left"/>
            </w:pPr>
            <w:r>
              <w:t xml:space="preserve">408.17 (56.56)</w:t>
            </w:r>
          </w:p>
        </w:tc>
        <w:tc>
          <w:tcPr/>
          <w:p>
            <w:pPr>
              <w:pStyle w:val="Compact"/>
              <w:jc w:val="left"/>
            </w:pPr>
            <w:r>
              <w:t xml:space="preserve">405.08 (63.91)</w:t>
            </w:r>
          </w:p>
        </w:tc>
      </w:tr>
      <w:tr>
        <w:tc>
          <w:tcPr/>
          <w:p>
            <w:pPr>
              <w:pStyle w:val="Compact"/>
              <w:jc w:val="left"/>
            </w:pPr>
            <w:r>
              <w:t xml:space="preserve">   Sleep Efficiency (%)</w:t>
            </w:r>
          </w:p>
        </w:tc>
        <w:tc>
          <w:tcPr/>
          <w:p>
            <w:pPr>
              <w:pStyle w:val="Compact"/>
              <w:jc w:val="left"/>
            </w:pPr>
            <w:r>
              <w:t xml:space="preserve">80.88 (7.56)</w:t>
            </w:r>
          </w:p>
        </w:tc>
        <w:tc>
          <w:tcPr/>
          <w:p>
            <w:pPr>
              <w:pStyle w:val="Compact"/>
              <w:jc w:val="left"/>
            </w:pPr>
            <w:r>
              <w:t xml:space="preserve">83.92 (7.90)</w:t>
            </w:r>
          </w:p>
        </w:tc>
        <w:tc>
          <w:tcPr/>
          <w:p>
            <w:pPr>
              <w:pStyle w:val="Compact"/>
              <w:jc w:val="left"/>
            </w:pPr>
            <w:r>
              <w:t xml:space="preserve">87.47 (6.26)</w:t>
            </w:r>
          </w:p>
        </w:tc>
        <w:tc>
          <w:tcPr/>
          <w:p>
            <w:pPr>
              <w:pStyle w:val="Compact"/>
              <w:jc w:val="left"/>
            </w:pPr>
            <w:r>
              <w:t xml:space="preserve">87.81 (5.55)</w:t>
            </w:r>
          </w:p>
        </w:tc>
        <w:tc>
          <w:tcPr/>
          <w:p>
            <w:pPr>
              <w:pStyle w:val="Compact"/>
              <w:jc w:val="left"/>
            </w:pPr>
            <w:r>
              <w:t xml:space="preserve">86.46 (6.31)</w:t>
            </w:r>
          </w:p>
        </w:tc>
      </w:tr>
      <w:tr>
        <w:tc>
          <w:tcPr/>
          <w:p>
            <w:pPr>
              <w:pStyle w:val="Compact"/>
              <w:jc w:val="left"/>
            </w:pPr>
            <w:r>
              <w:t xml:space="preserve">   Sleep Onset (HH:MM clock time)</w:t>
            </w:r>
          </w:p>
        </w:tc>
        <w:tc>
          <w:tcPr/>
          <w:p>
            <w:pPr>
              <w:pStyle w:val="Compact"/>
              <w:jc w:val="left"/>
            </w:pPr>
            <w:r>
              <w:t xml:space="preserve">20:59 (01:12)</w:t>
            </w:r>
          </w:p>
        </w:tc>
        <w:tc>
          <w:tcPr/>
          <w:p>
            <w:pPr>
              <w:pStyle w:val="Compact"/>
              <w:jc w:val="left"/>
            </w:pPr>
            <w:r>
              <w:t xml:space="preserve">22:13 (01:52)</w:t>
            </w:r>
          </w:p>
        </w:tc>
        <w:tc>
          <w:tcPr/>
          <w:p>
            <w:pPr>
              <w:pStyle w:val="Compact"/>
              <w:jc w:val="left"/>
            </w:pPr>
            <w:r>
              <w:t xml:space="preserve">23:50 (01:25)</w:t>
            </w:r>
          </w:p>
        </w:tc>
        <w:tc>
          <w:tcPr/>
          <w:p>
            <w:pPr>
              <w:pStyle w:val="Compact"/>
              <w:jc w:val="left"/>
            </w:pPr>
            <w:r>
              <w:t xml:space="preserve">23:37 (01:21)</w:t>
            </w:r>
          </w:p>
        </w:tc>
        <w:tc>
          <w:tcPr/>
          <w:p>
            <w:pPr>
              <w:pStyle w:val="Compact"/>
              <w:jc w:val="left"/>
            </w:pPr>
            <w:r>
              <w:t xml:space="preserve">24:22 (01:17)</w:t>
            </w:r>
          </w:p>
        </w:tc>
      </w:tr>
      <w:tr>
        <w:tc>
          <w:tcPr/>
          <w:p>
            <w:pPr>
              <w:pStyle w:val="Compact"/>
              <w:jc w:val="left"/>
            </w:pPr>
            <w:r>
              <w:t xml:space="preserve">   Sleep Regularity</w:t>
            </w:r>
          </w:p>
        </w:tc>
        <w:tc>
          <w:tcPr/>
          <w:p>
            <w:pPr>
              <w:pStyle w:val="Compact"/>
              <w:jc w:val="left"/>
            </w:pPr>
            <w:r>
              <w:t xml:space="preserve">54.53 (12.67)</w:t>
            </w:r>
          </w:p>
        </w:tc>
        <w:tc>
          <w:tcPr/>
          <w:p>
            <w:pPr>
              <w:pStyle w:val="Compact"/>
              <w:jc w:val="left"/>
            </w:pPr>
            <w:r>
              <w:t xml:space="preserve">54.22 (13.10)</w:t>
            </w:r>
          </w:p>
        </w:tc>
        <w:tc>
          <w:tcPr/>
          <w:p>
            <w:pPr>
              <w:pStyle w:val="Compact"/>
              <w:jc w:val="left"/>
            </w:pPr>
            <w:r>
              <w:t xml:space="preserve">54.98 (12.51)</w:t>
            </w:r>
          </w:p>
        </w:tc>
        <w:tc>
          <w:tcPr/>
          <w:p>
            <w:pPr>
              <w:pStyle w:val="Compact"/>
              <w:jc w:val="left"/>
            </w:pPr>
            <w:r>
              <w:t xml:space="preserve">59.50 (11.44)</w:t>
            </w:r>
          </w:p>
        </w:tc>
        <w:tc>
          <w:tcPr/>
          <w:p>
            <w:pPr>
              <w:pStyle w:val="Compact"/>
              <w:jc w:val="left"/>
            </w:pPr>
            <w:r>
              <w:t xml:space="preserve">54.83 (12.53)</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2,479 (25.40%)</w:t>
            </w:r>
          </w:p>
        </w:tc>
        <w:tc>
          <w:tcPr/>
          <w:p>
            <w:pPr>
              <w:pStyle w:val="Compact"/>
              <w:jc w:val="left"/>
            </w:pPr>
            <w:r>
              <w:t xml:space="preserve">1,928 (62.97%)</w:t>
            </w:r>
          </w:p>
        </w:tc>
        <w:tc>
          <w:tcPr/>
          <w:p>
            <w:pPr>
              <w:pStyle w:val="Compact"/>
              <w:jc w:val="left"/>
            </w:pPr>
            <w:r>
              <w:t xml:space="preserve">473 (100.00%)</w:t>
            </w:r>
          </w:p>
        </w:tc>
        <w:tc>
          <w:tcPr/>
          <w:p>
            <w:pPr>
              <w:pStyle w:val="Compact"/>
              <w:jc w:val="left"/>
            </w:pPr>
            <w:r>
              <w:t xml:space="preserve">4,675 (100.00%)</w:t>
            </w:r>
          </w:p>
        </w:tc>
        <w:tc>
          <w:tcPr/>
          <w:p>
            <w:pPr>
              <w:pStyle w:val="Compact"/>
              <w:jc w:val="left"/>
            </w:pPr>
            <w:r>
              <w:t xml:space="preserve">6,563 (100.00%)</w:t>
            </w:r>
          </w:p>
        </w:tc>
      </w:tr>
      <w:tr>
        <w:tc>
          <w:tcPr/>
          <w:p>
            <w:pPr>
              <w:pStyle w:val="Compact"/>
              <w:jc w:val="left"/>
            </w:pPr>
            <w:r>
              <w:t xml:space="preserve">   Hip</w:t>
            </w:r>
          </w:p>
        </w:tc>
        <w:tc>
          <w:tcPr/>
          <w:p>
            <w:pPr>
              <w:pStyle w:val="Compact"/>
              <w:jc w:val="left"/>
            </w:pPr>
            <w:r>
              <w:t xml:space="preserve">7,279 (74.60%)</w:t>
            </w:r>
          </w:p>
        </w:tc>
        <w:tc>
          <w:tcPr/>
          <w:p>
            <w:pPr>
              <w:pStyle w:val="Compact"/>
              <w:jc w:val="left"/>
            </w:pPr>
            <w:r>
              <w:t xml:space="preserve">1,134 (37.03%)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1,830 (18.75%)</w:t>
            </w:r>
          </w:p>
        </w:tc>
        <w:tc>
          <w:tcPr/>
          <w:p>
            <w:pPr>
              <w:pStyle w:val="Compact"/>
              <w:jc w:val="left"/>
            </w:pPr>
            <w:r>
              <w:t xml:space="preserve">  469 (15.32%)</w:t>
            </w:r>
          </w:p>
        </w:tc>
        <w:tc>
          <w:tcPr/>
          <w:p>
            <w:pPr>
              <w:pStyle w:val="Compact"/>
              <w:jc w:val="left"/>
            </w:pPr>
            <w:r>
              <w:t xml:space="preserve">34 (7.19%)</w:t>
            </w:r>
          </w:p>
        </w:tc>
        <w:tc>
          <w:tcPr/>
          <w:p>
            <w:pPr>
              <w:pStyle w:val="Compact"/>
              <w:jc w:val="left"/>
            </w:pPr>
            <w:r>
              <w:t xml:space="preserve">   87 (1.86%)</w:t>
            </w:r>
          </w:p>
        </w:tc>
        <w:tc>
          <w:tcPr/>
          <w:p>
            <w:pPr>
              <w:pStyle w:val="Compact"/>
              <w:jc w:val="left"/>
            </w:pPr>
            <w:r>
              <w:t xml:space="preserve">  263 (4.01%)</w:t>
            </w:r>
          </w:p>
        </w:tc>
      </w:tr>
      <w:tr>
        <w:tc>
          <w:tcPr/>
          <w:p>
            <w:pPr>
              <w:pStyle w:val="Compact"/>
              <w:jc w:val="left"/>
            </w:pPr>
            <w:r>
              <w:t xml:space="preserve">   Unclear</w:t>
            </w:r>
          </w:p>
        </w:tc>
        <w:tc>
          <w:tcPr/>
          <w:p>
            <w:pPr>
              <w:pStyle w:val="Compact"/>
              <w:jc w:val="left"/>
            </w:pPr>
            <w:r>
              <w:t xml:space="preserve">4,016 (41.16%)</w:t>
            </w:r>
          </w:p>
        </w:tc>
        <w:tc>
          <w:tcPr/>
          <w:p>
            <w:pPr>
              <w:pStyle w:val="Compact"/>
              <w:jc w:val="left"/>
            </w:pPr>
            <w:r>
              <w:t xml:space="preserve">1,620 (52.91%)</w:t>
            </w:r>
          </w:p>
        </w:tc>
        <w:tc>
          <w:tcPr/>
          <w:p>
            <w:pPr>
              <w:pStyle w:val="Compact"/>
              <w:jc w:val="left"/>
            </w:pPr>
            <w:r>
              <w:t xml:space="preserve">235 (49.68%)</w:t>
            </w:r>
          </w:p>
        </w:tc>
        <w:tc>
          <w:tcPr/>
          <w:p>
            <w:pPr>
              <w:pStyle w:val="Compact"/>
              <w:jc w:val="left"/>
            </w:pPr>
            <w:r>
              <w:t xml:space="preserve">1,317 (28.17%)</w:t>
            </w:r>
          </w:p>
        </w:tc>
        <w:tc>
          <w:tcPr/>
          <w:p>
            <w:pPr>
              <w:pStyle w:val="Compact"/>
              <w:jc w:val="left"/>
            </w:pPr>
            <w:r>
              <w:t xml:space="preserve">2,475 (37.71%)</w:t>
            </w:r>
          </w:p>
        </w:tc>
      </w:tr>
      <w:tr>
        <w:tc>
          <w:tcPr/>
          <w:p>
            <w:pPr>
              <w:pStyle w:val="Compact"/>
              <w:jc w:val="left"/>
            </w:pPr>
            <w:r>
              <w:t xml:space="preserve">   White</w:t>
            </w:r>
          </w:p>
        </w:tc>
        <w:tc>
          <w:tcPr/>
          <w:p>
            <w:pPr>
              <w:pStyle w:val="Compact"/>
              <w:jc w:val="left"/>
            </w:pPr>
            <w:r>
              <w:t xml:space="preserve">3,912 (40.09%)</w:t>
            </w:r>
          </w:p>
        </w:tc>
        <w:tc>
          <w:tcPr/>
          <w:p>
            <w:pPr>
              <w:pStyle w:val="Compact"/>
              <w:jc w:val="left"/>
            </w:pPr>
            <w:r>
              <w:t xml:space="preserve">  973 (31.78%)</w:t>
            </w:r>
          </w:p>
        </w:tc>
        <w:tc>
          <w:tcPr/>
          <w:p>
            <w:pPr>
              <w:pStyle w:val="Compact"/>
              <w:jc w:val="left"/>
            </w:pPr>
            <w:r>
              <w:t xml:space="preserve">204 (43.13%)</w:t>
            </w:r>
          </w:p>
        </w:tc>
        <w:tc>
          <w:tcPr/>
          <w:p>
            <w:pPr>
              <w:pStyle w:val="Compact"/>
              <w:jc w:val="left"/>
            </w:pPr>
            <w:r>
              <w:t xml:space="preserve">3,271 (69.97%)</w:t>
            </w:r>
          </w:p>
        </w:tc>
        <w:tc>
          <w:tcPr/>
          <w:p>
            <w:pPr>
              <w:pStyle w:val="Compact"/>
              <w:jc w:val="left"/>
            </w:pPr>
            <w:r>
              <w:t xml:space="preserve">3,825 (58.28%)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3,203 (32.82%)</w:t>
            </w:r>
          </w:p>
        </w:tc>
        <w:tc>
          <w:tcPr/>
          <w:p>
            <w:pPr>
              <w:pStyle w:val="Compact"/>
              <w:jc w:val="left"/>
            </w:pPr>
            <w:r>
              <w:t xml:space="preserve">1,189 (38.83%)</w:t>
            </w:r>
          </w:p>
        </w:tc>
        <w:tc>
          <w:tcPr/>
          <w:p>
            <w:pPr>
              <w:pStyle w:val="Compact"/>
              <w:jc w:val="left"/>
            </w:pPr>
            <w:r>
              <w:t xml:space="preserve">234 (49.47%)</w:t>
            </w:r>
          </w:p>
        </w:tc>
        <w:tc>
          <w:tcPr/>
          <w:p>
            <w:pPr>
              <w:pStyle w:val="Compact"/>
              <w:jc w:val="left"/>
            </w:pPr>
            <w:r>
              <w:t xml:space="preserve">4,305 (92.09%)</w:t>
            </w:r>
          </w:p>
        </w:tc>
        <w:tc>
          <w:tcPr/>
          <w:p>
            <w:pPr>
              <w:pStyle w:val="Compact"/>
              <w:jc w:val="left"/>
            </w:pPr>
            <w:r>
              <w:t xml:space="preserve">6,560 (99.95%)</w:t>
            </w:r>
          </w:p>
        </w:tc>
      </w:tr>
      <w:tr>
        <w:tc>
          <w:tcPr/>
          <w:p>
            <w:pPr>
              <w:pStyle w:val="Compact"/>
              <w:jc w:val="left"/>
            </w:pPr>
            <w:r>
              <w:t xml:space="preserve">   Oceania</w:t>
            </w:r>
          </w:p>
        </w:tc>
        <w:tc>
          <w:tcPr/>
          <w:p>
            <w:pPr>
              <w:pStyle w:val="Compact"/>
              <w:jc w:val="left"/>
            </w:pPr>
            <w:r>
              <w:t xml:space="preserve">1,761 (18.05%)</w:t>
            </w:r>
          </w:p>
        </w:tc>
        <w:tc>
          <w:tcPr/>
          <w:p>
            <w:pPr>
              <w:pStyle w:val="Compact"/>
              <w:jc w:val="left"/>
            </w:pPr>
            <w:r>
              <w:t xml:space="preserve">  552 (18.03%)</w:t>
            </w:r>
          </w:p>
        </w:tc>
        <w:tc>
          <w:tcPr/>
          <w:p>
            <w:pPr>
              <w:pStyle w:val="Compact"/>
              <w:jc w:val="left"/>
            </w:pPr>
            <w:r>
              <w:t xml:space="preserve">123 (26.00%)</w:t>
            </w:r>
          </w:p>
        </w:tc>
        <w:tc>
          <w:tcPr/>
          <w:p>
            <w:pPr>
              <w:pStyle w:val="Compact"/>
              <w:jc w:val="left"/>
            </w:pPr>
            <w:r>
              <w:t xml:space="preserve">  370 (7.91%)</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2,074 (21.25%)</w:t>
            </w:r>
          </w:p>
        </w:tc>
        <w:tc>
          <w:tcPr/>
          <w:p>
            <w:pPr>
              <w:pStyle w:val="Compact"/>
              <w:jc w:val="left"/>
            </w:pPr>
            <w:r>
              <w:t xml:space="preserve">  984 (32.14%)</w:t>
            </w:r>
          </w:p>
        </w:tc>
        <w:tc>
          <w:tcPr/>
          <w:p>
            <w:pPr>
              <w:pStyle w:val="Compact"/>
              <w:jc w:val="left"/>
            </w:pPr>
            <w:r>
              <w:t xml:space="preserve">116 (24.52%)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876 (8.98%)</w:t>
            </w:r>
          </w:p>
        </w:tc>
        <w:tc>
          <w:tcPr/>
          <w:p>
            <w:pPr>
              <w:pStyle w:val="Compact"/>
              <w:jc w:val="left"/>
            </w:pPr>
            <w:r>
              <w:t xml:space="preserve">  167 (5.45%)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610 (6.25%)</w:t>
            </w:r>
          </w:p>
        </w:tc>
        <w:tc>
          <w:tcPr/>
          <w:p>
            <w:pPr>
              <w:pStyle w:val="Compact"/>
              <w:jc w:val="left"/>
            </w:pPr>
            <w:r>
              <w:t xml:space="preserve">   90 (2.94%)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1,234 (12.65%)</w:t>
            </w:r>
          </w:p>
        </w:tc>
        <w:tc>
          <w:tcPr/>
          <w:p>
            <w:pPr>
              <w:pStyle w:val="Compact"/>
              <w:jc w:val="left"/>
            </w:pPr>
            <w:r>
              <w:t xml:space="preserve">   80 (2.61%)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3,213 (32.93%)</w:t>
            </w:r>
          </w:p>
        </w:tc>
        <w:tc>
          <w:tcPr/>
          <w:p>
            <w:pPr>
              <w:pStyle w:val="Compact"/>
              <w:jc w:val="left"/>
            </w:pPr>
            <w:r>
              <w:t xml:space="preserve">  668 (21.82%)</w:t>
            </w:r>
          </w:p>
        </w:tc>
        <w:tc>
          <w:tcPr/>
          <w:p>
            <w:pPr>
              <w:pStyle w:val="Compact"/>
              <w:jc w:val="left"/>
            </w:pPr>
            <w:r>
              <w:t xml:space="preserve">55 (11.63%)</w:t>
            </w:r>
          </w:p>
        </w:tc>
        <w:tc>
          <w:tcPr/>
          <w:p>
            <w:pPr>
              <w:pStyle w:val="Compact"/>
              <w:jc w:val="left"/>
            </w:pPr>
            <w:r>
              <w:t xml:space="preserve">1,154 (24.68%)</w:t>
            </w:r>
          </w:p>
        </w:tc>
        <w:tc>
          <w:tcPr/>
          <w:p>
            <w:pPr>
              <w:pStyle w:val="Compact"/>
              <w:jc w:val="left"/>
            </w:pPr>
            <w:r>
              <w:t xml:space="preserve">1,380 (21.03%)</w:t>
            </w:r>
          </w:p>
        </w:tc>
      </w:tr>
      <w:tr>
        <w:tc>
          <w:tcPr/>
          <w:p>
            <w:pPr>
              <w:pStyle w:val="Compact"/>
              <w:jc w:val="left"/>
            </w:pPr>
            <w:r>
              <w:t xml:space="preserve">   Spring</w:t>
            </w:r>
          </w:p>
        </w:tc>
        <w:tc>
          <w:tcPr/>
          <w:p>
            <w:pPr>
              <w:pStyle w:val="Compact"/>
              <w:jc w:val="left"/>
            </w:pPr>
            <w:r>
              <w:t xml:space="preserve">2,268 (23.24%)</w:t>
            </w:r>
          </w:p>
        </w:tc>
        <w:tc>
          <w:tcPr/>
          <w:p>
            <w:pPr>
              <w:pStyle w:val="Compact"/>
              <w:jc w:val="left"/>
            </w:pPr>
            <w:r>
              <w:t xml:space="preserve">1,588 (51.86%)</w:t>
            </w:r>
          </w:p>
        </w:tc>
        <w:tc>
          <w:tcPr/>
          <w:p>
            <w:pPr>
              <w:pStyle w:val="Compact"/>
              <w:jc w:val="left"/>
            </w:pPr>
            <w:r>
              <w:t xml:space="preserve">265 (56.03%)</w:t>
            </w:r>
          </w:p>
        </w:tc>
        <w:tc>
          <w:tcPr/>
          <w:p>
            <w:pPr>
              <w:pStyle w:val="Compact"/>
              <w:jc w:val="left"/>
            </w:pPr>
            <w:r>
              <w:t xml:space="preserve">1,152 (24.64%)</w:t>
            </w:r>
          </w:p>
        </w:tc>
        <w:tc>
          <w:tcPr/>
          <w:p>
            <w:pPr>
              <w:pStyle w:val="Compact"/>
              <w:jc w:val="left"/>
            </w:pPr>
            <w:r>
              <w:t xml:space="preserve">2,107 (32.10%)</w:t>
            </w:r>
          </w:p>
        </w:tc>
      </w:tr>
      <w:tr>
        <w:tc>
          <w:tcPr/>
          <w:p>
            <w:pPr>
              <w:pStyle w:val="Compact"/>
              <w:jc w:val="left"/>
            </w:pPr>
            <w:r>
              <w:t xml:space="preserve">   Summer</w:t>
            </w:r>
          </w:p>
        </w:tc>
        <w:tc>
          <w:tcPr/>
          <w:p>
            <w:pPr>
              <w:pStyle w:val="Compact"/>
              <w:jc w:val="left"/>
            </w:pPr>
            <w:r>
              <w:t xml:space="preserve">1,169 (11.98%)</w:t>
            </w:r>
          </w:p>
        </w:tc>
        <w:tc>
          <w:tcPr/>
          <w:p>
            <w:pPr>
              <w:pStyle w:val="Compact"/>
              <w:jc w:val="left"/>
            </w:pPr>
            <w:r>
              <w:t xml:space="preserve">  311 (10.16%)</w:t>
            </w:r>
          </w:p>
        </w:tc>
        <w:tc>
          <w:tcPr/>
          <w:p>
            <w:pPr>
              <w:pStyle w:val="Compact"/>
              <w:jc w:val="left"/>
            </w:pPr>
            <w:r>
              <w:t xml:space="preserve">84 (17.76%)</w:t>
            </w:r>
          </w:p>
        </w:tc>
        <w:tc>
          <w:tcPr/>
          <w:p>
            <w:pPr>
              <w:pStyle w:val="Compact"/>
              <w:jc w:val="left"/>
            </w:pPr>
            <w:r>
              <w:t xml:space="preserve">1,172 (25.07%)</w:t>
            </w:r>
          </w:p>
        </w:tc>
        <w:tc>
          <w:tcPr/>
          <w:p>
            <w:pPr>
              <w:pStyle w:val="Compact"/>
              <w:jc w:val="left"/>
            </w:pPr>
            <w:r>
              <w:t xml:space="preserve">1,378 (21.00%)</w:t>
            </w:r>
          </w:p>
        </w:tc>
      </w:tr>
      <w:tr>
        <w:tc>
          <w:tcPr/>
          <w:p>
            <w:pPr>
              <w:pStyle w:val="Compact"/>
              <w:jc w:val="left"/>
            </w:pPr>
            <w:r>
              <w:t xml:space="preserve">   Winter</w:t>
            </w:r>
          </w:p>
        </w:tc>
        <w:tc>
          <w:tcPr/>
          <w:p>
            <w:pPr>
              <w:pStyle w:val="Compact"/>
              <w:jc w:val="left"/>
            </w:pPr>
            <w:r>
              <w:t xml:space="preserve">3,108 (31.85%)</w:t>
            </w:r>
          </w:p>
        </w:tc>
        <w:tc>
          <w:tcPr/>
          <w:p>
            <w:pPr>
              <w:pStyle w:val="Compact"/>
              <w:jc w:val="left"/>
            </w:pPr>
            <w:r>
              <w:t xml:space="preserve">  495 (16.17%)</w:t>
            </w:r>
          </w:p>
        </w:tc>
        <w:tc>
          <w:tcPr/>
          <w:p>
            <w:pPr>
              <w:pStyle w:val="Compact"/>
              <w:jc w:val="left"/>
            </w:pPr>
            <w:r>
              <w:t xml:space="preserve">69 (14.59%)</w:t>
            </w:r>
          </w:p>
        </w:tc>
        <w:tc>
          <w:tcPr/>
          <w:p>
            <w:pPr>
              <w:pStyle w:val="Compact"/>
              <w:jc w:val="left"/>
            </w:pPr>
            <w:r>
              <w:t xml:space="preserve">1,197 (25.60%)</w:t>
            </w:r>
          </w:p>
        </w:tc>
        <w:tc>
          <w:tcPr/>
          <w:p>
            <w:pPr>
              <w:pStyle w:val="Compact"/>
              <w:jc w:val="left"/>
            </w:pPr>
            <w:r>
              <w:t xml:space="preserve">1,698 (25.87%)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5,118 (52.45%)</w:t>
            </w:r>
          </w:p>
        </w:tc>
        <w:tc>
          <w:tcPr/>
          <w:p>
            <w:pPr>
              <w:pStyle w:val="Compact"/>
              <w:jc w:val="left"/>
            </w:pPr>
            <w:r>
              <w:t xml:space="preserve">1,593 (52.02%)</w:t>
            </w:r>
          </w:p>
        </w:tc>
        <w:tc>
          <w:tcPr/>
          <w:p>
            <w:pPr>
              <w:pStyle w:val="Compact"/>
              <w:jc w:val="left"/>
            </w:pPr>
            <w:r>
              <w:t xml:space="preserve">306 (64.69%)</w:t>
            </w:r>
          </w:p>
        </w:tc>
        <w:tc>
          <w:tcPr/>
          <w:p>
            <w:pPr>
              <w:pStyle w:val="Compact"/>
              <w:jc w:val="left"/>
            </w:pPr>
            <w:r>
              <w:t xml:space="preserve">2,619 (56.02%)</w:t>
            </w:r>
          </w:p>
        </w:tc>
        <w:tc>
          <w:tcPr/>
          <w:p>
            <w:pPr>
              <w:pStyle w:val="Compact"/>
              <w:jc w:val="left"/>
            </w:pPr>
            <w:r>
              <w:t xml:space="preserve">2,725 (41.52%)</w:t>
            </w:r>
          </w:p>
        </w:tc>
      </w:tr>
      <w:tr>
        <w:tc>
          <w:tcPr/>
          <w:p>
            <w:pPr>
              <w:pStyle w:val="Compact"/>
              <w:jc w:val="left"/>
            </w:pPr>
            <w:r>
              <w:t xml:space="preserve">   Male</w:t>
            </w:r>
          </w:p>
        </w:tc>
        <w:tc>
          <w:tcPr/>
          <w:p>
            <w:pPr>
              <w:pStyle w:val="Compact"/>
              <w:jc w:val="left"/>
            </w:pPr>
            <w:r>
              <w:t xml:space="preserve">4,640 (47.55%)</w:t>
            </w:r>
          </w:p>
        </w:tc>
        <w:tc>
          <w:tcPr/>
          <w:p>
            <w:pPr>
              <w:pStyle w:val="Compact"/>
              <w:jc w:val="left"/>
            </w:pPr>
            <w:r>
              <w:t xml:space="preserve">1,469 (47.98%)</w:t>
            </w:r>
          </w:p>
        </w:tc>
        <w:tc>
          <w:tcPr/>
          <w:p>
            <w:pPr>
              <w:pStyle w:val="Compact"/>
              <w:jc w:val="left"/>
            </w:pPr>
            <w:r>
              <w:t xml:space="preserve">167 (35.31%)</w:t>
            </w:r>
          </w:p>
        </w:tc>
        <w:tc>
          <w:tcPr/>
          <w:p>
            <w:pPr>
              <w:pStyle w:val="Compact"/>
              <w:jc w:val="left"/>
            </w:pPr>
            <w:r>
              <w:t xml:space="preserve">2,056 (43.98%)</w:t>
            </w:r>
          </w:p>
        </w:tc>
        <w:tc>
          <w:tcPr/>
          <w:p>
            <w:pPr>
              <w:pStyle w:val="Compact"/>
              <w:jc w:val="left"/>
            </w:pPr>
            <w:r>
              <w:t xml:space="preserve">3,838 (58.48%)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(0.50%)</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261 (5.58%)</w:t>
            </w:r>
          </w:p>
        </w:tc>
        <w:tc>
          <w:tcPr/>
          <w:p>
            <w:pPr>
              <w:pStyle w:val="Compact"/>
              <w:jc w:val="left"/>
            </w:pPr>
            <w:r>
              <w:t xml:space="preserve">  682 (10.39%)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3,607 (36.96%)</w:t>
            </w:r>
          </w:p>
        </w:tc>
        <w:tc>
          <w:tcPr/>
          <w:p>
            <w:pPr>
              <w:pStyle w:val="Compact"/>
              <w:jc w:val="left"/>
            </w:pPr>
            <w:r>
              <w:t xml:space="preserve">  819 (26.75%)</w:t>
            </w:r>
          </w:p>
        </w:tc>
        <w:tc>
          <w:tcPr/>
          <w:p>
            <w:pPr>
              <w:pStyle w:val="Compact"/>
              <w:jc w:val="left"/>
            </w:pPr>
            <w:r>
              <w:t xml:space="preserve">65 (13.74%)</w:t>
            </w:r>
          </w:p>
        </w:tc>
        <w:tc>
          <w:tcPr/>
          <w:p>
            <w:pPr>
              <w:pStyle w:val="Compact"/>
              <w:jc w:val="left"/>
            </w:pPr>
            <w:r>
              <w:t xml:space="preserve">1,162 (24.86%)</w:t>
            </w:r>
          </w:p>
        </w:tc>
        <w:tc>
          <w:tcPr/>
          <w:p>
            <w:pPr>
              <w:pStyle w:val="Compact"/>
              <w:jc w:val="left"/>
            </w:pPr>
            <w:r>
              <w:t xml:space="preserve">2,490 (37.94%)</w:t>
            </w:r>
          </w:p>
        </w:tc>
      </w:tr>
      <w:tr>
        <w:tc>
          <w:tcPr/>
          <w:p>
            <w:pPr>
              <w:pStyle w:val="Compact"/>
              <w:jc w:val="left"/>
            </w:pPr>
            <w:r>
              <w:t xml:space="preserve">   Medium</w:t>
            </w:r>
          </w:p>
        </w:tc>
        <w:tc>
          <w:tcPr/>
          <w:p>
            <w:pPr>
              <w:pStyle w:val="Compact"/>
              <w:jc w:val="left"/>
            </w:pPr>
            <w:r>
              <w:t xml:space="preserve">2,670 (27.36%)</w:t>
            </w:r>
          </w:p>
        </w:tc>
        <w:tc>
          <w:tcPr/>
          <w:p>
            <w:pPr>
              <w:pStyle w:val="Compact"/>
              <w:jc w:val="left"/>
            </w:pPr>
            <w:r>
              <w:t xml:space="preserve">1,105 (36.09%)</w:t>
            </w:r>
          </w:p>
        </w:tc>
        <w:tc>
          <w:tcPr/>
          <w:p>
            <w:pPr>
              <w:pStyle w:val="Compact"/>
              <w:jc w:val="left"/>
            </w:pPr>
            <w:r>
              <w:t xml:space="preserve">265 (56.03%)</w:t>
            </w:r>
          </w:p>
        </w:tc>
        <w:tc>
          <w:tcPr/>
          <w:p>
            <w:pPr>
              <w:pStyle w:val="Compact"/>
              <w:jc w:val="left"/>
            </w:pPr>
            <w:r>
              <w:t xml:space="preserve">2,221 (47.51%)</w:t>
            </w:r>
          </w:p>
        </w:tc>
        <w:tc>
          <w:tcPr/>
          <w:p>
            <w:pPr>
              <w:pStyle w:val="Compact"/>
              <w:jc w:val="left"/>
            </w:pPr>
            <w:r>
              <w:t xml:space="preserve">2,569 (39.14%)</w:t>
            </w:r>
          </w:p>
        </w:tc>
      </w:tr>
      <w:tr>
        <w:tc>
          <w:tcPr/>
          <w:p>
            <w:pPr>
              <w:pStyle w:val="Compact"/>
              <w:jc w:val="left"/>
            </w:pPr>
            <w:r>
              <w:t xml:space="preserve">   High</w:t>
            </w:r>
          </w:p>
        </w:tc>
        <w:tc>
          <w:tcPr/>
          <w:p>
            <w:pPr>
              <w:pStyle w:val="Compact"/>
              <w:jc w:val="left"/>
            </w:pPr>
            <w:r>
              <w:t xml:space="preserve">3,481 (35.67%)</w:t>
            </w:r>
          </w:p>
        </w:tc>
        <w:tc>
          <w:tcPr/>
          <w:p>
            <w:pPr>
              <w:pStyle w:val="Compact"/>
              <w:jc w:val="left"/>
            </w:pPr>
            <w:r>
              <w:t xml:space="preserve">1,138 (37.17%)</w:t>
            </w:r>
          </w:p>
        </w:tc>
        <w:tc>
          <w:tcPr/>
          <w:p>
            <w:pPr>
              <w:pStyle w:val="Compact"/>
              <w:jc w:val="left"/>
            </w:pPr>
            <w:r>
              <w:t xml:space="preserve">143 (30.23%)</w:t>
            </w:r>
          </w:p>
        </w:tc>
        <w:tc>
          <w:tcPr/>
          <w:p>
            <w:pPr>
              <w:pStyle w:val="Compact"/>
              <w:jc w:val="left"/>
            </w:pPr>
            <w:r>
              <w:t xml:space="preserve">1,292 (27.64%)</w:t>
            </w:r>
          </w:p>
        </w:tc>
        <w:tc>
          <w:tcPr/>
          <w:p>
            <w:pPr>
              <w:pStyle w:val="Compact"/>
              <w:jc w:val="left"/>
            </w:pPr>
            <w:r>
              <w:t xml:space="preserve">1,504 (22.92%)</w:t>
            </w:r>
          </w:p>
        </w:tc>
      </w:tr>
    </w:tbl>
    <w:p>
      <w:pPr>
        <w:pStyle w:val="table-note"/>
      </w:pPr>
      <w:r>
        <w:rPr>
          <w:i/>
          <w:iCs/>
        </w:rPr>
        <w:t xml:space="preserve">Note.</w:t>
      </w:r>
      <w:r>
        <w:t xml:space="preserve"> </w:t>
      </w:r>
      <w:r>
        <w:t xml:space="preserve">78 participants had missing age data. For categorical variables the value is the count, and percentage. For numeric variables the value is the Mean and SD. Total N = 24,609</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The effect of physical activity volume on sleep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While we observed statistically significant curvilinear relationships, these did not appear to meaningfully change the effect.</w:t>
      </w:r>
      <w:r>
        <w:t xml:space="preserve"> </w:t>
      </w:r>
      <w:r>
        <w:t xml:space="preserve">The relationship between physical activity volume and sleep duration, efficiency, and onset was consistent across the age groups, with some negligible evidence that the relationship with sleep regularity grew stronger with age.</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0.24 [0.06, 0.41]</w:t>
            </w:r>
          </w:p>
        </w:tc>
        <w:tc>
          <w:tcPr/>
          <w:p>
            <w:pPr>
              <w:pStyle w:val="Compact"/>
              <w:jc w:val="left"/>
            </w:pPr>
            <w:r>
              <w:t xml:space="preserve">0.09</w:t>
            </w:r>
          </w:p>
        </w:tc>
        <w:tc>
          <w:tcPr/>
          <w:p>
            <w:pPr>
              <w:pStyle w:val="Compact"/>
              <w:jc w:val="left"/>
            </w:pPr>
            <w:r>
              <w:t xml:space="preserve">2.69</w:t>
            </w:r>
          </w:p>
        </w:tc>
        <w:tc>
          <w:tcPr/>
          <w:p>
            <w:pPr>
              <w:pStyle w:val="Compact"/>
              <w:jc w:val="left"/>
            </w:pPr>
            <w:r>
              <w:t xml:space="preserve">.007</w:t>
            </w:r>
          </w:p>
        </w:tc>
        <w:tc>
          <w:tcPr/>
          <w:p>
            <w:pPr>
              <w:pStyle w:val="Compact"/>
              <w:jc w:val="left"/>
            </w:pPr>
            <w:r>
              <w:t xml:space="preserve">0.24 [0.07, 0.40]</w:t>
            </w:r>
          </w:p>
        </w:tc>
        <w:tc>
          <w:tcPr/>
          <w:p>
            <w:pPr>
              <w:pStyle w:val="Compact"/>
              <w:jc w:val="left"/>
            </w:pPr>
            <w:r>
              <w:t xml:space="preserve">0.08</w:t>
            </w:r>
          </w:p>
        </w:tc>
        <w:tc>
          <w:tcPr/>
          <w:p>
            <w:pPr>
              <w:pStyle w:val="Compact"/>
              <w:jc w:val="left"/>
            </w:pPr>
            <w:r>
              <w:t xml:space="preserve">2.85</w:t>
            </w:r>
          </w:p>
        </w:tc>
        <w:tc>
          <w:tcPr/>
          <w:p>
            <w:pPr>
              <w:pStyle w:val="Compact"/>
              <w:jc w:val="left"/>
            </w:pPr>
            <w:r>
              <w:t xml:space="preserve">.004</w:t>
            </w:r>
          </w:p>
        </w:tc>
      </w:tr>
      <w:tr>
        <w:tc>
          <w:tcPr/>
          <w:p>
            <w:pPr>
              <w:pStyle w:val="Compact"/>
              <w:jc w:val="left"/>
            </w:pPr>
            <w:r>
              <w:t xml:space="preserve">   Physical activity</w:t>
            </w:r>
          </w:p>
        </w:tc>
        <w:tc>
          <w:tcPr/>
          <w:p>
            <w:pPr>
              <w:pStyle w:val="Compact"/>
              <w:jc w:val="left"/>
            </w:pPr>
            <w:r>
              <w:t xml:space="preserve">0.10 [0.08, 0.12]</w:t>
            </w:r>
          </w:p>
        </w:tc>
        <w:tc>
          <w:tcPr/>
          <w:p>
            <w:pPr>
              <w:pStyle w:val="Compact"/>
              <w:jc w:val="left"/>
            </w:pPr>
            <w:r>
              <w:t xml:space="preserve">0.01</w:t>
            </w:r>
          </w:p>
        </w:tc>
        <w:tc>
          <w:tcPr/>
          <w:p>
            <w:pPr>
              <w:pStyle w:val="Compact"/>
              <w:jc w:val="left"/>
            </w:pPr>
            <w:r>
              <w:t xml:space="preserve">10.88</w:t>
            </w:r>
          </w:p>
        </w:tc>
        <w:tc>
          <w:tcPr/>
          <w:p>
            <w:pPr>
              <w:pStyle w:val="Compact"/>
              <w:jc w:val="left"/>
            </w:pPr>
            <w:r>
              <w:t xml:space="preserve">&lt; .001</w:t>
            </w:r>
          </w:p>
        </w:tc>
        <w:tc>
          <w:tcPr/>
          <w:p>
            <w:pPr>
              <w:pStyle w:val="Compact"/>
              <w:jc w:val="left"/>
            </w:pPr>
            <w:r>
              <w:t xml:space="preserve">0.08 [0.07, 0.10]</w:t>
            </w:r>
          </w:p>
        </w:tc>
        <w:tc>
          <w:tcPr/>
          <w:p>
            <w:pPr>
              <w:pStyle w:val="Compact"/>
              <w:jc w:val="left"/>
            </w:pPr>
            <w:r>
              <w:t xml:space="preserve">0.01</w:t>
            </w:r>
          </w:p>
        </w:tc>
        <w:tc>
          <w:tcPr/>
          <w:p>
            <w:pPr>
              <w:pStyle w:val="Compact"/>
              <w:jc w:val="left"/>
            </w:pPr>
            <w:r>
              <w:t xml:space="preserve">10.50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-3.00</w:t>
            </w:r>
          </w:p>
        </w:tc>
        <w:tc>
          <w:tcPr/>
          <w:p>
            <w:pPr>
              <w:pStyle w:val="Compact"/>
              <w:jc w:val="left"/>
            </w:pPr>
            <w:r>
              <w:t xml:space="preserve">.003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-2.92</w:t>
            </w:r>
          </w:p>
        </w:tc>
        <w:tc>
          <w:tcPr/>
          <w:p>
            <w:pPr>
              <w:pStyle w:val="Compact"/>
              <w:jc w:val="left"/>
            </w:pPr>
            <w:r>
              <w:t xml:space="preserve">.004</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-4.94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0.00</w:t>
            </w:r>
          </w:p>
        </w:tc>
        <w:tc>
          <w:tcPr/>
          <w:p>
            <w:pPr>
              <w:pStyle w:val="Compact"/>
              <w:jc w:val="left"/>
            </w:pPr>
            <w:r>
              <w:t xml:space="preserve">2.76</w:t>
            </w:r>
          </w:p>
        </w:tc>
        <w:tc>
          <w:tcPr/>
          <w:p>
            <w:pPr>
              <w:pStyle w:val="Compact"/>
              <w:jc w:val="left"/>
            </w:pPr>
            <w:r>
              <w:t xml:space="preserve">.006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-4.89</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0.26 [0.09, 0.44]</w:t>
            </w:r>
          </w:p>
        </w:tc>
        <w:tc>
          <w:tcPr/>
          <w:p>
            <w:pPr>
              <w:pStyle w:val="Compact"/>
              <w:jc w:val="left"/>
            </w:pPr>
            <w:r>
              <w:t xml:space="preserve">0.09</w:t>
            </w:r>
          </w:p>
        </w:tc>
        <w:tc>
          <w:tcPr/>
          <w:p>
            <w:pPr>
              <w:pStyle w:val="Compact"/>
              <w:jc w:val="left"/>
            </w:pPr>
            <w:r>
              <w:t xml:space="preserve">2.92</w:t>
            </w:r>
          </w:p>
        </w:tc>
        <w:tc>
          <w:tcPr/>
          <w:p>
            <w:pPr>
              <w:pStyle w:val="Compact"/>
              <w:jc w:val="left"/>
            </w:pPr>
            <w:r>
              <w:t xml:space="preserve">.004</w:t>
            </w:r>
          </w:p>
        </w:tc>
        <w:tc>
          <w:tcPr/>
          <w:p>
            <w:pPr>
              <w:pStyle w:val="Compact"/>
              <w:jc w:val="left"/>
            </w:pPr>
            <w:r>
              <w:t xml:space="preserve">0.29 [0.10, 0.47]</w:t>
            </w:r>
          </w:p>
        </w:tc>
        <w:tc>
          <w:tcPr/>
          <w:p>
            <w:pPr>
              <w:pStyle w:val="Compact"/>
              <w:jc w:val="left"/>
            </w:pPr>
            <w:r>
              <w:t xml:space="preserve">0.10</w:t>
            </w:r>
          </w:p>
        </w:tc>
        <w:tc>
          <w:tcPr/>
          <w:p>
            <w:pPr>
              <w:pStyle w:val="Compact"/>
              <w:jc w:val="left"/>
            </w:pPr>
            <w:r>
              <w:t xml:space="preserve">2.99</w:t>
            </w:r>
          </w:p>
        </w:tc>
        <w:tc>
          <w:tcPr/>
          <w:p>
            <w:pPr>
              <w:pStyle w:val="Compact"/>
              <w:jc w:val="left"/>
            </w:pPr>
            <w:r>
              <w:t xml:space="preserve">.003</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11.30</w:t>
            </w:r>
          </w:p>
        </w:tc>
        <w:tc>
          <w:tcPr/>
          <w:p>
            <w:pPr>
              <w:pStyle w:val="Compact"/>
              <w:jc w:val="left"/>
            </w:pPr>
            <w:r>
              <w:t xml:space="preserve">&lt; .001</w:t>
            </w:r>
          </w:p>
        </w:tc>
        <w:tc>
          <w:tcPr/>
          <w:p>
            <w:pPr>
              <w:pStyle w:val="Compact"/>
              <w:jc w:val="left"/>
            </w:pPr>
            <w:r>
              <w:t xml:space="preserve">0.06 [0.05, 0.08]</w:t>
            </w:r>
          </w:p>
        </w:tc>
        <w:tc>
          <w:tcPr/>
          <w:p>
            <w:pPr>
              <w:pStyle w:val="Compact"/>
              <w:jc w:val="left"/>
            </w:pPr>
            <w:r>
              <w:t xml:space="preserve">0.01</w:t>
            </w:r>
          </w:p>
        </w:tc>
        <w:tc>
          <w:tcPr/>
          <w:p>
            <w:pPr>
              <w:pStyle w:val="Compact"/>
              <w:jc w:val="left"/>
            </w:pPr>
            <w:r>
              <w:t xml:space="preserve">7.97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-0.18</w:t>
            </w:r>
          </w:p>
        </w:tc>
        <w:tc>
          <w:tcPr/>
          <w:p>
            <w:pPr>
              <w:pStyle w:val="Compact"/>
              <w:jc w:val="left"/>
            </w:pPr>
            <w:r>
              <w:t xml:space="preserve">.855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-0.86</w:t>
            </w:r>
          </w:p>
        </w:tc>
        <w:tc>
          <w:tcPr/>
          <w:p>
            <w:pPr>
              <w:pStyle w:val="Compact"/>
              <w:jc w:val="left"/>
            </w:pPr>
            <w:r>
              <w:t xml:space="preserve">.391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-0.02]</w:t>
            </w:r>
          </w:p>
        </w:tc>
        <w:tc>
          <w:tcPr/>
          <w:p>
            <w:pPr>
              <w:pStyle w:val="Compact"/>
              <w:jc w:val="left"/>
            </w:pPr>
            <w:r>
              <w:t xml:space="preserve">0.00</w:t>
            </w:r>
          </w:p>
        </w:tc>
        <w:tc>
          <w:tcPr/>
          <w:p>
            <w:pPr>
              <w:pStyle w:val="Compact"/>
              <w:jc w:val="left"/>
            </w:pPr>
            <w:r>
              <w:t xml:space="preserve">-11.97</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-6.69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-10.55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-7.17</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4.79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[-0.27, 0.27]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.995</w:t>
            </w:r>
          </w:p>
        </w:tc>
        <w:tc>
          <w:tcPr/>
          <w:p>
            <w:pPr>
              <w:pStyle w:val="Compact"/>
              <w:jc w:val="left"/>
            </w:pPr>
            <w:r>
              <w:t xml:space="preserve">0.00 [-0.26, 0.26]</w:t>
            </w:r>
          </w:p>
        </w:tc>
        <w:tc>
          <w:tcPr/>
          <w:p>
            <w:pPr>
              <w:pStyle w:val="Compact"/>
              <w:jc w:val="left"/>
            </w:pPr>
            <w:r>
              <w:t xml:space="preserve">0.13</w:t>
            </w:r>
          </w:p>
        </w:tc>
        <w:tc>
          <w:tcPr/>
          <w:p>
            <w:pPr>
              <w:pStyle w:val="Compact"/>
              <w:jc w:val="left"/>
            </w:pPr>
            <w:r>
              <w:t xml:space="preserve">0.01</w:t>
            </w:r>
          </w:p>
        </w:tc>
        <w:tc>
          <w:tcPr/>
          <w:p>
            <w:pPr>
              <w:pStyle w:val="Compact"/>
              <w:jc w:val="left"/>
            </w:pPr>
            <w:r>
              <w:t xml:space="preserve">.988</w:t>
            </w:r>
          </w:p>
        </w:tc>
      </w:tr>
      <w:tr>
        <w:tc>
          <w:tcPr/>
          <w:p>
            <w:pPr>
              <w:pStyle w:val="Compact"/>
              <w:jc w:val="left"/>
            </w:pPr>
            <w:r>
              <w:t xml:space="preserve">   Physical activity</w:t>
            </w:r>
          </w:p>
        </w:tc>
        <w:tc>
          <w:tcPr/>
          <w:p>
            <w:pPr>
              <w:pStyle w:val="Compact"/>
              <w:jc w:val="left"/>
            </w:pPr>
            <w:r>
              <w:t xml:space="preserve">-0.03 [-0.04, -0.01]</w:t>
            </w:r>
          </w:p>
        </w:tc>
        <w:tc>
          <w:tcPr/>
          <w:p>
            <w:pPr>
              <w:pStyle w:val="Compact"/>
              <w:jc w:val="left"/>
            </w:pPr>
            <w:r>
              <w:t xml:space="preserve">0.01</w:t>
            </w:r>
          </w:p>
        </w:tc>
        <w:tc>
          <w:tcPr/>
          <w:p>
            <w:pPr>
              <w:pStyle w:val="Compact"/>
              <w:jc w:val="left"/>
            </w:pPr>
            <w:r>
              <w:t xml:space="preserve">-3.61</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-10.30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-1.73</w:t>
            </w:r>
          </w:p>
        </w:tc>
        <w:tc>
          <w:tcPr/>
          <w:p>
            <w:pPr>
              <w:pStyle w:val="Compact"/>
              <w:jc w:val="left"/>
            </w:pPr>
            <w:r>
              <w:t xml:space="preserve">.083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-1.22</w:t>
            </w:r>
          </w:p>
        </w:tc>
        <w:tc>
          <w:tcPr/>
          <w:p>
            <w:pPr>
              <w:pStyle w:val="Compact"/>
              <w:jc w:val="left"/>
            </w:pPr>
            <w:r>
              <w:t xml:space="preserve">.222</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-4.30</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-9.25</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-11.48</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1.35</w:t>
            </w:r>
          </w:p>
        </w:tc>
        <w:tc>
          <w:tcPr/>
          <w:p>
            <w:pPr>
              <w:pStyle w:val="Compact"/>
              <w:jc w:val="left"/>
            </w:pPr>
            <w:r>
              <w:t xml:space="preserve">.178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8.83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11.29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0.53 [0.38, 0.67]</w:t>
            </w:r>
          </w:p>
        </w:tc>
        <w:tc>
          <w:tcPr/>
          <w:p>
            <w:pPr>
              <w:pStyle w:val="Compact"/>
              <w:jc w:val="left"/>
            </w:pPr>
            <w:r>
              <w:t xml:space="preserve">0.07</w:t>
            </w:r>
          </w:p>
        </w:tc>
        <w:tc>
          <w:tcPr/>
          <w:p>
            <w:pPr>
              <w:pStyle w:val="Compact"/>
              <w:jc w:val="left"/>
            </w:pPr>
            <w:r>
              <w:t xml:space="preserve">7.18</w:t>
            </w:r>
          </w:p>
        </w:tc>
        <w:tc>
          <w:tcPr/>
          <w:p>
            <w:pPr>
              <w:pStyle w:val="Compact"/>
              <w:jc w:val="left"/>
            </w:pPr>
            <w:r>
              <w:t xml:space="preserve">&lt; .001</w:t>
            </w:r>
          </w:p>
        </w:tc>
        <w:tc>
          <w:tcPr/>
          <w:p>
            <w:pPr>
              <w:pStyle w:val="Compact"/>
              <w:jc w:val="left"/>
            </w:pPr>
            <w:r>
              <w:t xml:space="preserve">0.71 [0.53, 0.89]</w:t>
            </w:r>
          </w:p>
        </w:tc>
        <w:tc>
          <w:tcPr/>
          <w:p>
            <w:pPr>
              <w:pStyle w:val="Compact"/>
              <w:jc w:val="left"/>
            </w:pPr>
            <w:r>
              <w:t xml:space="preserve">0.09</w:t>
            </w:r>
          </w:p>
        </w:tc>
        <w:tc>
          <w:tcPr/>
          <w:p>
            <w:pPr>
              <w:pStyle w:val="Compact"/>
              <w:jc w:val="left"/>
            </w:pPr>
            <w:r>
              <w:t xml:space="preserve">7.60</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0.24 [0.22, 0.25]</w:t>
            </w:r>
          </w:p>
        </w:tc>
        <w:tc>
          <w:tcPr/>
          <w:p>
            <w:pPr>
              <w:pStyle w:val="Compact"/>
              <w:jc w:val="left"/>
            </w:pPr>
            <w:r>
              <w:t xml:space="preserve">0.01</w:t>
            </w:r>
          </w:p>
        </w:tc>
        <w:tc>
          <w:tcPr/>
          <w:p>
            <w:pPr>
              <w:pStyle w:val="Compact"/>
              <w:jc w:val="left"/>
            </w:pPr>
            <w:r>
              <w:t xml:space="preserve">25.42</w:t>
            </w:r>
          </w:p>
        </w:tc>
        <w:tc>
          <w:tcPr/>
          <w:p>
            <w:pPr>
              <w:pStyle w:val="Compact"/>
              <w:jc w:val="left"/>
            </w:pPr>
            <w:r>
              <w:t xml:space="preserve">&lt; .001</w:t>
            </w:r>
          </w:p>
        </w:tc>
        <w:tc>
          <w:tcPr/>
          <w:p>
            <w:pPr>
              <w:pStyle w:val="Compact"/>
              <w:jc w:val="left"/>
            </w:pPr>
            <w:r>
              <w:t xml:space="preserve">0.27 [0.25, 0.29]</w:t>
            </w:r>
          </w:p>
        </w:tc>
        <w:tc>
          <w:tcPr/>
          <w:p>
            <w:pPr>
              <w:pStyle w:val="Compact"/>
              <w:jc w:val="left"/>
            </w:pPr>
            <w:r>
              <w:t xml:space="preserve">0.01</w:t>
            </w:r>
          </w:p>
        </w:tc>
        <w:tc>
          <w:tcPr/>
          <w:p>
            <w:pPr>
              <w:pStyle w:val="Compact"/>
              <w:jc w:val="left"/>
            </w:pPr>
            <w:r>
              <w:t xml:space="preserve">29.15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1.06</w:t>
            </w:r>
          </w:p>
        </w:tc>
        <w:tc>
          <w:tcPr/>
          <w:p>
            <w:pPr>
              <w:pStyle w:val="Compact"/>
              <w:jc w:val="left"/>
            </w:pPr>
            <w:r>
              <w:t xml:space="preserve">.293</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-3.08</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-15.45</w:t>
            </w:r>
          </w:p>
        </w:tc>
        <w:tc>
          <w:tcPr/>
          <w:p>
            <w:pPr>
              <w:pStyle w:val="Compact"/>
              <w:jc w:val="left"/>
            </w:pPr>
            <w:r>
              <w:t xml:space="preserve">&lt; .001</w:t>
            </w:r>
          </w:p>
        </w:tc>
        <w:tc>
          <w:tcPr/>
          <w:p>
            <w:pPr>
              <w:pStyle w:val="Compact"/>
              <w:jc w:val="left"/>
            </w:pPr>
            <w:r>
              <w:t xml:space="preserve">-0.10 [-0.11, -0.09]</w:t>
            </w:r>
          </w:p>
        </w:tc>
        <w:tc>
          <w:tcPr/>
          <w:p>
            <w:pPr>
              <w:pStyle w:val="Compact"/>
              <w:jc w:val="left"/>
            </w:pPr>
            <w:r>
              <w:t xml:space="preserve">0.01</w:t>
            </w:r>
          </w:p>
        </w:tc>
        <w:tc>
          <w:tcPr/>
          <w:p>
            <w:pPr>
              <w:pStyle w:val="Compact"/>
              <w:jc w:val="left"/>
            </w:pPr>
            <w:r>
              <w:t xml:space="preserve">-18.83</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-1.48</w:t>
            </w:r>
          </w:p>
        </w:tc>
        <w:tc>
          <w:tcPr/>
          <w:p>
            <w:pPr>
              <w:pStyle w:val="Compact"/>
              <w:jc w:val="left"/>
            </w:pPr>
            <w:r>
              <w:t xml:space="preserve">.141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9.47</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main/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impact of physical activity intensity on sleep regularity, in which very low levels of intensity were strongly associated with poor sleep regularity and the benefits of increasing intensity diminished past one standard deviation above the mean.</w:t>
      </w:r>
      <w:r>
        <w:t xml:space="preserve"> </w:t>
      </w:r>
      <w:r>
        <w:t xml:space="preserve">While age statistically significantly modified the relationship between physical activity intensity and sleep duration, efficiency, and regularity, the effect was negligible.</w:t>
      </w:r>
    </w:p>
    <w:p>
      <w:pPr>
        <w:pStyle w:val="CaptionedFigure"/>
      </w:pPr>
      <w:r>
        <w:drawing>
          <wp:inline>
            <wp:extent cx="3810000" cy="2540000"/>
            <wp:effectExtent b="0" l="0" r="0" t="0"/>
            <wp:docPr descr="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main/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 or intensity.</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1.64 [1.29, 1.99]</w:t>
            </w:r>
          </w:p>
        </w:tc>
        <w:tc>
          <w:tcPr/>
          <w:p>
            <w:pPr>
              <w:pStyle w:val="Compact"/>
              <w:jc w:val="left"/>
            </w:pPr>
            <w:r>
              <w:t xml:space="preserve">0.18</w:t>
            </w:r>
          </w:p>
        </w:tc>
        <w:tc>
          <w:tcPr/>
          <w:p>
            <w:pPr>
              <w:pStyle w:val="Compact"/>
              <w:jc w:val="left"/>
            </w:pPr>
            <w:r>
              <w:t xml:space="preserve">9.17</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20.34</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0.00 [-0.02, 0.03]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.813</w:t>
            </w:r>
          </w:p>
        </w:tc>
        <w:tc>
          <w:tcPr/>
          <w:p>
            <w:pPr>
              <w:pStyle w:val="Compact"/>
              <w:jc w:val="left"/>
            </w:pPr>
            <w:r>
              <w:t xml:space="preserve">0.00 [-0.01, 0.02]</w:t>
            </w:r>
          </w:p>
        </w:tc>
        <w:tc>
          <w:tcPr/>
          <w:p>
            <w:pPr>
              <w:pStyle w:val="Compact"/>
              <w:jc w:val="left"/>
            </w:pPr>
            <w:r>
              <w:t xml:space="preserve">0.01</w:t>
            </w:r>
          </w:p>
        </w:tc>
        <w:tc>
          <w:tcPr/>
          <w:p>
            <w:pPr>
              <w:pStyle w:val="Compact"/>
              <w:jc w:val="left"/>
            </w:pPr>
            <w:r>
              <w:t xml:space="preserve">0.43</w:t>
            </w:r>
          </w:p>
        </w:tc>
        <w:tc>
          <w:tcPr/>
          <w:p>
            <w:pPr>
              <w:pStyle w:val="Compact"/>
              <w:jc w:val="left"/>
            </w:pPr>
            <w:r>
              <w:t xml:space="preserve">.667</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-38.29</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-1.41</w:t>
            </w:r>
          </w:p>
        </w:tc>
        <w:tc>
          <w:tcPr/>
          <w:p>
            <w:pPr>
              <w:pStyle w:val="Compact"/>
              <w:jc w:val="left"/>
            </w:pPr>
            <w:r>
              <w:t xml:space="preserve">.161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1.96</w:t>
            </w:r>
          </w:p>
        </w:tc>
        <w:tc>
          <w:tcPr/>
          <w:p>
            <w:pPr>
              <w:pStyle w:val="Compact"/>
              <w:jc w:val="left"/>
            </w:pPr>
            <w:r>
              <w:t xml:space="preserve">.052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-3.23</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w:t>
            </w:r>
          </w:p>
        </w:tc>
        <w:tc>
          <w:tcPr/>
          <w:p>
            <w:pPr>
              <w:pStyle w:val="Compact"/>
              <w:jc w:val="left"/>
            </w:pPr>
            <w:r>
              <w:t xml:space="preserve">.032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1.63 [1.28, 1.98]</w:t>
            </w:r>
          </w:p>
        </w:tc>
        <w:tc>
          <w:tcPr/>
          <w:p>
            <w:pPr>
              <w:pStyle w:val="Compact"/>
              <w:jc w:val="left"/>
            </w:pPr>
            <w:r>
              <w:t xml:space="preserve">0.18</w:t>
            </w:r>
          </w:p>
        </w:tc>
        <w:tc>
          <w:tcPr/>
          <w:p>
            <w:pPr>
              <w:pStyle w:val="Compact"/>
              <w:jc w:val="left"/>
            </w:pPr>
            <w:r>
              <w:t xml:space="preserve">9.13</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20.40</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0.02 [0.00, 0.03]</w:t>
            </w:r>
          </w:p>
        </w:tc>
        <w:tc>
          <w:tcPr/>
          <w:p>
            <w:pPr>
              <w:pStyle w:val="Compact"/>
              <w:jc w:val="left"/>
            </w:pPr>
            <w:r>
              <w:t xml:space="preserve">0.01</w:t>
            </w:r>
          </w:p>
        </w:tc>
        <w:tc>
          <w:tcPr/>
          <w:p>
            <w:pPr>
              <w:pStyle w:val="Compact"/>
              <w:jc w:val="left"/>
            </w:pPr>
            <w:r>
              <w:t xml:space="preserve">1.98</w:t>
            </w:r>
          </w:p>
        </w:tc>
        <w:tc>
          <w:tcPr/>
          <w:p>
            <w:pPr>
              <w:pStyle w:val="Compact"/>
              <w:jc w:val="left"/>
            </w:pPr>
            <w:r>
              <w:t xml:space="preserve">.051</w:t>
            </w:r>
          </w:p>
        </w:tc>
        <w:tc>
          <w:tcPr/>
          <w:p>
            <w:pPr>
              <w:pStyle w:val="Compact"/>
              <w:jc w:val="left"/>
            </w:pPr>
            <w:r>
              <w:t xml:space="preserve">0.03 [0.02, 0.04]</w:t>
            </w:r>
          </w:p>
        </w:tc>
        <w:tc>
          <w:tcPr/>
          <w:p>
            <w:pPr>
              <w:pStyle w:val="Compact"/>
              <w:jc w:val="left"/>
            </w:pPr>
            <w:r>
              <w:t xml:space="preserve">0.01</w:t>
            </w:r>
          </w:p>
        </w:tc>
        <w:tc>
          <w:tcPr/>
          <w:p>
            <w:pPr>
              <w:pStyle w:val="Compact"/>
              <w:jc w:val="left"/>
            </w:pPr>
            <w:r>
              <w:t xml:space="preserve">4.45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-38.52</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.065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4.28</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-0.89</w:t>
            </w:r>
          </w:p>
        </w:tc>
        <w:tc>
          <w:tcPr/>
          <w:p>
            <w:pPr>
              <w:pStyle w:val="Compact"/>
              <w:jc w:val="left"/>
            </w:pPr>
            <w:r>
              <w:t xml:space="preserve">.373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-1.32</w:t>
            </w:r>
          </w:p>
        </w:tc>
        <w:tc>
          <w:tcPr/>
          <w:p>
            <w:pPr>
              <w:pStyle w:val="Compact"/>
              <w:jc w:val="left"/>
            </w:pPr>
            <w:r>
              <w:t xml:space="preserve">.188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-2.79</w:t>
            </w:r>
          </w:p>
        </w:tc>
        <w:tc>
          <w:tcPr/>
          <w:p>
            <w:pPr>
              <w:pStyle w:val="Compact"/>
              <w:jc w:val="left"/>
            </w:pPr>
            <w:r>
              <w:t xml:space="preserve">.005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1.65 [1.29, 2.00]</w:t>
            </w:r>
          </w:p>
        </w:tc>
        <w:tc>
          <w:tcPr/>
          <w:p>
            <w:pPr>
              <w:pStyle w:val="Compact"/>
              <w:jc w:val="left"/>
            </w:pPr>
            <w:r>
              <w:t xml:space="preserve">0.18</w:t>
            </w:r>
          </w:p>
        </w:tc>
        <w:tc>
          <w:tcPr/>
          <w:p>
            <w:pPr>
              <w:pStyle w:val="Compact"/>
              <w:jc w:val="left"/>
            </w:pPr>
            <w:r>
              <w:t xml:space="preserve">9.12</w:t>
            </w:r>
          </w:p>
        </w:tc>
        <w:tc>
          <w:tcPr/>
          <w:p>
            <w:pPr>
              <w:pStyle w:val="Compact"/>
              <w:jc w:val="left"/>
            </w:pPr>
            <w:r>
              <w:t xml:space="preserve">&lt; .001</w:t>
            </w:r>
          </w:p>
        </w:tc>
        <w:tc>
          <w:tcPr/>
          <w:p>
            <w:pPr>
              <w:pStyle w:val="Compact"/>
              <w:jc w:val="left"/>
            </w:pPr>
            <w:r>
              <w:t xml:space="preserve">1.47 [1.33, 1.61]</w:t>
            </w:r>
          </w:p>
        </w:tc>
        <w:tc>
          <w:tcPr/>
          <w:p>
            <w:pPr>
              <w:pStyle w:val="Compact"/>
              <w:jc w:val="left"/>
            </w:pPr>
            <w:r>
              <w:t xml:space="preserve">0.07</w:t>
            </w:r>
          </w:p>
        </w:tc>
        <w:tc>
          <w:tcPr/>
          <w:p>
            <w:pPr>
              <w:pStyle w:val="Compact"/>
              <w:jc w:val="left"/>
            </w:pPr>
            <w:r>
              <w:t xml:space="preserve">20.28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0.01]</w:t>
            </w:r>
          </w:p>
        </w:tc>
        <w:tc>
          <w:tcPr/>
          <w:p>
            <w:pPr>
              <w:pStyle w:val="Compact"/>
              <w:jc w:val="left"/>
            </w:pPr>
            <w:r>
              <w:t xml:space="preserve">0.02</w:t>
            </w:r>
          </w:p>
        </w:tc>
        <w:tc>
          <w:tcPr/>
          <w:p>
            <w:pPr>
              <w:pStyle w:val="Compact"/>
              <w:jc w:val="left"/>
            </w:pPr>
            <w:r>
              <w:t xml:space="preserve">-1.41</w:t>
            </w:r>
          </w:p>
        </w:tc>
        <w:tc>
          <w:tcPr/>
          <w:p>
            <w:pPr>
              <w:pStyle w:val="Compact"/>
              <w:jc w:val="left"/>
            </w:pPr>
            <w:r>
              <w:t xml:space="preserve">.165</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.630</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-48.15</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[-0.03, 0.00]</w:t>
            </w:r>
          </w:p>
        </w:tc>
        <w:tc>
          <w:tcPr/>
          <w:p>
            <w:pPr>
              <w:pStyle w:val="Compact"/>
              <w:jc w:val="left"/>
            </w:pPr>
            <w:r>
              <w:t xml:space="preserve">0.01</w:t>
            </w:r>
          </w:p>
        </w:tc>
        <w:tc>
          <w:tcPr/>
          <w:p>
            <w:pPr>
              <w:pStyle w:val="Compact"/>
              <w:jc w:val="left"/>
            </w:pPr>
            <w:r>
              <w:t xml:space="preserve">-2.61</w:t>
            </w:r>
          </w:p>
        </w:tc>
        <w:tc>
          <w:tcPr/>
          <w:p>
            <w:pPr>
              <w:pStyle w:val="Compact"/>
              <w:jc w:val="left"/>
            </w:pPr>
            <w:r>
              <w:t xml:space="preserve">.011</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0.01</w:t>
            </w:r>
          </w:p>
        </w:tc>
        <w:tc>
          <w:tcPr/>
          <w:p>
            <w:pPr>
              <w:pStyle w:val="Compact"/>
              <w:jc w:val="left"/>
            </w:pPr>
            <w:r>
              <w:t xml:space="preserve">.992</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1.16</w:t>
            </w:r>
          </w:p>
        </w:tc>
        <w:tc>
          <w:tcPr/>
          <w:p>
            <w:pPr>
              <w:pStyle w:val="Compact"/>
              <w:jc w:val="left"/>
            </w:pPr>
            <w:r>
              <w:t xml:space="preserve">.249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.414</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-0.78</w:t>
            </w:r>
          </w:p>
        </w:tc>
        <w:tc>
          <w:tcPr/>
          <w:p>
            <w:pPr>
              <w:pStyle w:val="Compact"/>
              <w:jc w:val="left"/>
            </w:pPr>
            <w:r>
              <w:t xml:space="preserve">.435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1.59 [1.25, 1.94]</w:t>
            </w:r>
          </w:p>
        </w:tc>
        <w:tc>
          <w:tcPr/>
          <w:p>
            <w:pPr>
              <w:pStyle w:val="Compact"/>
              <w:jc w:val="left"/>
            </w:pPr>
            <w:r>
              <w:t xml:space="preserve">0.18</w:t>
            </w:r>
          </w:p>
        </w:tc>
        <w:tc>
          <w:tcPr/>
          <w:p>
            <w:pPr>
              <w:pStyle w:val="Compact"/>
              <w:jc w:val="left"/>
            </w:pPr>
            <w:r>
              <w:t xml:space="preserve">9.08</w:t>
            </w:r>
          </w:p>
        </w:tc>
        <w:tc>
          <w:tcPr/>
          <w:p>
            <w:pPr>
              <w:pStyle w:val="Compact"/>
              <w:jc w:val="left"/>
            </w:pPr>
            <w:r>
              <w:t xml:space="preserve">&lt; .001</w:t>
            </w:r>
          </w:p>
        </w:tc>
        <w:tc>
          <w:tcPr/>
          <w:p>
            <w:pPr>
              <w:pStyle w:val="Compact"/>
              <w:jc w:val="left"/>
            </w:pPr>
            <w:r>
              <w:t xml:space="preserve">1.45 [1.31, 1.58]</w:t>
            </w:r>
          </w:p>
        </w:tc>
        <w:tc>
          <w:tcPr/>
          <w:p>
            <w:pPr>
              <w:pStyle w:val="Compact"/>
              <w:jc w:val="left"/>
            </w:pPr>
            <w:r>
              <w:t xml:space="preserve">0.07</w:t>
            </w:r>
          </w:p>
        </w:tc>
        <w:tc>
          <w:tcPr/>
          <w:p>
            <w:pPr>
              <w:pStyle w:val="Compact"/>
              <w:jc w:val="left"/>
            </w:pPr>
            <w:r>
              <w:t xml:space="preserve">20.69</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0.11 [0.09, 0.12]</w:t>
            </w:r>
          </w:p>
        </w:tc>
        <w:tc>
          <w:tcPr/>
          <w:p>
            <w:pPr>
              <w:pStyle w:val="Compact"/>
              <w:jc w:val="left"/>
            </w:pPr>
            <w:r>
              <w:t xml:space="preserve">0.01</w:t>
            </w:r>
          </w:p>
        </w:tc>
        <w:tc>
          <w:tcPr/>
          <w:p>
            <w:pPr>
              <w:pStyle w:val="Compact"/>
              <w:jc w:val="left"/>
            </w:pPr>
            <w:r>
              <w:t xml:space="preserve">12.20</w:t>
            </w:r>
          </w:p>
        </w:tc>
        <w:tc>
          <w:tcPr/>
          <w:p>
            <w:pPr>
              <w:pStyle w:val="Compact"/>
              <w:jc w:val="left"/>
            </w:pPr>
            <w:r>
              <w:t xml:space="preserve">&lt; .001</w:t>
            </w:r>
          </w:p>
        </w:tc>
        <w:tc>
          <w:tcPr/>
          <w:p>
            <w:pPr>
              <w:pStyle w:val="Compact"/>
              <w:jc w:val="left"/>
            </w:pPr>
            <w:r>
              <w:t xml:space="preserve">0.08 [0.07, 0.09]</w:t>
            </w:r>
          </w:p>
        </w:tc>
        <w:tc>
          <w:tcPr/>
          <w:p>
            <w:pPr>
              <w:pStyle w:val="Compact"/>
              <w:jc w:val="left"/>
            </w:pPr>
            <w:r>
              <w:t xml:space="preserve">0.01</w:t>
            </w:r>
          </w:p>
        </w:tc>
        <w:tc>
          <w:tcPr/>
          <w:p>
            <w:pPr>
              <w:pStyle w:val="Compact"/>
              <w:jc w:val="left"/>
            </w:pPr>
            <w:r>
              <w:t xml:space="preserve">13.75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-38.26</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-48.34</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.668</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0.53</w:t>
            </w:r>
          </w:p>
        </w:tc>
        <w:tc>
          <w:tcPr/>
          <w:p>
            <w:pPr>
              <w:pStyle w:val="Compact"/>
              <w:jc w:val="left"/>
            </w:pPr>
            <w:r>
              <w:t xml:space="preserve">.598</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main/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relationship between sleep efficiency and physical activity volume and a weak linear association between sleep efficiency and more intense physical activity.</w:t>
      </w:r>
    </w:p>
    <w:p>
      <w:pPr>
        <w:pStyle w:val="CaptionedFigure"/>
      </w:pPr>
      <w:r>
        <w:drawing>
          <wp:inline>
            <wp:extent cx="3810000" cy="2540000"/>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main/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3810000" cy="2540000"/>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main/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was negligible.</w:t>
      </w:r>
    </w:p>
    <w:p>
      <w:pPr>
        <w:pStyle w:val="CaptionedFigure"/>
      </w:pPr>
      <w:r>
        <w:drawing>
          <wp:inline>
            <wp:extent cx="3810000" cy="2540000"/>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main/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that both the volume and intensity of physical activity was associated with longer sleep duration, higher sleep efficiency, earlier sleep onset, and more regular sleep.</w:t>
      </w:r>
      <w:r>
        <w:t xml:space="preserve"> </w:t>
      </w:r>
      <w:r>
        <w:t xml:space="preserve">These relationships were the strongest for sleep regularity, although the the relationship between physical activity intensity weakened with age.</w:t>
      </w:r>
    </w:p>
    <w:p>
      <w:pPr>
        <w:pStyle w:val="Textkrper"/>
      </w:pPr>
      <w:r>
        <w:t xml:space="preserve">When examining the reverse direction, we observed those who fell asleep earlier and at a more regular time engaged in more total physical activity, with an additional negligible benefit for those who slept more efficiently.</w:t>
      </w:r>
      <w:r>
        <w:t xml:space="preserve"> </w:t>
      </w:r>
      <w:r>
        <w:t xml:space="preserve">Similarly, those who slept at a more regular time and with more efficiency engaged in more intense physical activity.</w:t>
      </w:r>
      <w:r>
        <w:t xml:space="preserve"> </w:t>
      </w:r>
      <w:r>
        <w:t xml:space="preserve">These findings were largely robust to the decisions made during analysis (see supplementary materials for all analyses).</w:t>
      </w:r>
    </w:p>
    <w:p>
      <w:pPr>
        <w:pStyle w:val="Textkrper"/>
      </w:pPr>
      <w:r>
        <w:t xml:space="preserve">Our findings broadly align with meta-analyses of experimental research, although the strengths of the relationships we observed were much weaker</w:t>
      </w:r>
      <w:r>
        <w:t xml:space="preserve"> </w:t>
      </w:r>
      <w:r>
        <w:t xml:space="preserve">[9]</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Contrary to expectations, we found little evidence to suggest that the associations between physical activity and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benefits of physical activity and sleep are consistent across the lifespan, which is inconsistent with previous meta-analyses conducted on different ages.</w:t>
      </w:r>
      <w:r>
        <w:t xml:space="preserve"> </w:t>
      </w:r>
      <w:r>
        <w:t xml:space="preserve">More specifically, meta-analyses in adult populations have generally found associations</w:t>
      </w:r>
      <w:r>
        <w:t xml:space="preserve"> </w:t>
      </w:r>
      <w:r>
        <w:t xml:space="preserve">[9]</w:t>
      </w:r>
      <w:r>
        <w:t xml:space="preserve"> </w:t>
      </w:r>
      <w:r>
        <w:t xml:space="preserve">while those conducted in children and adolescents are less clear</w:t>
      </w:r>
      <w:r>
        <w:t xml:space="preserve"> </w:t>
      </w:r>
      <w:r>
        <w:t xml:space="preserve">[8,11,12]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encouraging physical activity for maintaining regular sleep patterns across the lifespan.</w:t>
      </w:r>
      <w:r>
        <w:t xml:space="preserve"> </w:t>
      </w:r>
      <w:r>
        <w:t xml:space="preserve">Sleep health may contribute to overall better health outcomes</w:t>
      </w:r>
      <w:r>
        <w:t xml:space="preserve"> </w:t>
      </w:r>
      <w:r>
        <w:t xml:space="preserve">[2,3]</w:t>
      </w:r>
      <w:r>
        <w:t xml:space="preserve">, and so promoting physical activity may be a useful strategy for improving population health.</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these relationships in individuals with sleep disorders or other health conditions.</w:t>
      </w:r>
      <w:r>
        <w:t xml:space="preserve"> </w:t>
      </w:r>
      <w:r>
        <w:t xml:space="preserve">Physical activity interventions may still be a useful treatment for these conditions.</w:t>
      </w:r>
      <w:r>
        <w:t xml:space="preserve"> </w:t>
      </w:r>
      <w:r>
        <w:t xml:space="preserve">Promoting more regular sleep may also be a useful strategy for increasing physical activity, although our results suggest a limited benefit from targeting other aspects of sleep quality.</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We also chose to maximise the data available for analysis, at the expense of some precision in the estimates.</w:t>
      </w:r>
      <w:r>
        <w:t xml:space="preserve"> </w:t>
      </w:r>
      <w:r>
        <w:t xml:space="preserve">Specifically, we included participants with four or more nights of valid sleep, while some recommend at least seven nights to estimate metrics such as sleep regularity</w:t>
      </w:r>
      <w:r>
        <w:t xml:space="preserve"> </w:t>
      </w:r>
      <w:r>
        <w:t xml:space="preserve">[45]</w:t>
      </w:r>
      <w:r>
        <w:t xml:space="preserve">.</w:t>
      </w:r>
      <w:r>
        <w:t xml:space="preserve"> </w:t>
      </w:r>
      <w:r>
        <w:t xml:space="preserve">However, the processing method we used specifically allows for comparisons to day-pairs and this methodology has been used by others</w:t>
      </w:r>
      <w:r>
        <w:t xml:space="preserve"> </w:t>
      </w:r>
      <w:r>
        <w:t xml:space="preserve">[e.g., 44]</w:t>
      </w:r>
      <w:r>
        <w:t xml:space="preserve">.</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8"/>
    <w:bookmarkStart w:id="160" w:name="references"/>
    <w:p>
      <w:pPr>
        <w:pStyle w:val="berschrift1"/>
      </w:pPr>
      <w:r>
        <w:t xml:space="preserve">References</w:t>
      </w:r>
    </w:p>
    <w:bookmarkStart w:id="159" w:name="refs"/>
    <w:bookmarkStart w:id="70"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9">
        <w:r>
          <w:rPr>
            <w:rStyle w:val="Hyperlink"/>
          </w:rPr>
          <w:t xml:space="preserve">Sleep:</w:t>
        </w:r>
        <w:r>
          <w:rPr>
            <w:rStyle w:val="Hyperlink"/>
          </w:rPr>
          <w:t xml:space="preserve"> </w:t>
        </w:r>
        <w:r>
          <w:rPr>
            <w:rStyle w:val="Hyperlink"/>
          </w:rPr>
          <w:t xml:space="preserve">A Health Imperative</w:t>
        </w:r>
      </w:hyperlink>
      <w:r>
        <w:t xml:space="preserve">. Sleep. 2012 Jun;35(6):727–34.</w:t>
      </w:r>
      <w:r>
        <w:t xml:space="preserve"> </w:t>
      </w:r>
    </w:p>
    <w:bookmarkEnd w:id="70"/>
    <w:bookmarkStart w:id="72"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1">
        <w:r>
          <w:rPr>
            <w:rStyle w:val="Hyperlink"/>
          </w:rPr>
          <w:t xml:space="preserve">Sleep and physical activity in relation to all-cause, cardiovascular disease and cancer mortality risk</w:t>
        </w:r>
      </w:hyperlink>
      <w:r>
        <w:t xml:space="preserve">. British Journal of Sports Medicine. 2022 Jul;56(13):718–24.</w:t>
      </w:r>
      <w:r>
        <w:t xml:space="preserve"> </w:t>
      </w:r>
    </w:p>
    <w:bookmarkEnd w:id="72"/>
    <w:bookmarkStart w:id="74"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3">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4"/>
    <w:bookmarkStart w:id="76" w:name="ref-maSleepDurationTotal2016"/>
    <w:p>
      <w:pPr>
        <w:pStyle w:val="Literaturverzeichnis"/>
      </w:pPr>
      <w:r>
        <w:t xml:space="preserve">4.</w:t>
      </w:r>
      <w:r>
        <w:t xml:space="preserve"> </w:t>
      </w:r>
      <w:r>
        <w:t xml:space="preserve">	</w:t>
      </w:r>
      <w:r>
        <w:t xml:space="preserve">Ma QQ, Yao Q, Lin L, Chen GC, Yu JB.</w:t>
      </w:r>
      <w:r>
        <w:t xml:space="preserve"> </w:t>
      </w:r>
      <w:hyperlink r:id="rId75">
        <w:r>
          <w:rPr>
            <w:rStyle w:val="Hyperlink"/>
          </w:rPr>
          <w:t xml:space="preserve">Sleep duration and total cancer mortality: A meta-analysis of prospective studies</w:t>
        </w:r>
      </w:hyperlink>
      <w:r>
        <w:t xml:space="preserve">. Sleep Medicine. 2016 Nov;27–28:39–44.</w:t>
      </w:r>
      <w:r>
        <w:t xml:space="preserve"> </w:t>
      </w:r>
    </w:p>
    <w:bookmarkEnd w:id="76"/>
    <w:bookmarkStart w:id="78"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7">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8"/>
    <w:bookmarkStart w:id="80" w:name="ref-wheatonShortSleepDuration2018"/>
    <w:p>
      <w:pPr>
        <w:pStyle w:val="Literaturverzeichnis"/>
      </w:pPr>
      <w:r>
        <w:t xml:space="preserve">6.</w:t>
      </w:r>
      <w:r>
        <w:t xml:space="preserve"> </w:t>
      </w:r>
      <w:r>
        <w:t xml:space="preserve">	</w:t>
      </w:r>
      <w:r>
        <w:t xml:space="preserve">Wheaton AG, Jones SE, Cooper AC, Croft JB.</w:t>
      </w:r>
      <w:r>
        <w:t xml:space="preserve"> </w:t>
      </w:r>
      <w:hyperlink r:id="rId79">
        <w:r>
          <w:rPr>
            <w:rStyle w:val="Hyperlink"/>
          </w:rPr>
          <w:t xml:space="preserve">Short</w:t>
        </w:r>
        <w:r>
          <w:rPr>
            <w:rStyle w:val="Hyperlink"/>
          </w:rPr>
          <w:t xml:space="preserve"> </w:t>
        </w:r>
        <w:r>
          <w:rPr>
            <w:rStyle w:val="Hyperlink"/>
          </w:rPr>
          <w:t xml:space="preserve">Sleep Duration Among Middle School</w:t>
        </w:r>
        <w:r>
          <w:rPr>
            <w:rStyle w:val="Hyperlink"/>
          </w:rPr>
          <w:t xml:space="preserve"> </w:t>
        </w:r>
        <w:r>
          <w:rPr>
            <w:rStyle w:val="Hyperlink"/>
          </w:rPr>
          <w:t xml:space="preserve">and</w:t>
        </w:r>
        <w:r>
          <w:rPr>
            <w:rStyle w:val="Hyperlink"/>
          </w:rPr>
          <w:t xml:space="preserve"> </w:t>
        </w:r>
        <w:r>
          <w:rPr>
            <w:rStyle w:val="Hyperlink"/>
          </w:rPr>
          <w:t xml:space="preserve">High School Students</w:t>
        </w:r>
        <w:r>
          <w:rPr>
            <w:rStyle w:val="Hyperlink"/>
          </w:rPr>
          <w:t xml:space="preserve"> </w:t>
        </w:r>
        <w:r>
          <w:rPr>
            <w:rStyle w:val="Hyperlink"/>
          </w:rPr>
          <w:t xml:space="preserve">-</w:t>
        </w:r>
        <w:r>
          <w:rPr>
            <w:rStyle w:val="Hyperlink"/>
          </w:rPr>
          <w:t xml:space="preserve"> </w:t>
        </w:r>
        <w:r>
          <w:rPr>
            <w:rStyle w:val="Hyperlink"/>
          </w:rPr>
          <w:t xml:space="preserve">United States</w:t>
        </w:r>
        <w:r>
          <w:rPr>
            <w:rStyle w:val="Hyperlink"/>
          </w:rPr>
          <w:t xml:space="preserve">, 2015</w:t>
        </w:r>
      </w:hyperlink>
      <w:r>
        <w:t xml:space="preserve">. MMWR Morbidity and mortality weekly report. 2018 Jan;67(3):85–90.</w:t>
      </w:r>
      <w:r>
        <w:t xml:space="preserve"> </w:t>
      </w:r>
    </w:p>
    <w:bookmarkEnd w:id="80"/>
    <w:bookmarkStart w:id="82"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1">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2"/>
    <w:bookmarkStart w:id="84" w:name="ref-klinePhysicalActivitySleep2021"/>
    <w:p>
      <w:pPr>
        <w:pStyle w:val="Literaturverzeichnis"/>
      </w:pPr>
      <w:r>
        <w:t xml:space="preserve">8.</w:t>
      </w:r>
      <w:r>
        <w:t xml:space="preserve"> </w:t>
      </w:r>
      <w:r>
        <w:t xml:space="preserve">	</w:t>
      </w:r>
      <w:r>
        <w:t xml:space="preserve">Kline CE, Hillman CH, Bloodgood Sheppard B, Tennant B, Conroy DE, Macko RF, Marquez DX, Petruzzello SJ, Powell KE, Erickson KI.</w:t>
      </w:r>
      <w:r>
        <w:t xml:space="preserve"> </w:t>
      </w:r>
      <w:hyperlink r:id="rId83">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4"/>
    <w:bookmarkStart w:id="86" w:name="ref-kredlowEffectsPhysicalActivity2015"/>
    <w:p>
      <w:pPr>
        <w:pStyle w:val="Literaturverzeichnis"/>
      </w:pPr>
      <w:r>
        <w:t xml:space="preserve">9.</w:t>
      </w:r>
      <w:r>
        <w:t xml:space="preserve"> </w:t>
      </w:r>
      <w:r>
        <w:t xml:space="preserve">	</w:t>
      </w:r>
      <w:r>
        <w:t xml:space="preserve">Kredlow MA, Capozzoli MC, Hearon BA, Calkins AW, Otto MW.</w:t>
      </w:r>
      <w:r>
        <w:t xml:space="preserve"> </w:t>
      </w:r>
      <w:hyperlink r:id="rId85">
        <w:r>
          <w:rPr>
            <w:rStyle w:val="Hyperlink"/>
          </w:rPr>
          <w:t xml:space="preserve">The effects of physical activity on sleep: A meta-analytic review</w:t>
        </w:r>
      </w:hyperlink>
      <w:r>
        <w:t xml:space="preserve">. Journal of Behavioral Medicine. 2015 Jun;38(3):427–49.</w:t>
      </w:r>
      <w:r>
        <w:t xml:space="preserve"> </w:t>
      </w:r>
    </w:p>
    <w:bookmarkEnd w:id="86"/>
    <w:bookmarkStart w:id="88" w:name="ref-bullWorldHealthOrganization2020"/>
    <w:p>
      <w:pPr>
        <w:pStyle w:val="Literaturverzeichnis"/>
      </w:pPr>
      <w:r>
        <w:t xml:space="preserve">10.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87">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88"/>
    <w:bookmarkStart w:id="90"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 </w:t>
      </w:r>
      <w:hyperlink r:id="rId89">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Jun;51:101278.</w:t>
      </w:r>
      <w:r>
        <w:t xml:space="preserve"> </w:t>
      </w:r>
    </w:p>
    <w:bookmarkEnd w:id="90"/>
    <w:bookmarkStart w:id="92"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1">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2"/>
    <w:bookmarkStart w:id="94"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3">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4"/>
    <w:bookmarkStart w:id="96"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5">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6"/>
    <w:bookmarkStart w:id="98"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7">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Jun;21:72–85.</w:t>
      </w:r>
      <w:r>
        <w:t xml:space="preserve"> </w:t>
      </w:r>
    </w:p>
    <w:bookmarkEnd w:id="98"/>
    <w:bookmarkStart w:id="100"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9">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00"/>
    <w:bookmarkStart w:id="102"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1">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3">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5">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6"/>
    <w:bookmarkStart w:id="108"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7">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8"/>
    <w:bookmarkStart w:id="110"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9">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10"/>
    <w:bookmarkStart w:id="112"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1">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2"/>
    <w:bookmarkStart w:id="114"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3">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5">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6"/>
    <w:bookmarkStart w:id="118"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7">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8"/>
    <w:bookmarkStart w:id="120"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9">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20"/>
    <w:bookmarkStart w:id="122"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1">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2"/>
    <w:bookmarkStart w:id="124" w:name="ref-yangSedentaryBehaviorSleep2017"/>
    <w:p>
      <w:pPr>
        <w:pStyle w:val="Literaturverzeichnis"/>
      </w:pPr>
      <w:r>
        <w:t xml:space="preserve">28.</w:t>
      </w:r>
      <w:r>
        <w:t xml:space="preserve"> </w:t>
      </w:r>
      <w:r>
        <w:t xml:space="preserve">	</w:t>
      </w:r>
      <w:r>
        <w:t xml:space="preserve">Yang Y, Shin JC, Li D, An R.</w:t>
      </w:r>
      <w:r>
        <w:t xml:space="preserve"> </w:t>
      </w:r>
      <w:hyperlink r:id="rId123">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4"/>
    <w:bookmarkStart w:id="126"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5">
        <w:r>
          <w:rPr>
            <w:rStyle w:val="Hyperlink"/>
          </w:rPr>
          <w:t xml:space="preserve">Using individual participant data to improve network meta-analysis projects</w:t>
        </w:r>
      </w:hyperlink>
      <w:r>
        <w:t xml:space="preserve">. BMJ Evidence-Based Medicine. 2023 Jun;28(3):197–203.</w:t>
      </w:r>
      <w:r>
        <w:t xml:space="preserve"> </w:t>
      </w:r>
    </w:p>
    <w:bookmarkEnd w:id="126"/>
    <w:bookmarkStart w:id="128" w:name="Xa0cbe05eccacccf17bde02d7669b1fb01f31efd"/>
    <w:p>
      <w:pPr>
        <w:pStyle w:val="Literaturverzeichnis"/>
      </w:pPr>
      <w:r>
        <w:t xml:space="preserve">30.</w:t>
      </w:r>
      <w:r>
        <w:t xml:space="preserve"> </w:t>
      </w:r>
      <w:r>
        <w:t xml:space="preserve">	</w:t>
      </w:r>
      <w:r>
        <w:t xml:space="preserve">Ioannidis J.</w:t>
      </w:r>
      <w:r>
        <w:t xml:space="preserve"> </w:t>
      </w:r>
      <w:hyperlink r:id="rId127">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8"/>
    <w:bookmarkStart w:id="130" w:name="X48b2c7764fd235bdd97ded4effee72a4c88fe29"/>
    <w:p>
      <w:pPr>
        <w:pStyle w:val="Literaturverzeichnis"/>
      </w:pPr>
      <w:r>
        <w:t xml:space="preserve">31.</w:t>
      </w:r>
      <w:r>
        <w:t xml:space="preserve"> </w:t>
      </w:r>
      <w:r>
        <w:t xml:space="preserve">	</w:t>
      </w:r>
      <w:r>
        <w:t xml:space="preserve">Hinde S, Spackman E.</w:t>
      </w:r>
      <w:r>
        <w:t xml:space="preserve"> </w:t>
      </w:r>
      <w:hyperlink r:id="rId129">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30"/>
    <w:bookmarkStart w:id="132"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Sep;2(3):188–96.</w:t>
      </w:r>
      <w:r>
        <w:t xml:space="preserve"> </w:t>
      </w:r>
    </w:p>
    <w:bookmarkEnd w:id="132"/>
    <w:bookmarkStart w:id="134"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3">
        <w:r>
          <w:rPr>
            <w:rStyle w:val="Hyperlink"/>
          </w:rPr>
          <w:t xml:space="preserve">Estimating sleep parameters using an accelerometer without sleep diary</w:t>
        </w:r>
      </w:hyperlink>
      <w:r>
        <w:t xml:space="preserve">. Scientific Reports. 2018 Aug;8(1).</w:t>
      </w:r>
      <w:r>
        <w:t xml:space="preserve"> </w:t>
      </w:r>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5">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Sep;2(3):131–42.</w:t>
      </w:r>
      <w:r>
        <w:t xml:space="preserve"> </w:t>
      </w:r>
    </w:p>
    <w:bookmarkEnd w:id="136"/>
    <w:bookmarkStart w:id="138" w:name="X604bed0f69fd81ef683c99aa873c9b58e271a81"/>
    <w:p>
      <w:pPr>
        <w:pStyle w:val="Literaturverzeichnis"/>
      </w:pPr>
      <w:r>
        <w:t xml:space="preserve">35.</w:t>
      </w:r>
      <w:r>
        <w:t xml:space="preserve"> </w:t>
      </w:r>
      <w:r>
        <w:t xml:space="preserve">	</w:t>
      </w:r>
      <w:r>
        <w:t xml:space="preserve">Rowlands AV.</w:t>
      </w:r>
      <w:r>
        <w:t xml:space="preserve"> </w:t>
      </w:r>
      <w:hyperlink r:id="rId137">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8"/>
    <w:bookmarkStart w:id="140"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9">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40"/>
    <w:bookmarkStart w:id="142"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1">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2"/>
    <w:bookmarkStart w:id="144"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3">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4"/>
    <w:bookmarkStart w:id="146"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5">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6"/>
    <w:bookmarkStart w:id="148"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7">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Sep;2(3):214–27.</w:t>
      </w:r>
      <w:r>
        <w:t xml:space="preserve"> </w:t>
      </w:r>
    </w:p>
    <w:bookmarkEnd w:id="148"/>
    <w:bookmarkStart w:id="150" w:name="ref-maccounBlindAnalysisHide2015"/>
    <w:p>
      <w:pPr>
        <w:pStyle w:val="Literaturverzeichnis"/>
      </w:pPr>
      <w:r>
        <w:t xml:space="preserve">41.</w:t>
      </w:r>
      <w:r>
        <w:t xml:space="preserve"> </w:t>
      </w:r>
      <w:r>
        <w:t xml:space="preserve">	</w:t>
      </w:r>
      <w:r>
        <w:t xml:space="preserve">MacCoun R, Perlmutter S.</w:t>
      </w:r>
      <w:r>
        <w:t xml:space="preserve"> </w:t>
      </w:r>
      <w:hyperlink r:id="rId149">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50"/>
    <w:bookmarkStart w:id="152"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1">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2"/>
    <w:bookmarkStart w:id="154" w:name="ref-curranIntegrativeDataAnalysis2009"/>
    <w:p>
      <w:pPr>
        <w:pStyle w:val="Literaturverzeichnis"/>
      </w:pPr>
      <w:r>
        <w:t xml:space="preserve">43.</w:t>
      </w:r>
      <w:r>
        <w:t xml:space="preserve"> </w:t>
      </w:r>
      <w:r>
        <w:t xml:space="preserve">	</w:t>
      </w:r>
      <w:r>
        <w:t xml:space="preserve">Curran PJ, Hussong AM.</w:t>
      </w:r>
      <w:r>
        <w:t xml:space="preserve"> </w:t>
      </w:r>
      <w:hyperlink r:id="rId153">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4"/>
    <w:bookmarkStart w:id="156"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5">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6"/>
    <w:bookmarkStart w:id="158" w:name="ref-lokHowManyDays2024"/>
    <w:p>
      <w:pPr>
        <w:pStyle w:val="Literaturverzeichnis"/>
      </w:pPr>
      <w:r>
        <w:t xml:space="preserve">45.</w:t>
      </w:r>
      <w:r>
        <w:t xml:space="preserve"> </w:t>
      </w:r>
      <w:r>
        <w:t xml:space="preserve">	</w:t>
      </w:r>
      <w:r>
        <w:t xml:space="preserve">Lok R, Suh S, Rue S, Weed L, Zeitzer JM.</w:t>
      </w:r>
      <w:r>
        <w:t xml:space="preserve"> </w:t>
      </w:r>
      <w:hyperlink r:id="rId157">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Sep;e14332.</w:t>
      </w:r>
      <w:r>
        <w:t xml:space="preserve"> </w:t>
      </w:r>
    </w:p>
    <w:bookmarkEnd w:id="158"/>
    <w:bookmarkEnd w:id="159"/>
    <w:p>
      <w:r>
        <w:br w:type="page"/>
      </w:r>
    </w:p>
    <w:bookmarkEnd w:id="160"/>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2025-02-12T23:01:47Z</dcterms:created>
  <dcterms:modified xsi:type="dcterms:W3CDTF">2025-02-12T23:01:47Z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