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60.jpg" ContentType="image/jpeg"/>
  <Override PartName="/word/media/rId50.jpg" ContentType="image/jpeg"/>
  <Override PartName="/word/media/rId34.jpg" ContentType="image/jpeg"/>
  <Override PartName="/word/media/rId55.jpg" ContentType="image/jpeg"/>
  <Override PartName="/word/media/rId45.jpg" ContentType="image/jpeg"/>
  <Override PartName="/word/media/rId3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19">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220,760 observations from 28,823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effect of physical activity on sleep regularity was particularly strong, with minimal variation across age groups.</w:t>
      </w:r>
      <w:r>
        <w:t xml:space="preserve"> </w:t>
      </w:r>
      <w:r>
        <w:t xml:space="preserve">Conversely, individuals with more regular sleep patterns and earlier sleep onset exhibited higher levels of physical activity the following day, though these effects were modest.</w:t>
      </w:r>
    </w:p>
    <w:p>
      <w:pPr>
        <w:pStyle w:val="Textkrper"/>
      </w:pPr>
      <w:r>
        <w:rPr>
          <w:b/>
          <w:bCs/>
        </w:rPr>
        <w:t xml:space="preserve">Conclusions</w:t>
      </w:r>
      <w:r>
        <w:t xml:space="preserve">: Physical activity is positively associated with sleep regularity across the lifespan, supporting its role as a non-pharmacological intervention for maintaining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0">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 across the lifespan</w:t>
      </w:r>
      <w:r>
        <w:t xml:space="preserve">[1]</w:t>
      </w:r>
      <w:r>
        <w:t xml:space="preserve">.</w:t>
      </w:r>
      <w:r>
        <w:t xml:space="preserve"> </w:t>
      </w:r>
      <w:r>
        <w:t xml:space="preserve">The consequences of poor sleep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 characteristed by low sleep quality, duration, or the presence of sleep disorders - is a frequent health problem: 14-68%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lower sleep duration than recommended</w:t>
      </w:r>
      <w:r>
        <w:t xml:space="preserve"> </w:t>
      </w:r>
      <w:r>
        <w:t xml:space="preserve">[8]</w:t>
      </w:r>
      <w:r>
        <w:t xml:space="preserve">.</w:t>
      </w:r>
      <w:r>
        <w:t xml:space="preserve"> </w:t>
      </w:r>
      <w:r>
        <w:t xml:space="preserve">Improving sleep should be a priority for public health policy, and more safe and accessible strategies that promote sleep are needed</w:t>
      </w:r>
      <w:r>
        <w:t xml:space="preserve"> </w:t>
      </w:r>
      <w:r>
        <w:t xml:space="preserve">[9]</w:t>
      </w:r>
      <w:r>
        <w:t xml:space="preserve">.</w:t>
      </w:r>
      <w:r>
        <w:t xml:space="preserve"> </w:t>
      </w:r>
      <w:r>
        <w:t xml:space="preserve">In adults, being physically active appears to improve both the quantity and quality of sleep</w:t>
      </w:r>
      <w:r>
        <w:t xml:space="preserve"> </w:t>
      </w:r>
      <w:r>
        <w:t xml:space="preserve">[10]</w:t>
      </w:r>
      <w:r>
        <w:t xml:space="preserve">.</w:t>
      </w:r>
      <w:r>
        <w:t xml:space="preserve"> </w:t>
      </w:r>
      <w:r>
        <w:t xml:space="preserve">The World Health Organization recommends physical activity as a method to improve sleep in adults</w:t>
      </w:r>
      <w:r>
        <w:t xml:space="preserve"> </w:t>
      </w:r>
      <w:r>
        <w:t xml:space="preserve">[</w:t>
      </w:r>
      <w:r>
        <w:rPr>
          <w:b/>
          <w:bCs/>
        </w:rPr>
        <w:t xml:space="preserve">bullWorldHealthOrganisation2020?</w:t>
      </w:r>
      <w:r>
        <w:t xml:space="preserve">]</w:t>
      </w:r>
      <w:r>
        <w:t xml:space="preserve">.</w:t>
      </w:r>
      <w:r>
        <w:t xml:space="preserve"> </w:t>
      </w:r>
      <w:r>
        <w:t xml:space="preserve">In children, adolescents, and older adults associations are unclear</w:t>
      </w:r>
      <w:r>
        <w:t xml:space="preserve"> </w:t>
      </w:r>
      <w:r>
        <w:t xml:space="preserve">[9,11,12]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has at least two limitations.</w:t>
      </w:r>
      <w:r>
        <w:t xml:space="preserve"> </w:t>
      </w:r>
      <w:r>
        <w:t xml:space="preserve">First, most studies have relied on self-report measures of sleep and physical activity</w:t>
      </w:r>
      <w:r>
        <w:t xml:space="preserve"> </w:t>
      </w:r>
      <w:r>
        <w:t xml:space="preserve">[9,11,12]</w:t>
      </w:r>
      <w:r>
        <w:t xml:space="preserve">, which could confound associations and limit the precision of analyses designed to identify a dose-response relationship between physical activity and sleep.</w:t>
      </w:r>
      <w:r>
        <w:t xml:space="preserve"> </w:t>
      </w:r>
      <w:r>
        <w:t xml:space="preserve">Second, no study has collected day-to-day data from a large and geographically diversesample that included participants across the lifespan.</w:t>
      </w:r>
      <w:r>
        <w:t xml:space="preserve"> </w:t>
      </w:r>
      <w:r>
        <w:t xml:space="preserve">Umbrella reviews</w:t>
      </w:r>
      <w:r>
        <w:t xml:space="preserve"> </w:t>
      </w:r>
      <w:r>
        <w:t xml:space="preserve">[9]</w:t>
      </w:r>
      <w:r>
        <w:t xml:space="preserve"> </w:t>
      </w:r>
      <w:r>
        <w:t xml:space="preserve">and meta-analyses</w:t>
      </w:r>
      <w:r>
        <w:t xml:space="preserve"> </w:t>
      </w:r>
      <w:r>
        <w:t xml:space="preserve">[3,4,10–28]</w:t>
      </w:r>
      <w:r>
        <w:t xml:space="preserve"> </w:t>
      </w:r>
      <w:r>
        <w:t xml:space="preserve">have provided some suggestive evidence about how physical activity may improve sleep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Device-measured individual participant data analysis can overcome these limitations</w:t>
      </w:r>
      <w:r>
        <w:t xml:space="preserve"> </w:t>
      </w:r>
      <w:r>
        <w:t xml:space="preserve">[30]</w:t>
      </w:r>
      <w:r>
        <w:t xml:space="preserve">.</w:t>
      </w:r>
    </w:p>
    <w:p>
      <w:pPr>
        <w:pStyle w:val="Textkrper"/>
      </w:pPr>
      <w:r>
        <w:t xml:space="preserve">In this study we harmonised individual participant data from accelerometer observations obtained from studies around the world.</w:t>
      </w:r>
      <w:r>
        <w:t xml:space="preserve"> </w:t>
      </w:r>
      <w:r>
        <w:t xml:space="preserve">The aim of this pooled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31"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0">
        <w:r>
          <w:rPr>
            <w:rStyle w:val="Hyperlink"/>
          </w:rPr>
          <w:t xml:space="preserve">https://osf.io/ahd96</w:t>
        </w:r>
      </w:hyperlink>
      <w:r>
        <w:t xml:space="preserve">).</w:t>
      </w:r>
    </w:p>
    <w:bookmarkStart w:id="22" w:name="data-sources-and-data-acquisition"/>
    <w:p>
      <w:pPr>
        <w:pStyle w:val="berschrift2"/>
      </w:pPr>
      <w:r>
        <w:t xml:space="preserve">Data sources and data acquisition</w:t>
      </w:r>
    </w:p>
    <w:p>
      <w:pPr>
        <w:pStyle w:val="FirstParagraph"/>
      </w:pPr>
      <w:r>
        <w:t xml:space="preserve">We included data from studies, with any design, that used research-grade accelerometers and a 24-hour wear time protocol over a minimum of 4 days, including 1 weekend day.</w:t>
      </w:r>
      <w:r>
        <w:t xml:space="preserve"> </w:t>
      </w:r>
      <w:r>
        <w:t xml:space="preserve">Studies needed to have used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 or accelerometer brand.</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[10–12]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or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2"/>
    <w:bookmarkStart w:id="23" w:name="data-harmonisation-and-outcomes"/>
    <w:p>
      <w:pPr>
        <w:pStyle w:val="berschrift2"/>
      </w:pPr>
      <w:r>
        <w:t xml:space="preserve">Data harmonisation and outcomes</w:t>
      </w:r>
    </w:p>
    <w:p>
      <w:pPr>
        <w:pStyle w:val="FirstParagraph"/>
      </w:pPr>
      <w:r>
        <w:t xml:space="preserve">All accelerometer-derived data were harmonised by reprocessing raw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 wear locations, and populations</w:t>
      </w:r>
      <w:r>
        <w:t xml:space="preserve"> </w:t>
      </w:r>
      <w:r>
        <w:t xml:space="preserve">[34]</w:t>
      </w:r>
      <w:r>
        <w:t xml:space="preserve">.</w:t>
      </w:r>
      <w:r>
        <w:t xml:space="preserve"> </w:t>
      </w:r>
      <w:r>
        <w:t xml:space="preserve">Data were reprocessed by the core research team or the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after onset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[35]</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entire continuum of physical activity intensity for our primary analyses</w:t>
      </w:r>
      <w:r>
        <w:t xml:space="preserve"> </w:t>
      </w:r>
      <w:r>
        <w:t xml:space="preserve">[36]</w:t>
      </w:r>
      <w:r>
        <w:t xml:space="preserve"> </w:t>
      </w:r>
      <w:r>
        <w:t xml:space="preserve">and avoid collapsing physical activity data into population-specific intensity categories, which occurs when intensity cut-points are applied to accelerometer data</w:t>
      </w:r>
      <w:r>
        <w:t xml:space="preserve"> </w:t>
      </w:r>
      <w:r>
        <w:t xml:space="preserve">[37]</w:t>
      </w:r>
      <w:r>
        <w:t xml:space="preserve">.</w:t>
      </w:r>
    </w:p>
    <w:p>
      <w:pPr>
        <w:pStyle w:val="Textkrper"/>
      </w:pPr>
      <w:r>
        <w:t xml:space="preserve">To translate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[35]</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[36]</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[38]</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[39]</w:t>
      </w:r>
      <w:r>
        <w:t xml:space="preserve">.</w:t>
      </w:r>
      <w:r>
        <w:t xml:space="preserve"> </w:t>
      </w:r>
      <w:r>
        <w:t xml:space="preserve">These data were classified as missing and imputed using the accelerometer data from the same time interval on the remaining days of the week.</w:t>
      </w:r>
    </w:p>
    <w:bookmarkEnd w:id="23"/>
    <w:bookmarkStart w:id="24"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p>
      <w:pPr>
        <w:pStyle w:val="Textkrper"/>
      </w:pPr>
      <w:r>
        <w:t xml:space="preserve">Body mass index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No age-based growth reference applies from 18 years, so for adults we standardised body mass index against the adults in this sample.</w:t>
      </w:r>
      <w:r>
        <w:t xml:space="preserve"> </w:t>
      </w:r>
      <w:r>
        <w:t xml:space="preserve">The two halves are consequently not the same quantity: below 18 the z-score is expressed relative to an external growth reference, and at 18 and above relative to this sample.</w:t>
      </w:r>
      <w:r>
        <w:t xml:space="preserve"> </w:t>
      </w:r>
      <w:r>
        <w:t xml:space="preserve">We use the z-score in place of raw body mass index throughout, both as a covariate and as a moderator, so that a given value carries a comparable meaning at every age.</w:t>
      </w:r>
    </w:p>
    <w:bookmarkEnd w:id="24"/>
    <w:bookmarkStart w:id="25"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[41]</w:t>
      </w:r>
      <w:r>
        <w:t xml:space="preserve">.</w:t>
      </w:r>
    </w:p>
    <w:p>
      <w:pPr>
        <w:pStyle w:val="Textkrper"/>
      </w:pPr>
      <w:r>
        <w:t xml:space="preserve">We screened all data for implausibly low or high measurements, as these likely indicate measurement device failures.</w:t>
      </w:r>
      <w:r>
        <w:t xml:space="preserve"> </w:t>
      </w:r>
      <w:r>
        <w:t xml:space="preserve">Screening had three stages.</w:t>
      </w:r>
      <w:r>
        <w:t xml:space="preserve"> </w:t>
      </w:r>
      <w:r>
        <w:t xml:space="preserve">First, we excluded values falling outside fixed physiological limits; for average acceleration this was 200 mg, a value above any sustainable 24-hour average.</w:t>
      </w:r>
      <w:r>
        <w:t xml:space="preserve"> </w:t>
      </w:r>
      <w:r>
        <w:t xml:space="preserve">Second, because a miscalibrated accelerometer corrupts every variable derived from acceleration magnitude rather than isolated days, we excluded all physical activity variables for files whose mean average acceleration exceeded that limit (76 participants).</w:t>
      </w:r>
      <w:r>
        <w:t xml:space="preserve"> </w:t>
      </w:r>
      <w:r>
        <w:t xml:space="preserve">Third, we excluded remaining values falling outside ±4 SD of the mean</w:t>
      </w:r>
      <w:r>
        <w:t xml:space="preserve"> </w:t>
      </w:r>
      <w:r>
        <w:rPr>
          <w:b/>
          <w:bCs/>
        </w:rPr>
        <w:t xml:space="preserve">of their own study</w:t>
      </w:r>
      <w:r>
        <w:t xml:space="preserve">, rather than of the pooled sample, so that the threshold reflected implausible measurement rather than between-study differences in device, protocol and population.</w:t>
      </w:r>
      <w:r>
        <w:t xml:space="preserve"> </w:t>
      </w:r>
      <w:r>
        <w:t xml:space="preserve">The fixed limits were applied before the ±4 SD screen because the mean and standard deviation are themselves distorted by the values they are used to detect.</w:t>
      </w:r>
      <w:r>
        <w:t xml:space="preserve"> </w:t>
      </w:r>
      <w:r>
        <w:t xml:space="preserve">Values excluded at any stage were treated as missing and imputed alongside genuinely missing data.</w:t>
      </w:r>
    </w:p>
    <w:p>
      <w:pPr>
        <w:pStyle w:val="Textkrper"/>
      </w:pPr>
      <w:r>
        <w:t xml:space="preserve">A day contributed to the analysis if it recorded more than 10 hours of wear time and, where sleep was detected, a sleep period longer than 200 minutes.</w:t>
      </w:r>
      <w:r>
        <w:t xml:space="preserve"> </w:t>
      </w:r>
      <w:r>
        <w:t xml:space="preserve">Participants were additionally required to have at least 4 days of valid wear time.</w:t>
      </w:r>
      <w:r>
        <w:t xml:space="preserve"> </w:t>
      </w:r>
      <w:r>
        <w:t xml:space="preserve">345 participants, contributing 465 person-days, did not meet this criterion, leaving 24,264 participants and 148,749 person-days for analysis.</w:t>
      </w:r>
      <w:r>
        <w:t xml:space="preserve"> </w:t>
      </w:r>
      <w:r>
        <w:t xml:space="preserve">Because the criterion is applied after imputation, the primary analysis and a sensitivity analysis that retains every eligible participant regardless of the number of valid wear days share the same imputations and the same standardisation constants, and are therefore directly comparable; the sensitivity analysis is reported in the supplementary materials.</w:t>
      </w:r>
    </w:p>
    <w:p>
      <w:pPr>
        <w:pStyle w:val="Textkrper"/>
      </w:pPr>
      <w:r>
        <w:t xml:space="preserve">We assumed missing covariate and moderator data to be missing at random or completely at random and imputed these missing values using multiple imputations by chained equations with the</w:t>
      </w:r>
      <w:r>
        <w:t xml:space="preserve"> </w:t>
      </w:r>
      <w:r>
        <w:rPr>
          <w:i/>
          <w:iCs/>
        </w:rPr>
        <w:t xml:space="preserve">mice</w:t>
      </w:r>
      <w:r>
        <w:t xml:space="preserve"> </w:t>
      </w:r>
      <w:r>
        <w:t xml:space="preserve">package in R</w:t>
      </w:r>
      <w:r>
        <w:t xml:space="preserve"> </w:t>
      </w:r>
      <w:r>
        <w:t xml:space="preserve">[42]</w:t>
      </w:r>
      <w:r>
        <w:t xml:space="preserve"> </w:t>
      </w:r>
      <w:r>
        <w:t xml:space="preserve">to provide 3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We examined 95% confidence intervals for all analyses and used P&lt;0.05 to assess for statistical significance.</w:t>
      </w:r>
      <w:r>
        <w:t xml:space="preserve"> </w:t>
      </w:r>
      <w:r>
        <w:t xml:space="preserve"> </w:t>
      </w:r>
      <w:r>
        <w:t xml:space="preserve">Both the intervals and the p-values are computed on the pooled Barnard-Rubin degrees of freedom, which account for the additional uncertainty introduced by imputation.</w:t>
      </w:r>
      <w:r>
        <w:t xml:space="preserve"> </w:t>
      </w:r>
      <w:r>
        <w:t xml:space="preserve">We fitted 16 models for each moderator and report all of them without adjustment for multiple comparisons, so p-values close to 0.05 should be interpreted with corresponding caution.</w:t>
      </w:r>
      <w:r>
        <w:t xml:space="preserve"> </w:t>
      </w:r>
      <w:r>
        <w:t xml:space="preserve">We used R (version 4.5.3)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r>
        <w:t xml:space="preserve"> </w:t>
      </w:r>
      <w:r>
        <w:t xml:space="preserve"> </w:t>
      </w:r>
      <w:r>
        <w:t xml:space="preserve">Convergence and singularity are reported separately.</w:t>
      </w:r>
      <w:r>
        <w:t xml:space="preserve"> </w:t>
      </w:r>
      <w:r>
        <w:t xml:space="preserve">A singular fit is one in which the optimiser succeeded but placed a variance component at zero, which indicates that the data do not support that random effect rather than that estimation failed.</w:t>
      </w:r>
    </w:p>
    <w:p>
      <w:pPr>
        <w:pStyle w:val="Textkrper"/>
      </w:pPr>
      <w:r>
        <w:t xml:space="preserve">To examine the relationship between sleep and physical activity (Research Questions 1-2)</w:t>
      </w:r>
      <w:r>
        <w:t xml:space="preserve"> </w:t>
      </w:r>
      <w:r>
        <w:t xml:space="preserve"> </w:t>
      </w:r>
      <w:r>
        <w:t xml:space="preserve">we ran mixed-effects models with random intercepts for study ID and for participant, accounting for the nesting of repeated days within participants and of participants within studies</w:t>
      </w:r>
      <w:r>
        <w:t xml:space="preserve"> </w:t>
      </w:r>
      <w:r>
        <w:t xml:space="preserve">[43]</w:t>
      </w:r>
      <w:r>
        <w:t xml:space="preserve">.</w:t>
      </w:r>
    </w:p>
    <w:p>
      <w:pPr>
        <w:pStyle w:val="Textkrper"/>
      </w:pPr>
      <w:r>
        <w:t xml:space="preserve">We predicted each sleep indicator by each physical activity indicator controlling for socioeconomic status, sex, and body mass index z-score.</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p>
      <w:pPr>
        <w:pStyle w:val="Textkrper"/>
      </w:pPr>
      <w:r>
        <w:t xml:space="preserve">Models predicting physical activity from the preceding night’s sleep (Research Question 3) use each sleep indicator lagged by one day, constructed within participants after eligibility screening so that the lagged value is always an eligible measurement from the immediately preceding calendar day.</w:t>
      </w:r>
      <w:r>
        <w:t xml:space="preserve"> </w:t>
      </w:r>
      <w:r>
        <w:t xml:space="preserve">Person-days whose preceding day was absent from the data or did not meet the eligibility criteria therefore have no lagged value and do not contribute to these models, leaving 120,660 of 149,214 eligible person-days.</w:t>
      </w:r>
    </w:p>
    <w:bookmarkEnd w:id="25"/>
    <w:bookmarkStart w:id="29"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the remaining hypotheses in future research.</w:t>
      </w:r>
      <w:r>
        <w:t xml:space="preserve"> </w:t>
      </w:r>
      <w:r>
        <w:t xml:space="preserve">To streamline our analysis and reduce redundancy, we made some changes to our protocol while working with the holdout data.</w:t>
      </w:r>
    </w:p>
    <w:bookmarkStart w:id="26"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6"/>
    <w:bookmarkStart w:id="27"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and physical activity.</w:t>
      </w:r>
    </w:p>
    <w:bookmarkEnd w:id="27"/>
    <w:bookmarkStart w:id="28"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w:t>
      </w:r>
      <w:r>
        <w:t xml:space="preserve"> </w:t>
      </w:r>
      <w:r>
        <w:t xml:space="preserve">However, these models can be found in supplementary materials.</w:t>
      </w:r>
    </w:p>
    <w:bookmarkEnd w:id="28"/>
    <w:bookmarkEnd w:id="29"/>
    <w:bookmarkStart w:id="30"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The results of this study have broad public health interest, particularly for policymakers.</w:t>
      </w:r>
      <w:r>
        <w:t xml:space="preserve"> </w:t>
      </w:r>
      <w:r>
        <w:t xml:space="preserve">Findings from this study will be disseminated through institutional websites, press and media platform releases, and tailored messages to public health Organizations and governing bodies.</w:t>
      </w:r>
    </w:p>
    <w:bookmarkEnd w:id="30"/>
    <w:bookmarkEnd w:id="31"/>
    <w:bookmarkStart w:id="65" w:name="results"/>
    <w:p>
      <w:pPr>
        <w:pStyle w:val="berschrift1"/>
      </w:pPr>
      <w:r>
        <w:t xml:space="preserve">Results</w:t>
      </w:r>
    </w:p>
    <w:p>
      <w:pPr>
        <w:pStyle w:val="FirstParagraph"/>
      </w:pPr>
      <w:r>
        <w:t xml:space="preserve">The aggregated dataset describes 220,760 observations of daily physical activity and sleep from 28,823 unique participants.</w:t>
      </w:r>
      <w:r>
        <w:t xml:space="preserve"> </w:t>
      </w:r>
      <w:r>
        <w:t xml:space="preserve">Of these, 71,546 days were excluded as they had insufficient wear time, which also resulted in the exclusion of 4,214 participants.</w:t>
      </w:r>
      <w:r>
        <w:t xml:space="preserve"> </w:t>
      </w:r>
      <w:r>
        <w:t xml:space="preserve"> </w:t>
      </w:r>
      <w:r>
        <w:t xml:space="preserve">A further 345 participants (465 days) were excluded for having fewer than 4 days of valid wear time, leaving 24,264 participants and 148,749 person-days.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The majority of participants came from Europe, Oceania, and South America, with limited data from other regions.</w:t>
      </w:r>
      <w:r>
        <w:t xml:space="preserve"> </w:t>
      </w:r>
      <w:r>
        <w:t xml:space="preserve">There was a near-even split by sex (50.4% female), but age skewed towards both younger children (2-11 years, 44.9%) and older adults (66+ years, 25.1%).</w:t>
      </w:r>
    </w:p>
    <w:p>
      <w:pPr>
        <w:pStyle w:val="Textkrper"/>
      </w:pPr>
      <w:r>
        <w:t xml:space="preserve">Valid observations were not uniform across the days of the week (</w:t>
      </w:r>
      <m:oMath>
        <m:sSubSup>
          <m:e>
            <m:r>
              <m:t>χ</m:t>
            </m:r>
          </m:e>
          <m:sub>
            <m:r>
              <m:rPr>
                <m:sty m:val="p"/>
              </m:rPr>
              <m:t>(</m:t>
            </m:r>
            <m:r>
              <m:t>6</m:t>
            </m:r>
            <m:r>
              <m:rPr>
                <m:sty m:val="p"/>
              </m:rPr>
              <m:t>)</m:t>
            </m:r>
          </m:sub>
          <m:sup>
            <m:r>
              <m:t>2</m:t>
            </m:r>
          </m:sup>
        </m:sSubSup>
      </m:oMath>
      <w:r>
        <w:t xml:space="preserve"> </w:t>
      </w:r>
      <w:r>
        <w:t xml:space="preserve">= 310.72, p = &lt; .001).</w:t>
      </w:r>
      <w:r>
        <w:t xml:space="preserve"> </w:t>
      </w:r>
      <w:r>
        <w:t xml:space="preserve">Weekends were over-represented (Saturday: z = 6.08; Sunday: z = 11.62), while Wednesdays (z = -9.91) and Thursdays (z = -8.85) were under-represented.</w:t>
      </w:r>
      <w:r>
        <w:t xml:space="preserve"> </w:t>
      </w:r>
      <w:r>
        <w:t xml:space="preserve">A table of study characteristics can be found in supplementary materials.</w:t>
      </w:r>
    </w:p>
    <w:p>
      <w:pPr>
        <w:pStyle w:val="TableCaption"/>
      </w:pPr>
      <w:bookmarkStart w:id="32" w:name="tab:demo-participants"/>
      <w:bookmarkEnd w:id="32"/>
      <w:r>
        <w:t xml:space="preserve">Table 1</w:t>
      </w:r>
      <w:r>
        <w:br/>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1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10,857</w:t>
            </w:r>
          </w:p>
        </w:tc>
        <w:tc>
          <w:tcPr/>
          <w:p>
            <w:pPr>
              <w:pStyle w:val="Compact"/>
              <w:jc w:val="left"/>
            </w:pPr>
            <w:r>
              <w:t xml:space="preserve">1,921</w:t>
            </w:r>
          </w:p>
        </w:tc>
        <w:tc>
          <w:tcPr/>
          <w:p>
            <w:pPr>
              <w:pStyle w:val="Compact"/>
              <w:jc w:val="left"/>
            </w:pPr>
            <w:r>
              <w:t xml:space="preserve">308</w:t>
            </w:r>
          </w:p>
        </w:tc>
        <w:tc>
          <w:tcPr/>
          <w:p>
            <w:pPr>
              <w:pStyle w:val="Compact"/>
              <w:jc w:val="left"/>
            </w:pPr>
            <w:r>
              <w:t xml:space="preserve">5,040</w:t>
            </w:r>
          </w:p>
        </w:tc>
        <w:tc>
          <w:tcPr/>
          <w:p>
            <w:pPr>
              <w:pStyle w:val="Compact"/>
              <w:jc w:val="left"/>
            </w:pPr>
            <w:r>
              <w:t xml:space="preserve">6,066</w:t>
            </w:r>
          </w:p>
        </w:tc>
      </w:tr>
      <w:tr>
        <w:tc>
          <w:tcPr/>
          <w:p>
            <w:pPr>
              <w:pStyle w:val="Compact"/>
              <w:jc w:val="left"/>
            </w:pPr>
            <w:r>
              <w:t xml:space="preserve">   Age</w:t>
            </w:r>
          </w:p>
        </w:tc>
        <w:tc>
          <w:tcPr/>
          <w:p>
            <w:pPr>
              <w:pStyle w:val="Compact"/>
              <w:jc w:val="left"/>
            </w:pPr>
            <w:r>
              <w:t xml:space="preserve">9.73 (1.49)</w:t>
            </w:r>
          </w:p>
        </w:tc>
        <w:tc>
          <w:tcPr/>
          <w:p>
            <w:pPr>
              <w:pStyle w:val="Compact"/>
              <w:jc w:val="left"/>
            </w:pPr>
            <w:r>
              <w:t xml:space="preserve">15.74 (1.72)</w:t>
            </w:r>
          </w:p>
        </w:tc>
        <w:tc>
          <w:tcPr/>
          <w:p>
            <w:pPr>
              <w:pStyle w:val="Compact"/>
              <w:jc w:val="left"/>
            </w:pPr>
            <w:r>
              <w:t xml:space="preserve">29.16 (5.07)</w:t>
            </w:r>
          </w:p>
        </w:tc>
        <w:tc>
          <w:tcPr/>
          <w:p>
            <w:pPr>
              <w:pStyle w:val="Compact"/>
              <w:jc w:val="left"/>
            </w:pPr>
            <w:r>
              <w:t xml:space="preserve">57.68 (7.37)</w:t>
            </w:r>
          </w:p>
        </w:tc>
        <w:tc>
          <w:tcPr/>
          <w:p>
            <w:pPr>
              <w:pStyle w:val="Compact"/>
              <w:jc w:val="left"/>
            </w:pPr>
            <w:r>
              <w:t xml:space="preserve">72.72 (4.52)</w:t>
            </w:r>
          </w:p>
        </w:tc>
      </w:tr>
      <w:tr>
        <w:tc>
          <w:tcPr/>
          <w:p>
            <w:pPr>
              <w:pStyle w:val="Compact"/>
              <w:jc w:val="left"/>
            </w:pPr>
            <w:r>
              <w:t xml:space="preserve">   BMI</w:t>
            </w:r>
          </w:p>
        </w:tc>
        <w:tc>
          <w:tcPr/>
          <w:p>
            <w:pPr>
              <w:pStyle w:val="Compact"/>
              <w:jc w:val="left"/>
            </w:pPr>
            <w:r>
              <w:t xml:space="preserve">17.99 (3.19)</w:t>
            </w:r>
          </w:p>
        </w:tc>
        <w:tc>
          <w:tcPr/>
          <w:p>
            <w:pPr>
              <w:pStyle w:val="Compact"/>
              <w:jc w:val="left"/>
            </w:pPr>
            <w:r>
              <w:t xml:space="preserve">21.61 (3.76)</w:t>
            </w:r>
          </w:p>
        </w:tc>
        <w:tc>
          <w:tcPr/>
          <w:p>
            <w:pPr>
              <w:pStyle w:val="Compact"/>
              <w:jc w:val="left"/>
            </w:pPr>
            <w:r>
              <w:t xml:space="preserve">26.46 (6.42)</w:t>
            </w:r>
          </w:p>
        </w:tc>
        <w:tc>
          <w:tcPr/>
          <w:p>
            <w:pPr>
              <w:pStyle w:val="Compact"/>
              <w:jc w:val="left"/>
            </w:pPr>
            <w:r>
              <w:t xml:space="preserve">26.80 (4.79)</w:t>
            </w:r>
          </w:p>
        </w:tc>
        <w:tc>
          <w:tcPr/>
          <w:p>
            <w:pPr>
              <w:pStyle w:val="Compact"/>
              <w:jc w:val="left"/>
            </w:pPr>
            <w:r>
              <w:t xml:space="preserve">27.08 (4.31)</w:t>
            </w:r>
          </w:p>
        </w:tc>
      </w:tr>
      <w:tr>
        <w:tc>
          <w:tcPr/>
          <w:p>
            <w:pPr>
              <w:pStyle w:val="Compact"/>
              <w:jc w:val="left"/>
            </w:pPr>
            <w:r>
              <w:t xml:space="preserve">   BMI z-score</w:t>
            </w:r>
          </w:p>
        </w:tc>
        <w:tc>
          <w:tcPr/>
          <w:p>
            <w:pPr>
              <w:pStyle w:val="Compact"/>
              <w:jc w:val="left"/>
            </w:pPr>
            <w:r>
              <w:t xml:space="preserve">0.25 (1.07)</w:t>
            </w:r>
          </w:p>
        </w:tc>
        <w:tc>
          <w:tcPr/>
          <w:p>
            <w:pPr>
              <w:pStyle w:val="Compact"/>
              <w:jc w:val="left"/>
            </w:pPr>
            <w:r>
              <w:t xml:space="preserve">0.09 (1.02)</w:t>
            </w:r>
          </w:p>
        </w:tc>
        <w:tc>
          <w:tcPr/>
          <w:p>
            <w:pPr>
              <w:pStyle w:val="Compact"/>
              <w:jc w:val="left"/>
            </w:pPr>
            <w:r>
              <w:t xml:space="preserve">-0.09 (1.38)</w:t>
            </w:r>
          </w:p>
        </w:tc>
        <w:tc>
          <w:tcPr/>
          <w:p>
            <w:pPr>
              <w:pStyle w:val="Compact"/>
              <w:jc w:val="left"/>
            </w:pPr>
            <w:r>
              <w:t xml:space="preserve">-0.02 (1.03)</w:t>
            </w:r>
          </w:p>
        </w:tc>
        <w:tc>
          <w:tcPr/>
          <w:p>
            <w:pPr>
              <w:pStyle w:val="Compact"/>
              <w:jc w:val="left"/>
            </w:pPr>
            <w:r>
              <w:t xml:space="preserve">0.05 (0.93)</w:t>
            </w:r>
          </w:p>
        </w:tc>
      </w:tr>
      <w:tr>
        <w:tc>
          <w:tcPr/>
          <w:p>
            <w:pPr>
              <w:pStyle w:val="Compact"/>
              <w:jc w:val="left"/>
            </w:pPr>
            <w:r>
              <w:t xml:space="preserve">   Valid Weartime Hours</w:t>
            </w:r>
          </w:p>
        </w:tc>
        <w:tc>
          <w:tcPr/>
          <w:p>
            <w:pPr>
              <w:pStyle w:val="Compact"/>
              <w:jc w:val="left"/>
            </w:pPr>
            <w:r>
              <w:t xml:space="preserve">23.13 (1.60)</w:t>
            </w:r>
          </w:p>
        </w:tc>
        <w:tc>
          <w:tcPr/>
          <w:p>
            <w:pPr>
              <w:pStyle w:val="Compact"/>
              <w:jc w:val="left"/>
            </w:pPr>
            <w:r>
              <w:t xml:space="preserve">23.23 (1.54)</w:t>
            </w:r>
          </w:p>
        </w:tc>
        <w:tc>
          <w:tcPr/>
          <w:p>
            <w:pPr>
              <w:pStyle w:val="Compact"/>
              <w:jc w:val="left"/>
            </w:pPr>
            <w:r>
              <w:t xml:space="preserve">23.25 (1.61)</w:t>
            </w:r>
          </w:p>
        </w:tc>
        <w:tc>
          <w:tcPr/>
          <w:p>
            <w:pPr>
              <w:pStyle w:val="Compact"/>
              <w:jc w:val="left"/>
            </w:pPr>
            <w:r>
              <w:t xml:space="preserve">23.74 (0.82)</w:t>
            </w:r>
          </w:p>
        </w:tc>
        <w:tc>
          <w:tcPr/>
          <w:p>
            <w:pPr>
              <w:pStyle w:val="Compact"/>
              <w:jc w:val="left"/>
            </w:pPr>
            <w:r>
              <w:t xml:space="preserve">23.89 (0.40)</w:t>
            </w:r>
          </w:p>
        </w:tc>
      </w:tr>
      <w:tr>
        <w:tc>
          <w:tcPr/>
          <w:p>
            <w:pPr>
              <w:pStyle w:val="Compact"/>
              <w:jc w:val="left"/>
            </w:pPr>
            <w:r>
              <w:t xml:space="preserve">   Valid Weatime Days</w:t>
            </w:r>
          </w:p>
        </w:tc>
        <w:tc>
          <w:tcPr/>
          <w:p>
            <w:pPr>
              <w:pStyle w:val="Compact"/>
              <w:jc w:val="left"/>
            </w:pPr>
            <w:r>
              <w:t xml:space="preserve">5.62 (1.89)</w:t>
            </w:r>
          </w:p>
        </w:tc>
        <w:tc>
          <w:tcPr/>
          <w:p>
            <w:pPr>
              <w:pStyle w:val="Compact"/>
              <w:jc w:val="left"/>
            </w:pPr>
            <w:r>
              <w:t xml:space="preserve">4.97 (1.34)</w:t>
            </w:r>
          </w:p>
        </w:tc>
        <w:tc>
          <w:tcPr/>
          <w:p>
            <w:pPr>
              <w:pStyle w:val="Compact"/>
              <w:jc w:val="left"/>
            </w:pPr>
            <w:r>
              <w:t xml:space="preserve">4.79 (1.31)</w:t>
            </w:r>
          </w:p>
        </w:tc>
        <w:tc>
          <w:tcPr/>
          <w:p>
            <w:pPr>
              <w:pStyle w:val="Compact"/>
              <w:jc w:val="left"/>
            </w:pPr>
            <w:r>
              <w:t xml:space="preserve">7.34 (2.48)</w:t>
            </w:r>
          </w:p>
        </w:tc>
        <w:tc>
          <w:tcPr/>
          <w:p>
            <w:pPr>
              <w:pStyle w:val="Compact"/>
              <w:jc w:val="left"/>
            </w:pPr>
            <w:r>
              <w:t xml:space="preserve">6.48 (2.09)</w:t>
            </w:r>
          </w:p>
        </w:tc>
      </w:tr>
      <w:tr>
        <w:tc>
          <w:tcPr/>
          <w:p>
            <w:pPr>
              <w:pStyle w:val="Compact"/>
              <w:jc w:val="left"/>
            </w:pPr>
            <w:r>
              <w:t xml:space="preserve">   PA Intensity</w:t>
            </w:r>
          </w:p>
        </w:tc>
        <w:tc>
          <w:tcPr/>
          <w:p>
            <w:pPr>
              <w:pStyle w:val="Compact"/>
              <w:jc w:val="left"/>
            </w:pPr>
            <w:r>
              <w:t xml:space="preserve">-2.13 (0.19)</w:t>
            </w:r>
          </w:p>
        </w:tc>
        <w:tc>
          <w:tcPr/>
          <w:p>
            <w:pPr>
              <w:pStyle w:val="Compact"/>
              <w:jc w:val="left"/>
            </w:pPr>
            <w:r>
              <w:t xml:space="preserve">-2.23 (0.19)</w:t>
            </w:r>
          </w:p>
        </w:tc>
        <w:tc>
          <w:tcPr/>
          <w:p>
            <w:pPr>
              <w:pStyle w:val="Compact"/>
              <w:jc w:val="left"/>
            </w:pPr>
            <w:r>
              <w:t xml:space="preserve">-2.43 (0.19)</w:t>
            </w:r>
          </w:p>
        </w:tc>
        <w:tc>
          <w:tcPr/>
          <w:p>
            <w:pPr>
              <w:pStyle w:val="Compact"/>
              <w:jc w:val="left"/>
            </w:pPr>
            <w:r>
              <w:t xml:space="preserve">-2.50 (0.19)</w:t>
            </w:r>
          </w:p>
        </w:tc>
        <w:tc>
          <w:tcPr/>
          <w:p>
            <w:pPr>
              <w:pStyle w:val="Compact"/>
              <w:jc w:val="left"/>
            </w:pPr>
            <w:r>
              <w:t xml:space="preserve">-2.68 (0.22)</w:t>
            </w:r>
          </w:p>
        </w:tc>
      </w:tr>
      <w:tr>
        <w:tc>
          <w:tcPr/>
          <w:p>
            <w:pPr>
              <w:pStyle w:val="Compact"/>
              <w:jc w:val="left"/>
            </w:pPr>
            <w:r>
              <w:t xml:space="preserve">   PA Volume</w:t>
            </w:r>
          </w:p>
        </w:tc>
        <w:tc>
          <w:tcPr/>
          <w:p>
            <w:pPr>
              <w:pStyle w:val="Compact"/>
              <w:jc w:val="left"/>
            </w:pPr>
            <w:r>
              <w:t xml:space="preserve">42.53 (24.27)</w:t>
            </w:r>
          </w:p>
        </w:tc>
        <w:tc>
          <w:tcPr/>
          <w:p>
            <w:pPr>
              <w:pStyle w:val="Compact"/>
              <w:jc w:val="left"/>
            </w:pPr>
            <w:r>
              <w:t xml:space="preserve">46.73 (14.30)</w:t>
            </w:r>
          </w:p>
        </w:tc>
        <w:tc>
          <w:tcPr/>
          <w:p>
            <w:pPr>
              <w:pStyle w:val="Compact"/>
              <w:jc w:val="left"/>
            </w:pPr>
            <w:r>
              <w:t xml:space="preserve">39.53 (10.69)</w:t>
            </w:r>
          </w:p>
        </w:tc>
        <w:tc>
          <w:tcPr/>
          <w:p>
            <w:pPr>
              <w:pStyle w:val="Compact"/>
              <w:jc w:val="left"/>
            </w:pPr>
            <w:r>
              <w:t xml:space="preserve">38.82 (11.60)</w:t>
            </w:r>
          </w:p>
        </w:tc>
        <w:tc>
          <w:tcPr/>
          <w:p>
            <w:pPr>
              <w:pStyle w:val="Compact"/>
              <w:jc w:val="left"/>
            </w:pPr>
            <w:r>
              <w:t xml:space="preserve">30.86 (9.71)</w:t>
            </w:r>
          </w:p>
        </w:tc>
      </w:tr>
      <w:tr>
        <w:tc>
          <w:tcPr/>
          <w:p>
            <w:pPr>
              <w:pStyle w:val="Compact"/>
              <w:jc w:val="left"/>
            </w:pPr>
            <w:r>
              <w:t xml:space="preserve">   Sleep Duration (min)</w:t>
            </w:r>
          </w:p>
        </w:tc>
        <w:tc>
          <w:tcPr/>
          <w:p>
            <w:pPr>
              <w:pStyle w:val="Compact"/>
              <w:jc w:val="left"/>
            </w:pPr>
            <w:r>
              <w:t xml:space="preserve">486.90 (52.97)</w:t>
            </w:r>
          </w:p>
        </w:tc>
        <w:tc>
          <w:tcPr/>
          <w:p>
            <w:pPr>
              <w:pStyle w:val="Compact"/>
              <w:jc w:val="left"/>
            </w:pPr>
            <w:r>
              <w:t xml:space="preserve">416.72 (55.29)</w:t>
            </w:r>
          </w:p>
        </w:tc>
        <w:tc>
          <w:tcPr/>
          <w:p>
            <w:pPr>
              <w:pStyle w:val="Compact"/>
              <w:jc w:val="left"/>
            </w:pPr>
            <w:r>
              <w:t xml:space="preserve">421.10 (62.52)</w:t>
            </w:r>
          </w:p>
        </w:tc>
        <w:tc>
          <w:tcPr/>
          <w:p>
            <w:pPr>
              <w:pStyle w:val="Compact"/>
              <w:jc w:val="left"/>
            </w:pPr>
            <w:r>
              <w:t xml:space="preserve">408.42 (55.81)</w:t>
            </w:r>
          </w:p>
        </w:tc>
        <w:tc>
          <w:tcPr/>
          <w:p>
            <w:pPr>
              <w:pStyle w:val="Compact"/>
              <w:jc w:val="left"/>
            </w:pPr>
            <w:r>
              <w:t xml:space="preserve">404.16 (63.32)</w:t>
            </w:r>
          </w:p>
        </w:tc>
      </w:tr>
      <w:tr>
        <w:tc>
          <w:tcPr/>
          <w:p>
            <w:pPr>
              <w:pStyle w:val="Compact"/>
              <w:jc w:val="left"/>
            </w:pPr>
            <w:r>
              <w:t xml:space="preserve">   Sleep Efficiency (%)</w:t>
            </w:r>
          </w:p>
        </w:tc>
        <w:tc>
          <w:tcPr/>
          <w:p>
            <w:pPr>
              <w:pStyle w:val="Compact"/>
              <w:jc w:val="left"/>
            </w:pPr>
            <w:r>
              <w:t xml:space="preserve">80.75 (7.40)</w:t>
            </w:r>
          </w:p>
        </w:tc>
        <w:tc>
          <w:tcPr/>
          <w:p>
            <w:pPr>
              <w:pStyle w:val="Compact"/>
              <w:jc w:val="left"/>
            </w:pPr>
            <w:r>
              <w:t xml:space="preserve">87.13 (6.30)</w:t>
            </w:r>
          </w:p>
        </w:tc>
        <w:tc>
          <w:tcPr/>
          <w:p>
            <w:pPr>
              <w:pStyle w:val="Compact"/>
              <w:jc w:val="left"/>
            </w:pPr>
            <w:r>
              <w:t xml:space="preserve">87.28 (6.12)</w:t>
            </w:r>
          </w:p>
        </w:tc>
        <w:tc>
          <w:tcPr/>
          <w:p>
            <w:pPr>
              <w:pStyle w:val="Compact"/>
              <w:jc w:val="left"/>
            </w:pPr>
            <w:r>
              <w:t xml:space="preserve">87.79 (5.52)</w:t>
            </w:r>
          </w:p>
        </w:tc>
        <w:tc>
          <w:tcPr/>
          <w:p>
            <w:pPr>
              <w:pStyle w:val="Compact"/>
              <w:jc w:val="left"/>
            </w:pPr>
            <w:r>
              <w:t xml:space="preserve">86.50 (6.03)</w:t>
            </w:r>
          </w:p>
        </w:tc>
      </w:tr>
      <w:tr>
        <w:tc>
          <w:tcPr/>
          <w:p>
            <w:pPr>
              <w:pStyle w:val="Compact"/>
              <w:jc w:val="left"/>
            </w:pPr>
            <w:r>
              <w:t xml:space="preserve">   Sleep Onset (clock time; SD in h:mm)</w:t>
            </w:r>
          </w:p>
        </w:tc>
        <w:tc>
          <w:tcPr/>
          <w:p>
            <w:pPr>
              <w:pStyle w:val="Compact"/>
              <w:jc w:val="left"/>
            </w:pPr>
            <w:r>
              <w:t xml:space="preserve">20:55 (01:08)</w:t>
            </w:r>
          </w:p>
        </w:tc>
        <w:tc>
          <w:tcPr/>
          <w:p>
            <w:pPr>
              <w:pStyle w:val="Compact"/>
              <w:jc w:val="left"/>
            </w:pPr>
            <w:r>
              <w:t xml:space="preserve">23:30 (01:26)</w:t>
            </w:r>
          </w:p>
        </w:tc>
        <w:tc>
          <w:tcPr/>
          <w:p>
            <w:pPr>
              <w:pStyle w:val="Compact"/>
              <w:jc w:val="left"/>
            </w:pPr>
            <w:r>
              <w:t xml:space="preserve">23:40 (01:46)</w:t>
            </w:r>
          </w:p>
        </w:tc>
        <w:tc>
          <w:tcPr/>
          <w:p>
            <w:pPr>
              <w:pStyle w:val="Compact"/>
              <w:jc w:val="left"/>
            </w:pPr>
            <w:r>
              <w:t xml:space="preserve">23:41 (01:23)</w:t>
            </w:r>
          </w:p>
        </w:tc>
        <w:tc>
          <w:tcPr/>
          <w:p>
            <w:pPr>
              <w:pStyle w:val="Compact"/>
              <w:jc w:val="left"/>
            </w:pPr>
            <w:r>
              <w:t xml:space="preserve">00:23 (01:14)</w:t>
            </w:r>
          </w:p>
        </w:tc>
      </w:tr>
      <w:tr>
        <w:tc>
          <w:tcPr/>
          <w:p>
            <w:pPr>
              <w:pStyle w:val="Compact"/>
              <w:jc w:val="left"/>
            </w:pPr>
            <w:r>
              <w:t xml:space="preserve">   Sleep Regularity</w:t>
            </w:r>
          </w:p>
        </w:tc>
        <w:tc>
          <w:tcPr/>
          <w:p>
            <w:pPr>
              <w:pStyle w:val="Compact"/>
              <w:jc w:val="left"/>
            </w:pPr>
            <w:r>
              <w:t xml:space="preserve">54.00 (12.73)</w:t>
            </w:r>
          </w:p>
        </w:tc>
        <w:tc>
          <w:tcPr/>
          <w:p>
            <w:pPr>
              <w:pStyle w:val="Compact"/>
              <w:jc w:val="left"/>
            </w:pPr>
            <w:r>
              <w:t xml:space="preserve">57.03 (12.15)</w:t>
            </w:r>
          </w:p>
        </w:tc>
        <w:tc>
          <w:tcPr/>
          <w:p>
            <w:pPr>
              <w:pStyle w:val="Compact"/>
              <w:jc w:val="left"/>
            </w:pPr>
            <w:r>
              <w:t xml:space="preserve">55.79 (12.76)</w:t>
            </w:r>
          </w:p>
        </w:tc>
        <w:tc>
          <w:tcPr/>
          <w:p>
            <w:pPr>
              <w:pStyle w:val="Compact"/>
              <w:jc w:val="left"/>
            </w:pPr>
            <w:r>
              <w:t xml:space="preserve">59.45 (11.35)</w:t>
            </w:r>
          </w:p>
        </w:tc>
        <w:tc>
          <w:tcPr/>
          <w:p>
            <w:pPr>
              <w:pStyle w:val="Compact"/>
              <w:jc w:val="left"/>
            </w:pPr>
            <w:r>
              <w:t xml:space="preserve">54.53 (12.49)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2,567 (23.64%)</w:t>
            </w:r>
          </w:p>
        </w:tc>
        <w:tc>
          <w:tcPr/>
          <w:p>
            <w:pPr>
              <w:pStyle w:val="Compact"/>
              <w:jc w:val="left"/>
            </w:pPr>
            <w:r>
              <w:t xml:space="preserve">1,883 (98.02%)</w:t>
            </w:r>
          </w:p>
        </w:tc>
        <w:tc>
          <w:tcPr/>
          <w:p>
            <w:pPr>
              <w:pStyle w:val="Compact"/>
              <w:jc w:val="left"/>
            </w:pPr>
            <w:r>
              <w:t xml:space="preserve">308 (100.00%)</w:t>
            </w:r>
          </w:p>
        </w:tc>
        <w:tc>
          <w:tcPr/>
          <w:p>
            <w:pPr>
              <w:pStyle w:val="Compact"/>
              <w:jc w:val="left"/>
            </w:pPr>
            <w:r>
              <w:t xml:space="preserve">5,040 (100.00%)</w:t>
            </w:r>
          </w:p>
        </w:tc>
        <w:tc>
          <w:tcPr/>
          <w:p>
            <w:pPr>
              <w:pStyle w:val="Compact"/>
              <w:jc w:val="left"/>
            </w:pPr>
            <w:r>
              <w:t xml:space="preserve">6,066 (100.00%)</w:t>
            </w:r>
          </w:p>
        </w:tc>
      </w:tr>
      <w:tr>
        <w:tc>
          <w:tcPr/>
          <w:p>
            <w:pPr>
              <w:pStyle w:val="Compact"/>
              <w:jc w:val="left"/>
            </w:pPr>
            <w:r>
              <w:t xml:space="preserve">   Hip</w:t>
            </w:r>
          </w:p>
        </w:tc>
        <w:tc>
          <w:tcPr/>
          <w:p>
            <w:pPr>
              <w:pStyle w:val="Compact"/>
              <w:jc w:val="left"/>
            </w:pPr>
            <w:r>
              <w:t xml:space="preserve">8,290 (76.36%)</w:t>
            </w:r>
          </w:p>
        </w:tc>
        <w:tc>
          <w:tcPr/>
          <w:p>
            <w:pPr>
              <w:pStyle w:val="Compact"/>
              <w:jc w:val="left"/>
            </w:pPr>
            <w:r>
              <w:t xml:space="preserve">   38 (1.98%)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1,505 (13.86%)</w:t>
            </w:r>
          </w:p>
        </w:tc>
        <w:tc>
          <w:tcPr/>
          <w:p>
            <w:pPr>
              <w:pStyle w:val="Compact"/>
              <w:jc w:val="left"/>
            </w:pPr>
            <w:r>
              <w:t xml:space="preserve">303 (15.77%)</w:t>
            </w:r>
          </w:p>
        </w:tc>
        <w:tc>
          <w:tcPr/>
          <w:p>
            <w:pPr>
              <w:pStyle w:val="Compact"/>
              <w:jc w:val="left"/>
            </w:pPr>
            <w:r>
              <w:t xml:space="preserve">108 (35.06%)</w:t>
            </w:r>
          </w:p>
        </w:tc>
        <w:tc>
          <w:tcPr/>
          <w:p>
            <w:pPr>
              <w:pStyle w:val="Compact"/>
              <w:jc w:val="left"/>
            </w:pPr>
            <w:r>
              <w:t xml:space="preserve">  186 (3.69%)</w:t>
            </w:r>
          </w:p>
        </w:tc>
        <w:tc>
          <w:tcPr/>
          <w:p>
            <w:pPr>
              <w:pStyle w:val="Compact"/>
              <w:jc w:val="left"/>
            </w:pPr>
            <w:r>
              <w:t xml:space="preserve">-</w:t>
            </w:r>
          </w:p>
        </w:tc>
      </w:tr>
      <w:tr>
        <w:tc>
          <w:tcPr/>
          <w:p>
            <w:pPr>
              <w:pStyle w:val="Compact"/>
              <w:jc w:val="left"/>
            </w:pPr>
            <w:r>
              <w:t xml:space="preserve">   Finland</w:t>
            </w:r>
          </w:p>
        </w:tc>
        <w:tc>
          <w:tcPr/>
          <w:p>
            <w:pPr>
              <w:pStyle w:val="Compact"/>
              <w:jc w:val="left"/>
            </w:pPr>
            <w:r>
              <w:t xml:space="preserve">  508 (4.68%)</w:t>
            </w:r>
          </w:p>
        </w:tc>
        <w:tc>
          <w:tcPr/>
          <w:p>
            <w:pPr>
              <w:pStyle w:val="Compact"/>
              <w:jc w:val="left"/>
            </w:pPr>
            <w:r>
              <w:t xml:space="preserve">-</w:t>
            </w:r>
          </w:p>
        </w:tc>
        <w:tc>
          <w:tcPr/>
          <w:p>
            <w:pPr>
              <w:pStyle w:val="Compact"/>
              <w:jc w:val="left"/>
            </w:pPr>
            <w:r>
              <w:t xml:space="preserve">-</w:t>
            </w:r>
          </w:p>
        </w:tc>
        <w:tc>
          <w:tcPr/>
          <w:p>
            <w:pPr>
              <w:pStyle w:val="Compact"/>
              <w:jc w:val="left"/>
            </w:pPr>
            <w:r>
              <w:t xml:space="preserve">  801 (15.89%)</w:t>
            </w:r>
          </w:p>
        </w:tc>
        <w:tc>
          <w:tcPr/>
          <w:p>
            <w:pPr>
              <w:pStyle w:val="Compact"/>
              <w:jc w:val="left"/>
            </w:pPr>
            <w:r>
              <w:t xml:space="preserve">-</w:t>
            </w:r>
          </w:p>
        </w:tc>
      </w:tr>
      <w:tr>
        <w:tc>
          <w:tcPr/>
          <w:p>
            <w:pPr>
              <w:pStyle w:val="Compact"/>
              <w:jc w:val="left"/>
            </w:pPr>
            <w:r>
              <w:t xml:space="preserve">   New Zealand</w:t>
            </w:r>
          </w:p>
        </w:tc>
        <w:tc>
          <w:tcPr/>
          <w:p>
            <w:pPr>
              <w:pStyle w:val="Compact"/>
              <w:jc w:val="left"/>
            </w:pPr>
            <w:r>
              <w:t xml:space="preserve">  455 (4.19%)</w:t>
            </w:r>
          </w:p>
        </w:tc>
        <w:tc>
          <w:tcPr/>
          <w:p>
            <w:pPr>
              <w:pStyle w:val="Compact"/>
              <w:jc w:val="left"/>
            </w:pPr>
            <w:r>
              <w:t xml:space="preserve">-</w:t>
            </w:r>
          </w:p>
        </w:tc>
        <w:tc>
          <w:tcPr/>
          <w:p>
            <w:pPr>
              <w:pStyle w:val="Compact"/>
              <w:jc w:val="left"/>
            </w:pPr>
            <w:r>
              <w:t xml:space="preserve">37 (12.01%)</w:t>
            </w:r>
          </w:p>
        </w:tc>
        <w:tc>
          <w:tcPr/>
          <w:p>
            <w:pPr>
              <w:pStyle w:val="Compact"/>
              <w:jc w:val="left"/>
            </w:pPr>
            <w:r>
              <w:t xml:space="preserve">  151 (3.00%)</w:t>
            </w:r>
          </w:p>
        </w:tc>
        <w:tc>
          <w:tcPr/>
          <w:p>
            <w:pPr>
              <w:pStyle w:val="Compact"/>
              <w:jc w:val="left"/>
            </w:pPr>
            <w:r>
              <w:t xml:space="preserve">-</w:t>
            </w:r>
          </w:p>
        </w:tc>
      </w:tr>
      <w:tr>
        <w:tc>
          <w:tcPr/>
          <w:p>
            <w:pPr>
              <w:pStyle w:val="Compact"/>
              <w:jc w:val="left"/>
            </w:pPr>
            <w:r>
              <w:t xml:space="preserve">   Spain</w:t>
            </w:r>
          </w:p>
        </w:tc>
        <w:tc>
          <w:tcPr/>
          <w:p>
            <w:pPr>
              <w:pStyle w:val="Compact"/>
              <w:jc w:val="left"/>
            </w:pPr>
            <w:r>
              <w:t xml:space="preserve">  934 (8.60%)</w:t>
            </w:r>
          </w:p>
        </w:tc>
        <w:tc>
          <w:tcPr/>
          <w:p>
            <w:pPr>
              <w:pStyle w:val="Compact"/>
              <w:jc w:val="left"/>
            </w:pPr>
            <w:r>
              <w:t xml:space="preserve">  5 (0.26%)</w:t>
            </w:r>
          </w:p>
        </w:tc>
        <w:tc>
          <w:tcPr/>
          <w:p>
            <w:pPr>
              <w:pStyle w:val="Compact"/>
              <w:jc w:val="left"/>
            </w:pPr>
            <w:r>
              <w:t xml:space="preserve">-</w:t>
            </w:r>
          </w:p>
        </w:tc>
        <w:tc>
          <w:tcPr/>
          <w:p>
            <w:pPr>
              <w:pStyle w:val="Compact"/>
              <w:jc w:val="left"/>
            </w:pPr>
            <w:r>
              <w:t xml:space="preserve">   37 (0.73%)</w:t>
            </w:r>
          </w:p>
        </w:tc>
        <w:tc>
          <w:tcPr/>
          <w:p>
            <w:pPr>
              <w:pStyle w:val="Compact"/>
              <w:jc w:val="left"/>
            </w:pPr>
            <w:r>
              <w:t xml:space="preserve">2,386 (39.33%)</w:t>
            </w:r>
          </w:p>
        </w:tc>
      </w:tr>
      <w:tr>
        <w:tc>
          <w:tcPr/>
          <w:p>
            <w:pPr>
              <w:pStyle w:val="Compact"/>
              <w:jc w:val="left"/>
            </w:pPr>
            <w:r>
              <w:t xml:space="preserve">   Switzerland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1,904 (37.78%)</w:t>
            </w:r>
          </w:p>
        </w:tc>
        <w:tc>
          <w:tcPr/>
          <w:p>
            <w:pPr>
              <w:pStyle w:val="Compact"/>
              <w:jc w:val="left"/>
            </w:pPr>
            <w:r>
              <w:t xml:space="preserve">1,023 (16.86%)</w:t>
            </w:r>
          </w:p>
        </w:tc>
      </w:tr>
      <w:tr>
        <w:tc>
          <w:tcPr/>
          <w:p>
            <w:pPr>
              <w:pStyle w:val="Compact"/>
              <w:jc w:val="left"/>
            </w:pPr>
            <w:r>
              <w:t xml:space="preserve">   United Kingdom</w:t>
            </w:r>
          </w:p>
        </w:tc>
        <w:tc>
          <w:tcPr/>
          <w:p>
            <w:pPr>
              <w:pStyle w:val="Compact"/>
              <w:jc w:val="left"/>
            </w:pPr>
            <w:r>
              <w:t xml:space="preserve">  447 (4.12%)</w:t>
            </w:r>
          </w:p>
        </w:tc>
        <w:tc>
          <w:tcPr/>
          <w:p>
            <w:pPr>
              <w:pStyle w:val="Compact"/>
              <w:jc w:val="left"/>
            </w:pPr>
            <w:r>
              <w:t xml:space="preserve">-</w:t>
            </w:r>
          </w:p>
        </w:tc>
        <w:tc>
          <w:tcPr/>
          <w:p>
            <w:pPr>
              <w:pStyle w:val="Compact"/>
              <w:jc w:val="left"/>
            </w:pPr>
            <w:r>
              <w:t xml:space="preserve">144 (46.75%)</w:t>
            </w:r>
          </w:p>
        </w:tc>
        <w:tc>
          <w:tcPr/>
          <w:p>
            <w:pPr>
              <w:pStyle w:val="Compact"/>
              <w:jc w:val="left"/>
            </w:pPr>
            <w:r>
              <w:t xml:space="preserve">1,961 (38.91%)</w:t>
            </w:r>
          </w:p>
        </w:tc>
        <w:tc>
          <w:tcPr/>
          <w:p>
            <w:pPr>
              <w:pStyle w:val="Compact"/>
              <w:jc w:val="left"/>
            </w:pPr>
            <w:r>
              <w:t xml:space="preserve">2,657 (43.80%)</w:t>
            </w:r>
          </w:p>
        </w:tc>
      </w:tr>
      <w:tr>
        <w:tc>
          <w:tcPr/>
          <w:p>
            <w:pPr>
              <w:pStyle w:val="Compact"/>
              <w:jc w:val="left"/>
            </w:pPr>
            <w:r>
              <w:t xml:space="preserve">   Brazil</w:t>
            </w:r>
          </w:p>
        </w:tc>
        <w:tc>
          <w:tcPr/>
          <w:p>
            <w:pPr>
              <w:pStyle w:val="Compact"/>
              <w:jc w:val="left"/>
            </w:pPr>
            <w:r>
              <w:t xml:space="preserve">  486 (4.48%)</w:t>
            </w:r>
          </w:p>
        </w:tc>
        <w:tc>
          <w:tcPr/>
          <w:p>
            <w:pPr>
              <w:pStyle w:val="Compact"/>
              <w:jc w:val="left"/>
            </w:pPr>
            <w:r>
              <w:t xml:space="preserve">727 (37.84%)</w:t>
            </w:r>
          </w:p>
        </w:tc>
        <w:tc>
          <w:tcPr/>
          <w:p>
            <w:pPr>
              <w:pStyle w:val="Compact"/>
              <w:jc w:val="left"/>
            </w:pPr>
            <w:r>
              <w:t xml:space="preserve">10 (3.25%)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Czech Republic</w:t>
            </w:r>
          </w:p>
        </w:tc>
        <w:tc>
          <w:tcPr/>
          <w:p>
            <w:pPr>
              <w:pStyle w:val="Compact"/>
              <w:jc w:val="left"/>
            </w:pPr>
            <w:r>
              <w:t xml:space="preserve">  281 (2.59%)</w:t>
            </w:r>
          </w:p>
        </w:tc>
        <w:tc>
          <w:tcPr/>
          <w:p>
            <w:pPr>
              <w:pStyle w:val="Compact"/>
              <w:jc w:val="left"/>
            </w:pPr>
            <w:r>
              <w:t xml:space="preserve">848 (44.14%)</w:t>
            </w:r>
          </w:p>
        </w:tc>
        <w:tc>
          <w:tcPr/>
          <w:p>
            <w:pPr>
              <w:pStyle w:val="Compact"/>
              <w:jc w:val="left"/>
            </w:pPr>
            <w:r>
              <w:t xml:space="preserve">  9 (2.92%)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Canada</w:t>
            </w:r>
          </w:p>
        </w:tc>
        <w:tc>
          <w:tcPr/>
          <w:p>
            <w:pPr>
              <w:pStyle w:val="Compact"/>
              <w:jc w:val="left"/>
            </w:pPr>
            <w:r>
              <w:t xml:space="preserve">  522 (4.81%)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China</w:t>
            </w:r>
          </w:p>
        </w:tc>
        <w:tc>
          <w:tcPr/>
          <w:p>
            <w:pPr>
              <w:pStyle w:val="Compact"/>
              <w:jc w:val="left"/>
            </w:pPr>
            <w:r>
              <w:t xml:space="preserve">  124 (1.14%)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Colombia</w:t>
            </w:r>
          </w:p>
        </w:tc>
        <w:tc>
          <w:tcPr/>
          <w:p>
            <w:pPr>
              <w:pStyle w:val="Compact"/>
              <w:jc w:val="left"/>
            </w:pPr>
            <w:r>
              <w:t xml:space="preserve">  889 (8.19%)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Denmark</w:t>
            </w:r>
          </w:p>
        </w:tc>
        <w:tc>
          <w:tcPr/>
          <w:p>
            <w:pPr>
              <w:pStyle w:val="Compact"/>
              <w:jc w:val="left"/>
            </w:pPr>
            <w:r>
              <w:t xml:space="preserve">  689 (6.35%)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Ecuador</w:t>
            </w:r>
          </w:p>
        </w:tc>
        <w:tc>
          <w:tcPr/>
          <w:p>
            <w:pPr>
              <w:pStyle w:val="Compact"/>
              <w:jc w:val="left"/>
            </w:pPr>
            <w:r>
              <w:t xml:space="preserve">  981 (9.04%)</w:t>
            </w:r>
          </w:p>
        </w:tc>
        <w:tc>
          <w:tcPr/>
          <w:p>
            <w:pPr>
              <w:pStyle w:val="Compact"/>
              <w:jc w:val="left"/>
            </w:pPr>
            <w:r>
              <w:t xml:space="preserve">38 (1.98%)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India</w:t>
            </w:r>
          </w:p>
        </w:tc>
        <w:tc>
          <w:tcPr/>
          <w:p>
            <w:pPr>
              <w:pStyle w:val="Compact"/>
              <w:jc w:val="left"/>
            </w:pPr>
            <w:r>
              <w:t xml:space="preserve">  574 (5.29%)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Kenya</w:t>
            </w:r>
          </w:p>
        </w:tc>
        <w:tc>
          <w:tcPr/>
          <w:p>
            <w:pPr>
              <w:pStyle w:val="Compact"/>
              <w:jc w:val="left"/>
            </w:pPr>
            <w:r>
              <w:t xml:space="preserve">  525 (4.84%)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Portugal</w:t>
            </w:r>
          </w:p>
        </w:tc>
        <w:tc>
          <w:tcPr/>
          <w:p>
            <w:pPr>
              <w:pStyle w:val="Compact"/>
              <w:jc w:val="left"/>
            </w:pPr>
            <w:r>
              <w:t xml:space="preserve">  702 (6.47%)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South Africa</w:t>
            </w:r>
          </w:p>
        </w:tc>
        <w:tc>
          <w:tcPr/>
          <w:p>
            <w:pPr>
              <w:pStyle w:val="Compact"/>
              <w:jc w:val="left"/>
            </w:pPr>
            <w:r>
              <w:t xml:space="preserve">  506 (4.66%)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United States</w:t>
            </w:r>
          </w:p>
        </w:tc>
        <w:tc>
          <w:tcPr/>
          <w:p>
            <w:pPr>
              <w:pStyle w:val="Compact"/>
              <w:jc w:val="left"/>
            </w:pPr>
            <w:r>
              <w:t xml:space="preserve">  729 (6.71%)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2,127 (19.59%)</w:t>
            </w:r>
          </w:p>
        </w:tc>
        <w:tc>
          <w:tcPr/>
          <w:p>
            <w:pPr>
              <w:pStyle w:val="Compact"/>
              <w:jc w:val="left"/>
            </w:pPr>
            <w:r>
              <w:t xml:space="preserve">  169 (8.80%)</w:t>
            </w:r>
          </w:p>
        </w:tc>
        <w:tc>
          <w:tcPr/>
          <w:p>
            <w:pPr>
              <w:pStyle w:val="Compact"/>
              <w:jc w:val="left"/>
            </w:pPr>
            <w:r>
              <w:t xml:space="preserve">14 (4.55%)</w:t>
            </w:r>
          </w:p>
        </w:tc>
        <w:tc>
          <w:tcPr/>
          <w:p>
            <w:pPr>
              <w:pStyle w:val="Compact"/>
              <w:jc w:val="left"/>
            </w:pPr>
            <w:r>
              <w:t xml:space="preserve">   94 (1.87%)</w:t>
            </w:r>
          </w:p>
        </w:tc>
        <w:tc>
          <w:tcPr/>
          <w:p>
            <w:pPr>
              <w:pStyle w:val="Compact"/>
              <w:jc w:val="left"/>
            </w:pPr>
            <w:r>
              <w:t xml:space="preserve">  240 (3.96%)</w:t>
            </w:r>
          </w:p>
        </w:tc>
      </w:tr>
      <w:tr>
        <w:tc>
          <w:tcPr/>
          <w:p>
            <w:pPr>
              <w:pStyle w:val="Compact"/>
              <w:jc w:val="left"/>
            </w:pPr>
            <w:r>
              <w:t xml:space="preserve">   Unclear</w:t>
            </w:r>
          </w:p>
        </w:tc>
        <w:tc>
          <w:tcPr/>
          <w:p>
            <w:pPr>
              <w:pStyle w:val="Compact"/>
              <w:jc w:val="left"/>
            </w:pPr>
            <w:r>
              <w:t xml:space="preserve">4,433 (40.83%)</w:t>
            </w:r>
          </w:p>
        </w:tc>
        <w:tc>
          <w:tcPr/>
          <w:p>
            <w:pPr>
              <w:pStyle w:val="Compact"/>
              <w:jc w:val="left"/>
            </w:pPr>
            <w:r>
              <w:t xml:space="preserve">1,192 (62.05%)</w:t>
            </w:r>
          </w:p>
        </w:tc>
        <w:tc>
          <w:tcPr/>
          <w:p>
            <w:pPr>
              <w:pStyle w:val="Compact"/>
              <w:jc w:val="left"/>
            </w:pPr>
            <w:r>
              <w:t xml:space="preserve">152 (49.35%)</w:t>
            </w:r>
          </w:p>
        </w:tc>
        <w:tc>
          <w:tcPr/>
          <w:p>
            <w:pPr>
              <w:pStyle w:val="Compact"/>
              <w:jc w:val="left"/>
            </w:pPr>
            <w:r>
              <w:t xml:space="preserve">1,337 (26.53%)</w:t>
            </w:r>
          </w:p>
        </w:tc>
        <w:tc>
          <w:tcPr/>
          <w:p>
            <w:pPr>
              <w:pStyle w:val="Compact"/>
              <w:jc w:val="left"/>
            </w:pPr>
            <w:r>
              <w:t xml:space="preserve">2,424 (39.96%)</w:t>
            </w:r>
          </w:p>
        </w:tc>
      </w:tr>
      <w:tr>
        <w:tc>
          <w:tcPr/>
          <w:p>
            <w:pPr>
              <w:pStyle w:val="Compact"/>
              <w:jc w:val="left"/>
            </w:pPr>
            <w:r>
              <w:t xml:space="preserve">   White</w:t>
            </w:r>
          </w:p>
        </w:tc>
        <w:tc>
          <w:tcPr/>
          <w:p>
            <w:pPr>
              <w:pStyle w:val="Compact"/>
              <w:jc w:val="left"/>
            </w:pPr>
            <w:r>
              <w:t xml:space="preserve">4,297 (39.58%)</w:t>
            </w:r>
          </w:p>
        </w:tc>
        <w:tc>
          <w:tcPr/>
          <w:p>
            <w:pPr>
              <w:pStyle w:val="Compact"/>
              <w:jc w:val="left"/>
            </w:pPr>
            <w:r>
              <w:t xml:space="preserve">  560 (29.15%)</w:t>
            </w:r>
          </w:p>
        </w:tc>
        <w:tc>
          <w:tcPr/>
          <w:p>
            <w:pPr>
              <w:pStyle w:val="Compact"/>
              <w:jc w:val="left"/>
            </w:pPr>
            <w:r>
              <w:t xml:space="preserve">142 (46.10%)</w:t>
            </w:r>
          </w:p>
        </w:tc>
        <w:tc>
          <w:tcPr/>
          <w:p>
            <w:pPr>
              <w:pStyle w:val="Compact"/>
              <w:jc w:val="left"/>
            </w:pPr>
            <w:r>
              <w:t xml:space="preserve">3,609 (71.61%)</w:t>
            </w:r>
          </w:p>
        </w:tc>
        <w:tc>
          <w:tcPr/>
          <w:p>
            <w:pPr>
              <w:pStyle w:val="Compact"/>
              <w:jc w:val="left"/>
            </w:pPr>
            <w:r>
              <w:t xml:space="preserve">3,402 (56.08%)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3,561 (32.80%)</w:t>
            </w:r>
          </w:p>
        </w:tc>
        <w:tc>
          <w:tcPr/>
          <w:p>
            <w:pPr>
              <w:pStyle w:val="Compact"/>
              <w:jc w:val="left"/>
            </w:pPr>
            <w:r>
              <w:t xml:space="preserve">853 (44.40%)</w:t>
            </w:r>
          </w:p>
        </w:tc>
        <w:tc>
          <w:tcPr/>
          <w:p>
            <w:pPr>
              <w:pStyle w:val="Compact"/>
              <w:jc w:val="left"/>
            </w:pPr>
            <w:r>
              <w:t xml:space="preserve">153 (49.68%)</w:t>
            </w:r>
          </w:p>
        </w:tc>
        <w:tc>
          <w:tcPr/>
          <w:p>
            <w:pPr>
              <w:pStyle w:val="Compact"/>
              <w:jc w:val="left"/>
            </w:pPr>
            <w:r>
              <w:t xml:space="preserve">4,703 (93.31%)</w:t>
            </w:r>
          </w:p>
        </w:tc>
        <w:tc>
          <w:tcPr/>
          <w:p>
            <w:pPr>
              <w:pStyle w:val="Compact"/>
              <w:jc w:val="left"/>
            </w:pPr>
            <w:r>
              <w:t xml:space="preserve">6,066 (100.00%)</w:t>
            </w:r>
          </w:p>
        </w:tc>
      </w:tr>
      <w:tr>
        <w:tc>
          <w:tcPr/>
          <w:p>
            <w:pPr>
              <w:pStyle w:val="Compact"/>
              <w:jc w:val="left"/>
            </w:pPr>
            <w:r>
              <w:t xml:space="preserve">   Oceania</w:t>
            </w:r>
          </w:p>
        </w:tc>
        <w:tc>
          <w:tcPr/>
          <w:p>
            <w:pPr>
              <w:pStyle w:val="Compact"/>
              <w:jc w:val="left"/>
            </w:pPr>
            <w:r>
              <w:t xml:space="preserve">1,960 (18.05%)</w:t>
            </w:r>
          </w:p>
        </w:tc>
        <w:tc>
          <w:tcPr/>
          <w:p>
            <w:pPr>
              <w:pStyle w:val="Compact"/>
              <w:jc w:val="left"/>
            </w:pPr>
            <w:r>
              <w:t xml:space="preserve">303 (15.77%)</w:t>
            </w:r>
          </w:p>
        </w:tc>
        <w:tc>
          <w:tcPr/>
          <w:p>
            <w:pPr>
              <w:pStyle w:val="Compact"/>
              <w:jc w:val="left"/>
            </w:pPr>
            <w:r>
              <w:t xml:space="preserve">145 (47.08%)</w:t>
            </w:r>
          </w:p>
        </w:tc>
        <w:tc>
          <w:tcPr/>
          <w:p>
            <w:pPr>
              <w:pStyle w:val="Compact"/>
              <w:jc w:val="left"/>
            </w:pPr>
            <w:r>
              <w:t xml:space="preserve">  337 (6.69%)</w:t>
            </w:r>
          </w:p>
        </w:tc>
        <w:tc>
          <w:tcPr/>
          <w:p>
            <w:pPr>
              <w:pStyle w:val="Compact"/>
              <w:jc w:val="left"/>
            </w:pPr>
            <w:r>
              <w:t xml:space="preserve">-</w:t>
            </w:r>
          </w:p>
        </w:tc>
      </w:tr>
      <w:tr>
        <w:tc>
          <w:tcPr/>
          <w:p>
            <w:pPr>
              <w:pStyle w:val="Compact"/>
              <w:jc w:val="left"/>
            </w:pPr>
            <w:r>
              <w:t xml:space="preserve">   South America</w:t>
            </w:r>
          </w:p>
        </w:tc>
        <w:tc>
          <w:tcPr/>
          <w:p>
            <w:pPr>
              <w:pStyle w:val="Compact"/>
              <w:jc w:val="left"/>
            </w:pPr>
            <w:r>
              <w:t xml:space="preserve">2,356 (21.70%)</w:t>
            </w:r>
          </w:p>
        </w:tc>
        <w:tc>
          <w:tcPr/>
          <w:p>
            <w:pPr>
              <w:pStyle w:val="Compact"/>
              <w:jc w:val="left"/>
            </w:pPr>
            <w:r>
              <w:t xml:space="preserve">765 (39.82%)</w:t>
            </w:r>
          </w:p>
        </w:tc>
        <w:tc>
          <w:tcPr/>
          <w:p>
            <w:pPr>
              <w:pStyle w:val="Compact"/>
              <w:jc w:val="left"/>
            </w:pPr>
            <w:r>
              <w:t xml:space="preserve">10 (3.25%)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1,031 (9.50%)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698 (6.43%)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1,251 (11.52%)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3,387 (31.20%)</w:t>
            </w:r>
          </w:p>
        </w:tc>
        <w:tc>
          <w:tcPr/>
          <w:p>
            <w:pPr>
              <w:pStyle w:val="Compact"/>
              <w:jc w:val="left"/>
            </w:pPr>
            <w:r>
              <w:t xml:space="preserve">  446 (23.22%)</w:t>
            </w:r>
          </w:p>
        </w:tc>
        <w:tc>
          <w:tcPr/>
          <w:p>
            <w:pPr>
              <w:pStyle w:val="Compact"/>
              <w:jc w:val="left"/>
            </w:pPr>
            <w:r>
              <w:t xml:space="preserve">39 (12.66%)</w:t>
            </w:r>
          </w:p>
        </w:tc>
        <w:tc>
          <w:tcPr/>
          <w:p>
            <w:pPr>
              <w:pStyle w:val="Compact"/>
              <w:jc w:val="left"/>
            </w:pPr>
            <w:r>
              <w:t xml:space="preserve">1,241 (24.62%)</w:t>
            </w:r>
          </w:p>
        </w:tc>
        <w:tc>
          <w:tcPr/>
          <w:p>
            <w:pPr>
              <w:pStyle w:val="Compact"/>
              <w:jc w:val="left"/>
            </w:pPr>
            <w:r>
              <w:t xml:space="preserve">1,268 (20.90%)</w:t>
            </w:r>
          </w:p>
        </w:tc>
      </w:tr>
      <w:tr>
        <w:tc>
          <w:tcPr/>
          <w:p>
            <w:pPr>
              <w:pStyle w:val="Compact"/>
              <w:jc w:val="left"/>
            </w:pPr>
            <w:r>
              <w:t xml:space="preserve">   Spring</w:t>
            </w:r>
          </w:p>
        </w:tc>
        <w:tc>
          <w:tcPr/>
          <w:p>
            <w:pPr>
              <w:pStyle w:val="Compact"/>
              <w:jc w:val="left"/>
            </w:pPr>
            <w:r>
              <w:t xml:space="preserve">2,687 (24.75%)</w:t>
            </w:r>
          </w:p>
        </w:tc>
        <w:tc>
          <w:tcPr/>
          <w:p>
            <w:pPr>
              <w:pStyle w:val="Compact"/>
              <w:jc w:val="left"/>
            </w:pPr>
            <w:r>
              <w:t xml:space="preserve">1,228 (63.93%)</w:t>
            </w:r>
          </w:p>
        </w:tc>
        <w:tc>
          <w:tcPr/>
          <w:p>
            <w:pPr>
              <w:pStyle w:val="Compact"/>
              <w:jc w:val="left"/>
            </w:pPr>
            <w:r>
              <w:t xml:space="preserve">124 (40.26%)</w:t>
            </w:r>
          </w:p>
        </w:tc>
        <w:tc>
          <w:tcPr/>
          <w:p>
            <w:pPr>
              <w:pStyle w:val="Compact"/>
              <w:jc w:val="left"/>
            </w:pPr>
            <w:r>
              <w:t xml:space="preserve">1,224 (24.29%)</w:t>
            </w:r>
          </w:p>
        </w:tc>
        <w:tc>
          <w:tcPr/>
          <w:p>
            <w:pPr>
              <w:pStyle w:val="Compact"/>
              <w:jc w:val="left"/>
            </w:pPr>
            <w:r>
              <w:t xml:space="preserve">1,989 (32.79%)</w:t>
            </w:r>
          </w:p>
        </w:tc>
      </w:tr>
      <w:tr>
        <w:tc>
          <w:tcPr/>
          <w:p>
            <w:pPr>
              <w:pStyle w:val="Compact"/>
              <w:jc w:val="left"/>
            </w:pPr>
            <w:r>
              <w:t xml:space="preserve">   Summer</w:t>
            </w:r>
          </w:p>
        </w:tc>
        <w:tc>
          <w:tcPr/>
          <w:p>
            <w:pPr>
              <w:pStyle w:val="Compact"/>
              <w:jc w:val="left"/>
            </w:pPr>
            <w:r>
              <w:t xml:space="preserve">1,381 (12.72%)</w:t>
            </w:r>
          </w:p>
        </w:tc>
        <w:tc>
          <w:tcPr/>
          <w:p>
            <w:pPr>
              <w:pStyle w:val="Compact"/>
              <w:jc w:val="left"/>
            </w:pPr>
            <w:r>
              <w:t xml:space="preserve">   85 (4.42%)</w:t>
            </w:r>
          </w:p>
        </w:tc>
        <w:tc>
          <w:tcPr/>
          <w:p>
            <w:pPr>
              <w:pStyle w:val="Compact"/>
              <w:jc w:val="left"/>
            </w:pPr>
            <w:r>
              <w:t xml:space="preserve">85 (27.60%)</w:t>
            </w:r>
          </w:p>
        </w:tc>
        <w:tc>
          <w:tcPr/>
          <w:p>
            <w:pPr>
              <w:pStyle w:val="Compact"/>
              <w:jc w:val="left"/>
            </w:pPr>
            <w:r>
              <w:t xml:space="preserve">1,270 (25.20%)</w:t>
            </w:r>
          </w:p>
        </w:tc>
        <w:tc>
          <w:tcPr/>
          <w:p>
            <w:pPr>
              <w:pStyle w:val="Compact"/>
              <w:jc w:val="left"/>
            </w:pPr>
            <w:r>
              <w:t xml:space="preserve">1,250 (20.61%)</w:t>
            </w:r>
          </w:p>
        </w:tc>
      </w:tr>
      <w:tr>
        <w:tc>
          <w:tcPr/>
          <w:p>
            <w:pPr>
              <w:pStyle w:val="Compact"/>
              <w:jc w:val="left"/>
            </w:pPr>
            <w:r>
              <w:t xml:space="preserve">   Winter</w:t>
            </w:r>
          </w:p>
        </w:tc>
        <w:tc>
          <w:tcPr/>
          <w:p>
            <w:pPr>
              <w:pStyle w:val="Compact"/>
              <w:jc w:val="left"/>
            </w:pPr>
            <w:r>
              <w:t xml:space="preserve">3,402 (31.33%)</w:t>
            </w:r>
          </w:p>
        </w:tc>
        <w:tc>
          <w:tcPr/>
          <w:p>
            <w:pPr>
              <w:pStyle w:val="Compact"/>
              <w:jc w:val="left"/>
            </w:pPr>
            <w:r>
              <w:t xml:space="preserve">  162 (8.43%)</w:t>
            </w:r>
          </w:p>
        </w:tc>
        <w:tc>
          <w:tcPr/>
          <w:p>
            <w:pPr>
              <w:pStyle w:val="Compact"/>
              <w:jc w:val="left"/>
            </w:pPr>
            <w:r>
              <w:t xml:space="preserve">60 (19.48%)</w:t>
            </w:r>
          </w:p>
        </w:tc>
        <w:tc>
          <w:tcPr/>
          <w:p>
            <w:pPr>
              <w:pStyle w:val="Compact"/>
              <w:jc w:val="left"/>
            </w:pPr>
            <w:r>
              <w:t xml:space="preserve">1,305 (25.89%)</w:t>
            </w:r>
          </w:p>
        </w:tc>
        <w:tc>
          <w:tcPr/>
          <w:p>
            <w:pPr>
              <w:pStyle w:val="Compact"/>
              <w:jc w:val="left"/>
            </w:pPr>
            <w:r>
              <w:t xml:space="preserve">1,559 (25.70%)</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5,693 (52.45%)</w:t>
            </w:r>
          </w:p>
        </w:tc>
        <w:tc>
          <w:tcPr/>
          <w:p>
            <w:pPr>
              <w:pStyle w:val="Compact"/>
              <w:jc w:val="left"/>
            </w:pPr>
            <w:r>
              <w:t xml:space="preserve">1,002 (52.16%)</w:t>
            </w:r>
          </w:p>
        </w:tc>
        <w:tc>
          <w:tcPr/>
          <w:p>
            <w:pPr>
              <w:pStyle w:val="Compact"/>
              <w:jc w:val="left"/>
            </w:pPr>
            <w:r>
              <w:t xml:space="preserve">222 (72.08%)</w:t>
            </w:r>
          </w:p>
        </w:tc>
        <w:tc>
          <w:tcPr/>
          <w:p>
            <w:pPr>
              <w:pStyle w:val="Compact"/>
              <w:jc w:val="left"/>
            </w:pPr>
            <w:r>
              <w:t xml:space="preserve">2,714 (53.85%)</w:t>
            </w:r>
          </w:p>
        </w:tc>
        <w:tc>
          <w:tcPr/>
          <w:p>
            <w:pPr>
              <w:pStyle w:val="Compact"/>
              <w:jc w:val="left"/>
            </w:pPr>
            <w:r>
              <w:t xml:space="preserve">2,551 (42.05%)</w:t>
            </w:r>
          </w:p>
        </w:tc>
      </w:tr>
      <w:tr>
        <w:tc>
          <w:tcPr/>
          <w:p>
            <w:pPr>
              <w:pStyle w:val="Compact"/>
              <w:jc w:val="left"/>
            </w:pPr>
            <w:r>
              <w:t xml:space="preserve">   Male</w:t>
            </w:r>
          </w:p>
        </w:tc>
        <w:tc>
          <w:tcPr/>
          <w:p>
            <w:pPr>
              <w:pStyle w:val="Compact"/>
              <w:jc w:val="left"/>
            </w:pPr>
            <w:r>
              <w:t xml:space="preserve">5,162 (47.55%)</w:t>
            </w:r>
          </w:p>
        </w:tc>
        <w:tc>
          <w:tcPr/>
          <w:p>
            <w:pPr>
              <w:pStyle w:val="Compact"/>
              <w:jc w:val="left"/>
            </w:pPr>
            <w:r>
              <w:t xml:space="preserve">  919 (47.84%)</w:t>
            </w:r>
          </w:p>
        </w:tc>
        <w:tc>
          <w:tcPr/>
          <w:p>
            <w:pPr>
              <w:pStyle w:val="Compact"/>
              <w:jc w:val="left"/>
            </w:pPr>
            <w:r>
              <w:t xml:space="preserve">86 (27.92%)</w:t>
            </w:r>
          </w:p>
        </w:tc>
        <w:tc>
          <w:tcPr/>
          <w:p>
            <w:pPr>
              <w:pStyle w:val="Compact"/>
              <w:jc w:val="left"/>
            </w:pPr>
            <w:r>
              <w:t xml:space="preserve">2,326 (46.15%)</w:t>
            </w:r>
          </w:p>
        </w:tc>
        <w:tc>
          <w:tcPr/>
          <w:p>
            <w:pPr>
              <w:pStyle w:val="Compact"/>
              <w:jc w:val="left"/>
            </w:pPr>
            <w:r>
              <w:t xml:space="preserve">3,515 (57.95%)</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w:t>
            </w:r>
          </w:p>
        </w:tc>
        <w:tc>
          <w:tcPr/>
          <w:p>
            <w:pPr>
              <w:pStyle w:val="Compact"/>
              <w:jc w:val="left"/>
            </w:pPr>
            <w:r>
              <w:t xml:space="preserve">   625 (5.76%)</w:t>
            </w:r>
          </w:p>
        </w:tc>
        <w:tc>
          <w:tcPr/>
          <w:p>
            <w:pPr>
              <w:pStyle w:val="Compact"/>
              <w:jc w:val="left"/>
            </w:pPr>
            <w:r>
              <w:t xml:space="preserve">-</w:t>
            </w:r>
          </w:p>
        </w:tc>
        <w:tc>
          <w:tcPr/>
          <w:p>
            <w:pPr>
              <w:pStyle w:val="Compact"/>
              <w:jc w:val="left"/>
            </w:pPr>
            <w:r>
              <w:t xml:space="preserve">-</w:t>
            </w:r>
          </w:p>
        </w:tc>
        <w:tc>
          <w:tcPr/>
          <w:p>
            <w:pPr>
              <w:pStyle w:val="Compact"/>
              <w:jc w:val="left"/>
            </w:pPr>
            <w:r>
              <w:t xml:space="preserve">3,511 (69.66%)</w:t>
            </w:r>
          </w:p>
        </w:tc>
        <w:tc>
          <w:tcPr/>
          <w:p>
            <w:pPr>
              <w:pStyle w:val="Compact"/>
              <w:jc w:val="left"/>
            </w:pPr>
            <w:r>
              <w:t xml:space="preserve">5,140 (84.73%)</w:t>
            </w:r>
          </w:p>
        </w:tc>
      </w:tr>
      <w:tr>
        <w:tc>
          <w:tcPr/>
          <w:p>
            <w:pPr>
              <w:pStyle w:val="Compact"/>
              <w:jc w:val="left"/>
            </w:pPr>
            <w:r>
              <w:t xml:space="preserve">   Yes</w:t>
            </w:r>
          </w:p>
        </w:tc>
        <w:tc>
          <w:tcPr/>
          <w:p>
            <w:pPr>
              <w:pStyle w:val="Compact"/>
              <w:jc w:val="left"/>
            </w:pPr>
            <w:r>
              <w:t xml:space="preserve">    50 (0.46%)</w:t>
            </w:r>
          </w:p>
        </w:tc>
        <w:tc>
          <w:tcPr/>
          <w:p>
            <w:pPr>
              <w:pStyle w:val="Compact"/>
              <w:jc w:val="left"/>
            </w:pPr>
            <w:r>
              <w:t xml:space="preserve">-</w:t>
            </w:r>
          </w:p>
        </w:tc>
        <w:tc>
          <w:tcPr/>
          <w:p>
            <w:pPr>
              <w:pStyle w:val="Compact"/>
              <w:jc w:val="left"/>
            </w:pPr>
            <w:r>
              <w:t xml:space="preserve">-</w:t>
            </w:r>
          </w:p>
        </w:tc>
        <w:tc>
          <w:tcPr/>
          <w:p>
            <w:pPr>
              <w:pStyle w:val="Compact"/>
              <w:jc w:val="left"/>
            </w:pPr>
            <w:r>
              <w:t xml:space="preserve">  310 (6.15%)</w:t>
            </w:r>
          </w:p>
        </w:tc>
        <w:tc>
          <w:tcPr/>
          <w:p>
            <w:pPr>
              <w:pStyle w:val="Compact"/>
              <w:jc w:val="left"/>
            </w:pPr>
            <w:r>
              <w:t xml:space="preserve">  626 (10.32%)</w:t>
            </w:r>
          </w:p>
        </w:tc>
      </w:tr>
      <w:tr>
        <w:tc>
          <w:tcPr/>
          <w:p>
            <w:pPr>
              <w:pStyle w:val="Compact"/>
              <w:jc w:val="left"/>
            </w:pPr>
            <w:r>
              <w:t xml:space="preserve">   Not Reported</w:t>
            </w:r>
          </w:p>
        </w:tc>
        <w:tc>
          <w:tcPr/>
          <w:p>
            <w:pPr>
              <w:pStyle w:val="Compact"/>
              <w:jc w:val="left"/>
            </w:pPr>
            <w:r>
              <w:t xml:space="preserve">10,182 (93.78%)</w:t>
            </w:r>
          </w:p>
        </w:tc>
        <w:tc>
          <w:tcPr/>
          <w:p>
            <w:pPr>
              <w:pStyle w:val="Compact"/>
              <w:jc w:val="left"/>
            </w:pPr>
            <w:r>
              <w:t xml:space="preserve">1,921 (100.00%)</w:t>
            </w:r>
          </w:p>
        </w:tc>
        <w:tc>
          <w:tcPr/>
          <w:p>
            <w:pPr>
              <w:pStyle w:val="Compact"/>
              <w:jc w:val="left"/>
            </w:pPr>
            <w:r>
              <w:t xml:space="preserve">308 (100.00%)</w:t>
            </w:r>
          </w:p>
        </w:tc>
        <w:tc>
          <w:tcPr/>
          <w:p>
            <w:pPr>
              <w:pStyle w:val="Compact"/>
              <w:jc w:val="left"/>
            </w:pPr>
            <w:r>
              <w:t xml:space="preserve">1,219 (24.19%)</w:t>
            </w:r>
          </w:p>
        </w:tc>
        <w:tc>
          <w:tcPr/>
          <w:p>
            <w:pPr>
              <w:pStyle w:val="Compact"/>
              <w:jc w:val="left"/>
            </w:pPr>
            <w:r>
              <w:t xml:space="preserve">  300 (4.95%)</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2,306 (25.22%)</w:t>
            </w:r>
          </w:p>
        </w:tc>
        <w:tc>
          <w:tcPr/>
          <w:p>
            <w:pPr>
              <w:pStyle w:val="Compact"/>
              <w:jc w:val="left"/>
            </w:pPr>
            <w:r>
              <w:t xml:space="preserve">208 (11.56%)</w:t>
            </w:r>
          </w:p>
        </w:tc>
        <w:tc>
          <w:tcPr/>
          <w:p>
            <w:pPr>
              <w:pStyle w:val="Compact"/>
              <w:jc w:val="left"/>
            </w:pPr>
            <w:r>
              <w:t xml:space="preserve">  2 (0.74%)</w:t>
            </w:r>
          </w:p>
        </w:tc>
        <w:tc>
          <w:tcPr/>
          <w:p>
            <w:pPr>
              <w:pStyle w:val="Compact"/>
              <w:jc w:val="left"/>
            </w:pPr>
            <w:r>
              <w:t xml:space="preserve">1,074 (21.98%)</w:t>
            </w:r>
          </w:p>
        </w:tc>
        <w:tc>
          <w:tcPr/>
          <w:p>
            <w:pPr>
              <w:pStyle w:val="Compact"/>
              <w:jc w:val="left"/>
            </w:pPr>
            <w:r>
              <w:t xml:space="preserve">2,388 (39.38%)</w:t>
            </w:r>
          </w:p>
        </w:tc>
      </w:tr>
      <w:tr>
        <w:tc>
          <w:tcPr/>
          <w:p>
            <w:pPr>
              <w:pStyle w:val="Compact"/>
              <w:jc w:val="left"/>
            </w:pPr>
            <w:r>
              <w:t xml:space="preserve">   Medium</w:t>
            </w:r>
          </w:p>
        </w:tc>
        <w:tc>
          <w:tcPr/>
          <w:p>
            <w:pPr>
              <w:pStyle w:val="Compact"/>
              <w:jc w:val="left"/>
            </w:pPr>
            <w:r>
              <w:t xml:space="preserve">2,920 (31.94%)</w:t>
            </w:r>
          </w:p>
        </w:tc>
        <w:tc>
          <w:tcPr/>
          <w:p>
            <w:pPr>
              <w:pStyle w:val="Compact"/>
              <w:jc w:val="left"/>
            </w:pPr>
            <w:r>
              <w:t xml:space="preserve">884 (49.14%)</w:t>
            </w:r>
          </w:p>
        </w:tc>
        <w:tc>
          <w:tcPr/>
          <w:p>
            <w:pPr>
              <w:pStyle w:val="Compact"/>
              <w:jc w:val="left"/>
            </w:pPr>
            <w:r>
              <w:t xml:space="preserve">191 (70.74%)</w:t>
            </w:r>
          </w:p>
        </w:tc>
        <w:tc>
          <w:tcPr/>
          <w:p>
            <w:pPr>
              <w:pStyle w:val="Compact"/>
              <w:jc w:val="left"/>
            </w:pPr>
            <w:r>
              <w:t xml:space="preserve">2,407 (49.26%)</w:t>
            </w:r>
          </w:p>
        </w:tc>
        <w:tc>
          <w:tcPr/>
          <w:p>
            <w:pPr>
              <w:pStyle w:val="Compact"/>
              <w:jc w:val="left"/>
            </w:pPr>
            <w:r>
              <w:t xml:space="preserve">2,324 (38.32%)</w:t>
            </w:r>
          </w:p>
        </w:tc>
      </w:tr>
      <w:tr>
        <w:tc>
          <w:tcPr/>
          <w:p>
            <w:pPr>
              <w:pStyle w:val="Compact"/>
              <w:jc w:val="left"/>
            </w:pPr>
            <w:r>
              <w:t xml:space="preserve">   High</w:t>
            </w:r>
          </w:p>
        </w:tc>
        <w:tc>
          <w:tcPr/>
          <w:p>
            <w:pPr>
              <w:pStyle w:val="Compact"/>
              <w:jc w:val="left"/>
            </w:pPr>
            <w:r>
              <w:t xml:space="preserve">3,916 (42.84%)</w:t>
            </w:r>
          </w:p>
        </w:tc>
        <w:tc>
          <w:tcPr/>
          <w:p>
            <w:pPr>
              <w:pStyle w:val="Compact"/>
              <w:jc w:val="left"/>
            </w:pPr>
            <w:r>
              <w:t xml:space="preserve">707 (39.30%)</w:t>
            </w:r>
          </w:p>
        </w:tc>
        <w:tc>
          <w:tcPr/>
          <w:p>
            <w:pPr>
              <w:pStyle w:val="Compact"/>
              <w:jc w:val="left"/>
            </w:pPr>
            <w:r>
              <w:t xml:space="preserve">77 (28.52%)</w:t>
            </w:r>
          </w:p>
        </w:tc>
        <w:tc>
          <w:tcPr/>
          <w:p>
            <w:pPr>
              <w:pStyle w:val="Compact"/>
              <w:jc w:val="left"/>
            </w:pPr>
            <w:r>
              <w:t xml:space="preserve">1,405 (28.76%)</w:t>
            </w:r>
          </w:p>
        </w:tc>
        <w:tc>
          <w:tcPr/>
          <w:p>
            <w:pPr>
              <w:pStyle w:val="Compact"/>
              <w:jc w:val="left"/>
            </w:pPr>
            <w:r>
              <w:t xml:space="preserve">1,352 (22.30%)</w:t>
            </w:r>
          </w:p>
        </w:tc>
      </w:tr>
    </w:tbl>
    <w:p>
      <w:pPr>
        <w:pStyle w:val="table-note"/>
      </w:pPr>
      <w:r>
        <w:rPr>
          <w:i/>
          <w:iCs/>
        </w:rPr>
        <w:t xml:space="preserve">Note.</w:t>
      </w:r>
      <w:r>
        <w:t xml:space="preserve"> </w:t>
      </w:r>
      <w:r>
        <w:t xml:space="preserve">For categorical variables the value is the count, and percentage. For numeric variables the value is the Mean and SD. Sleep onset is a clock time; its SD is a duration in hours:minutes. Total N = 24,264. 72 participants had missing age data and are counted in the total but not in any age band.</w:t>
      </w:r>
    </w:p>
    <w:p>
      <w:pPr>
        <w:pStyle w:val="Textkrper"/>
      </w:pPr>
      <w:r>
        <w:t xml:space="preserve"> </w:t>
      </w:r>
    </w:p>
    <w:bookmarkStart w:id="38"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The effect of physical activity volume on sleep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While we observed statistically significant curvilinear relationships, these did not appear to meaningfully change the effect.</w:t>
      </w:r>
      <w:r>
        <w:t xml:space="preserve"> </w:t>
      </w:r>
      <w:r>
        <w:t xml:space="preserve">The relationship between physical activity volume and sleep duration, efficiency, and onset was consistent across the age groups, with some negligible evidence that the relationship with sleep regularity grew stronger with age.</w:t>
      </w:r>
    </w:p>
    <w:p>
      <w:pPr>
        <w:pStyle w:val="TableCaption"/>
      </w:pPr>
      <w:bookmarkStart w:id="33" w:name="tab:sleep-outcomes"/>
      <w:bookmarkEnd w:id="33"/>
      <w:r>
        <w:t xml:space="preserve">Table 2</w:t>
      </w:r>
      <w:r>
        <w:br/>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2 Physical activity predicting sleep controlling for SES, sex, and BMI z-score."/>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0.08 [-0.09, 0.25]</w:t>
            </w:r>
          </w:p>
        </w:tc>
        <w:tc>
          <w:tcPr/>
          <w:p>
            <w:pPr>
              <w:pStyle w:val="Compact"/>
              <w:jc w:val="left"/>
            </w:pPr>
            <w:r>
              <w:t xml:space="preserve">0.08</w:t>
            </w:r>
          </w:p>
        </w:tc>
        <w:tc>
          <w:tcPr/>
          <w:p>
            <w:pPr>
              <w:pStyle w:val="Compact"/>
              <w:jc w:val="left"/>
            </w:pPr>
            <w:r>
              <w:t xml:space="preserve">0.95</w:t>
            </w:r>
          </w:p>
        </w:tc>
        <w:tc>
          <w:tcPr/>
          <w:p>
            <w:pPr>
              <w:pStyle w:val="Compact"/>
              <w:jc w:val="left"/>
            </w:pPr>
            <w:r>
              <w:t xml:space="preserve">.342</w:t>
            </w:r>
          </w:p>
        </w:tc>
        <w:tc>
          <w:tcPr/>
          <w:p>
            <w:pPr>
              <w:pStyle w:val="Compact"/>
              <w:jc w:val="left"/>
            </w:pPr>
            <w:r>
              <w:t xml:space="preserve">0.08 [-0.08, 0.24]</w:t>
            </w:r>
          </w:p>
        </w:tc>
        <w:tc>
          <w:tcPr/>
          <w:p>
            <w:pPr>
              <w:pStyle w:val="Compact"/>
              <w:jc w:val="left"/>
            </w:pPr>
            <w:r>
              <w:t xml:space="preserve">0.08</w:t>
            </w:r>
          </w:p>
        </w:tc>
        <w:tc>
          <w:tcPr/>
          <w:p>
            <w:pPr>
              <w:pStyle w:val="Compact"/>
              <w:jc w:val="left"/>
            </w:pPr>
            <w:r>
              <w:t xml:space="preserve">1.00</w:t>
            </w:r>
          </w:p>
        </w:tc>
        <w:tc>
          <w:tcPr/>
          <w:p>
            <w:pPr>
              <w:pStyle w:val="Compact"/>
              <w:jc w:val="left"/>
            </w:pPr>
            <w:r>
              <w:t xml:space="preserve">.315</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13.00</w:t>
            </w:r>
          </w:p>
        </w:tc>
        <w:tc>
          <w:tcPr/>
          <w:p>
            <w:pPr>
              <w:pStyle w:val="Compact"/>
              <w:jc w:val="left"/>
            </w:pPr>
            <w:r>
              <w:t xml:space="preserve">&lt; .001</w:t>
            </w:r>
          </w:p>
        </w:tc>
        <w:tc>
          <w:tcPr/>
          <w:p>
            <w:pPr>
              <w:pStyle w:val="Compact"/>
              <w:jc w:val="left"/>
            </w:pPr>
            <w:r>
              <w:t xml:space="preserve">0.09 [0.06, 0.12]</w:t>
            </w:r>
          </w:p>
        </w:tc>
        <w:tc>
          <w:tcPr/>
          <w:p>
            <w:pPr>
              <w:pStyle w:val="Compact"/>
              <w:jc w:val="left"/>
            </w:pPr>
            <w:r>
              <w:t xml:space="preserve">0.01</w:t>
            </w:r>
          </w:p>
        </w:tc>
        <w:tc>
          <w:tcPr/>
          <w:p>
            <w:pPr>
              <w:pStyle w:val="Compact"/>
              <w:jc w:val="left"/>
            </w:pPr>
            <w:r>
              <w:t xml:space="preserve">7.59</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-3.34</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-3.42</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-3.64</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0.01</w:t>
            </w:r>
          </w:p>
        </w:tc>
        <w:tc>
          <w:tcPr/>
          <w:p>
            <w:pPr>
              <w:pStyle w:val="Compact"/>
              <w:jc w:val="left"/>
            </w:pPr>
            <w:r>
              <w:t xml:space="preserve">1.59</w:t>
            </w:r>
          </w:p>
        </w:tc>
        <w:tc>
          <w:tcPr/>
          <w:p>
            <w:pPr>
              <w:pStyle w:val="Compact"/>
              <w:jc w:val="left"/>
            </w:pPr>
            <w:r>
              <w:t xml:space="preserve">.130</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-4.25</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-5.32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-1.57</w:t>
            </w:r>
          </w:p>
        </w:tc>
        <w:tc>
          <w:tcPr/>
          <w:p>
            <w:pPr>
              <w:pStyle w:val="Compact"/>
              <w:jc w:val="left"/>
            </w:pPr>
            <w:r>
              <w:t xml:space="preserve">.135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-3.41</w:t>
            </w:r>
          </w:p>
        </w:tc>
        <w:tc>
          <w:tcPr/>
          <w:p>
            <w:pPr>
              <w:pStyle w:val="Compact"/>
              <w:jc w:val="left"/>
            </w:pPr>
            <w:r>
              <w:t xml:space="preserve">.003</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0.16 [0.00, 0.32]</w:t>
            </w:r>
          </w:p>
        </w:tc>
        <w:tc>
          <w:tcPr/>
          <w:p>
            <w:pPr>
              <w:pStyle w:val="Compact"/>
              <w:jc w:val="left"/>
            </w:pPr>
            <w:r>
              <w:t xml:space="preserve">0.08</w:t>
            </w:r>
          </w:p>
        </w:tc>
        <w:tc>
          <w:tcPr/>
          <w:p>
            <w:pPr>
              <w:pStyle w:val="Compact"/>
              <w:jc w:val="left"/>
            </w:pPr>
            <w:r>
              <w:t xml:space="preserve">2.00</w:t>
            </w:r>
          </w:p>
        </w:tc>
        <w:tc>
          <w:tcPr/>
          <w:p>
            <w:pPr>
              <w:pStyle w:val="Compact"/>
              <w:jc w:val="left"/>
            </w:pPr>
            <w:r>
              <w:t xml:space="preserve">.046</w:t>
            </w:r>
          </w:p>
        </w:tc>
        <w:tc>
          <w:tcPr/>
          <w:p>
            <w:pPr>
              <w:pStyle w:val="Compact"/>
              <w:jc w:val="left"/>
            </w:pPr>
            <w:r>
              <w:t xml:space="preserve">0.19 [0.01, 0.36]</w:t>
            </w:r>
          </w:p>
        </w:tc>
        <w:tc>
          <w:tcPr/>
          <w:p>
            <w:pPr>
              <w:pStyle w:val="Compact"/>
              <w:jc w:val="left"/>
            </w:pPr>
            <w:r>
              <w:t xml:space="preserve">0.09</w:t>
            </w:r>
          </w:p>
        </w:tc>
        <w:tc>
          <w:tcPr/>
          <w:p>
            <w:pPr>
              <w:pStyle w:val="Compact"/>
              <w:jc w:val="left"/>
            </w:pPr>
            <w:r>
              <w:t xml:space="preserve">2.11</w:t>
            </w:r>
          </w:p>
        </w:tc>
        <w:tc>
          <w:tcPr/>
          <w:p>
            <w:pPr>
              <w:pStyle w:val="Compact"/>
              <w:jc w:val="left"/>
            </w:pPr>
            <w:r>
              <w:t xml:space="preserve">.035</w:t>
            </w:r>
          </w:p>
        </w:tc>
      </w:tr>
      <w:tr>
        <w:tc>
          <w:tcPr/>
          <w:p>
            <w:pPr>
              <w:pStyle w:val="Compact"/>
              <w:jc w:val="left"/>
            </w:pPr>
            <w:r>
              <w:t xml:space="preserve">   Physical activity</w:t>
            </w:r>
          </w:p>
        </w:tc>
        <w:tc>
          <w:tcPr/>
          <w:p>
            <w:pPr>
              <w:pStyle w:val="Compact"/>
              <w:jc w:val="left"/>
            </w:pPr>
            <w:r>
              <w:t xml:space="preserve">0.11 [0.09, 0.13]</w:t>
            </w:r>
          </w:p>
        </w:tc>
        <w:tc>
          <w:tcPr/>
          <w:p>
            <w:pPr>
              <w:pStyle w:val="Compact"/>
              <w:jc w:val="left"/>
            </w:pPr>
            <w:r>
              <w:t xml:space="preserve">0.01</w:t>
            </w:r>
          </w:p>
        </w:tc>
        <w:tc>
          <w:tcPr/>
          <w:p>
            <w:pPr>
              <w:pStyle w:val="Compact"/>
              <w:jc w:val="left"/>
            </w:pPr>
            <w:r>
              <w:t xml:space="preserve">13.39</w:t>
            </w:r>
          </w:p>
        </w:tc>
        <w:tc>
          <w:tcPr/>
          <w:p>
            <w:pPr>
              <w:pStyle w:val="Compact"/>
              <w:jc w:val="left"/>
            </w:pPr>
            <w:r>
              <w:t xml:space="preserve">&lt; .001</w:t>
            </w:r>
          </w:p>
        </w:tc>
        <w:tc>
          <w:tcPr/>
          <w:p>
            <w:pPr>
              <w:pStyle w:val="Compact"/>
              <w:jc w:val="left"/>
            </w:pPr>
            <w:r>
              <w:t xml:space="preserve">0.07 [0.05, 0.10]</w:t>
            </w:r>
          </w:p>
        </w:tc>
        <w:tc>
          <w:tcPr/>
          <w:p>
            <w:pPr>
              <w:pStyle w:val="Compact"/>
              <w:jc w:val="left"/>
            </w:pPr>
            <w:r>
              <w:t xml:space="preserve">0.01</w:t>
            </w:r>
          </w:p>
        </w:tc>
        <w:tc>
          <w:tcPr/>
          <w:p>
            <w:pPr>
              <w:pStyle w:val="Compact"/>
              <w:jc w:val="left"/>
            </w:pPr>
            <w:r>
              <w:t xml:space="preserve">7.52</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-0.61</w:t>
            </w:r>
          </w:p>
        </w:tc>
        <w:tc>
          <w:tcPr/>
          <w:p>
            <w:pPr>
              <w:pStyle w:val="Compact"/>
              <w:jc w:val="left"/>
            </w:pPr>
            <w:r>
              <w:t xml:space="preserve">.545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-1.53</w:t>
            </w:r>
          </w:p>
        </w:tc>
        <w:tc>
          <w:tcPr/>
          <w:p>
            <w:pPr>
              <w:pStyle w:val="Compact"/>
              <w:jc w:val="left"/>
            </w:pPr>
            <w:r>
              <w:t xml:space="preserve">.127</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-12.56</w:t>
            </w:r>
          </w:p>
        </w:tc>
        <w:tc>
          <w:tcPr/>
          <w:p>
            <w:pPr>
              <w:pStyle w:val="Compact"/>
              <w:jc w:val="left"/>
            </w:pPr>
            <w:r>
              <w:t xml:space="preserve">&lt; .001</w:t>
            </w:r>
          </w:p>
        </w:tc>
        <w:tc>
          <w:tcPr/>
          <w:p>
            <w:pPr>
              <w:pStyle w:val="Compact"/>
              <w:jc w:val="left"/>
            </w:pPr>
            <w:r>
              <w:t xml:space="preserve">-0.04 [-0.05, -0.03]</w:t>
            </w:r>
          </w:p>
        </w:tc>
        <w:tc>
          <w:tcPr/>
          <w:p>
            <w:pPr>
              <w:pStyle w:val="Compact"/>
              <w:jc w:val="left"/>
            </w:pPr>
            <w:r>
              <w:t xml:space="preserve">0.01</w:t>
            </w:r>
          </w:p>
        </w:tc>
        <w:tc>
          <w:tcPr/>
          <w:p>
            <w:pPr>
              <w:pStyle w:val="Compact"/>
              <w:jc w:val="left"/>
            </w:pPr>
            <w:r>
              <w:t xml:space="preserve">-7.47</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-11.89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-6.78</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2.59</w:t>
            </w:r>
          </w:p>
        </w:tc>
        <w:tc>
          <w:tcPr/>
          <w:p>
            <w:pPr>
              <w:pStyle w:val="Compact"/>
              <w:jc w:val="left"/>
            </w:pPr>
            <w:r>
              <w:t xml:space="preserve">.010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6.40</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[-0.18, 0.37]</w:t>
            </w:r>
          </w:p>
        </w:tc>
        <w:tc>
          <w:tcPr/>
          <w:p>
            <w:pPr>
              <w:pStyle w:val="Compact"/>
              <w:jc w:val="left"/>
            </w:pPr>
            <w:r>
              <w:t xml:space="preserve">0.14</w:t>
            </w:r>
          </w:p>
        </w:tc>
        <w:tc>
          <w:tcPr/>
          <w:p>
            <w:pPr>
              <w:pStyle w:val="Compact"/>
              <w:jc w:val="left"/>
            </w:pPr>
            <w:r>
              <w:t xml:space="preserve">0.71</w:t>
            </w:r>
          </w:p>
        </w:tc>
        <w:tc>
          <w:tcPr/>
          <w:p>
            <w:pPr>
              <w:pStyle w:val="Compact"/>
              <w:jc w:val="left"/>
            </w:pPr>
            <w:r>
              <w:t xml:space="preserve">.479</w:t>
            </w:r>
          </w:p>
        </w:tc>
        <w:tc>
          <w:tcPr/>
          <w:p>
            <w:pPr>
              <w:pStyle w:val="Compact"/>
              <w:jc w:val="left"/>
            </w:pPr>
            <w:r>
              <w:t xml:space="preserve">0.10 [-0.17, 0.36]</w:t>
            </w:r>
          </w:p>
        </w:tc>
        <w:tc>
          <w:tcPr/>
          <w:p>
            <w:pPr>
              <w:pStyle w:val="Compact"/>
              <w:jc w:val="left"/>
            </w:pPr>
            <w:r>
              <w:t xml:space="preserve">0.13</w:t>
            </w:r>
          </w:p>
        </w:tc>
        <w:tc>
          <w:tcPr/>
          <w:p>
            <w:pPr>
              <w:pStyle w:val="Compact"/>
              <w:jc w:val="left"/>
            </w:pPr>
            <w:r>
              <w:t xml:space="preserve">0.72</w:t>
            </w:r>
          </w:p>
        </w:tc>
        <w:tc>
          <w:tcPr/>
          <w:p>
            <w:pPr>
              <w:pStyle w:val="Compact"/>
              <w:jc w:val="left"/>
            </w:pPr>
            <w:r>
              <w:t xml:space="preserve">.472</w:t>
            </w:r>
          </w:p>
        </w:tc>
      </w:tr>
      <w:tr>
        <w:tc>
          <w:tcPr/>
          <w:p>
            <w:pPr>
              <w:pStyle w:val="Compact"/>
              <w:jc w:val="left"/>
            </w:pPr>
            <w:r>
              <w:t xml:space="preserve">   Physical activity</w:t>
            </w:r>
          </w:p>
        </w:tc>
        <w:tc>
          <w:tcPr/>
          <w:p>
            <w:pPr>
              <w:pStyle w:val="Compact"/>
              <w:jc w:val="left"/>
            </w:pPr>
            <w:r>
              <w:t xml:space="preserve">-0.02 [-0.03, -0.01]</w:t>
            </w:r>
          </w:p>
        </w:tc>
        <w:tc>
          <w:tcPr/>
          <w:p>
            <w:pPr>
              <w:pStyle w:val="Compact"/>
              <w:jc w:val="left"/>
            </w:pPr>
            <w:r>
              <w:t xml:space="preserve">0.01</w:t>
            </w:r>
          </w:p>
        </w:tc>
        <w:tc>
          <w:tcPr/>
          <w:p>
            <w:pPr>
              <w:pStyle w:val="Compact"/>
              <w:jc w:val="left"/>
            </w:pPr>
            <w:r>
              <w:t xml:space="preserve">-4.22</w:t>
            </w:r>
          </w:p>
        </w:tc>
        <w:tc>
          <w:tcPr/>
          <w:p>
            <w:pPr>
              <w:pStyle w:val="Compact"/>
              <w:jc w:val="left"/>
            </w:pPr>
            <w:r>
              <w:t xml:space="preserve">&lt; .001</w:t>
            </w:r>
          </w:p>
        </w:tc>
        <w:tc>
          <w:tcPr/>
          <w:p>
            <w:pPr>
              <w:pStyle w:val="Compact"/>
              <w:jc w:val="left"/>
            </w:pPr>
            <w:r>
              <w:t xml:space="preserve">-0.06 [-0.08, -0.05]</w:t>
            </w:r>
          </w:p>
        </w:tc>
        <w:tc>
          <w:tcPr/>
          <w:p>
            <w:pPr>
              <w:pStyle w:val="Compact"/>
              <w:jc w:val="left"/>
            </w:pPr>
            <w:r>
              <w:t xml:space="preserve">0.01</w:t>
            </w:r>
          </w:p>
        </w:tc>
        <w:tc>
          <w:tcPr/>
          <w:p>
            <w:pPr>
              <w:pStyle w:val="Compact"/>
              <w:jc w:val="left"/>
            </w:pPr>
            <w:r>
              <w:t xml:space="preserve">-8.98</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-1.61</w:t>
            </w:r>
          </w:p>
        </w:tc>
        <w:tc>
          <w:tcPr/>
          <w:p>
            <w:pPr>
              <w:pStyle w:val="Compact"/>
              <w:jc w:val="left"/>
            </w:pPr>
            <w:r>
              <w:t xml:space="preserve">.111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.493</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-0.01]</w:t>
            </w:r>
          </w:p>
        </w:tc>
        <w:tc>
          <w:tcPr/>
          <w:p>
            <w:pPr>
              <w:pStyle w:val="Compact"/>
              <w:jc w:val="left"/>
            </w:pPr>
            <w:r>
              <w:t xml:space="preserve">0.00</w:t>
            </w:r>
          </w:p>
        </w:tc>
        <w:tc>
          <w:tcPr/>
          <w:p>
            <w:pPr>
              <w:pStyle w:val="Compact"/>
              <w:jc w:val="left"/>
            </w:pPr>
            <w:r>
              <w:t xml:space="preserve">-7.33</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-7.50</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-15.31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1.85</w:t>
            </w:r>
          </w:p>
        </w:tc>
        <w:tc>
          <w:tcPr/>
          <w:p>
            <w:pPr>
              <w:pStyle w:val="Compact"/>
              <w:jc w:val="left"/>
            </w:pPr>
            <w:r>
              <w:t xml:space="preserve">.068</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9.23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10.73</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0.15 [-0.01, 0.32]</w:t>
            </w:r>
          </w:p>
        </w:tc>
        <w:tc>
          <w:tcPr/>
          <w:p>
            <w:pPr>
              <w:pStyle w:val="Compact"/>
              <w:jc w:val="left"/>
            </w:pPr>
            <w:r>
              <w:t xml:space="preserve">0.08</w:t>
            </w:r>
          </w:p>
        </w:tc>
        <w:tc>
          <w:tcPr/>
          <w:p>
            <w:pPr>
              <w:pStyle w:val="Compact"/>
              <w:jc w:val="left"/>
            </w:pPr>
            <w:r>
              <w:t xml:space="preserve">1.95</w:t>
            </w:r>
          </w:p>
        </w:tc>
        <w:tc>
          <w:tcPr/>
          <w:p>
            <w:pPr>
              <w:pStyle w:val="Compact"/>
              <w:jc w:val="left"/>
            </w:pPr>
            <w:r>
              <w:t xml:space="preserve">.067</w:t>
            </w:r>
          </w:p>
        </w:tc>
        <w:tc>
          <w:tcPr/>
          <w:p>
            <w:pPr>
              <w:pStyle w:val="Compact"/>
              <w:jc w:val="left"/>
            </w:pPr>
            <w:r>
              <w:t xml:space="preserve">0.31 [0.13, 0.49]</w:t>
            </w:r>
          </w:p>
        </w:tc>
        <w:tc>
          <w:tcPr/>
          <w:p>
            <w:pPr>
              <w:pStyle w:val="Compact"/>
              <w:jc w:val="left"/>
            </w:pPr>
            <w:r>
              <w:t xml:space="preserve">0.09</w:t>
            </w:r>
          </w:p>
        </w:tc>
        <w:tc>
          <w:tcPr/>
          <w:p>
            <w:pPr>
              <w:pStyle w:val="Compact"/>
              <w:jc w:val="left"/>
            </w:pPr>
            <w:r>
              <w:t xml:space="preserve">3.40</w:t>
            </w:r>
          </w:p>
        </w:tc>
        <w:tc>
          <w:tcPr/>
          <w:p>
            <w:pPr>
              <w:pStyle w:val="Compact"/>
              <w:jc w:val="left"/>
            </w:pPr>
            <w:r>
              <w:t xml:space="preserve">.001</w:t>
            </w:r>
          </w:p>
        </w:tc>
      </w:tr>
      <w:tr>
        <w:tc>
          <w:tcPr/>
          <w:p>
            <w:pPr>
              <w:pStyle w:val="Compact"/>
              <w:jc w:val="left"/>
            </w:pPr>
            <w:r>
              <w:t xml:space="preserve">   Physical activity</w:t>
            </w:r>
          </w:p>
        </w:tc>
        <w:tc>
          <w:tcPr/>
          <w:p>
            <w:pPr>
              <w:pStyle w:val="Compact"/>
              <w:jc w:val="left"/>
            </w:pPr>
            <w:r>
              <w:t xml:space="preserve">0.25 [0.21, 0.29]</w:t>
            </w:r>
          </w:p>
        </w:tc>
        <w:tc>
          <w:tcPr/>
          <w:p>
            <w:pPr>
              <w:pStyle w:val="Compact"/>
              <w:jc w:val="left"/>
            </w:pPr>
            <w:r>
              <w:t xml:space="preserve">0.01</w:t>
            </w:r>
          </w:p>
        </w:tc>
        <w:tc>
          <w:tcPr/>
          <w:p>
            <w:pPr>
              <w:pStyle w:val="Compact"/>
              <w:jc w:val="left"/>
            </w:pPr>
            <w:r>
              <w:t xml:space="preserve">17.91</w:t>
            </w:r>
          </w:p>
        </w:tc>
        <w:tc>
          <w:tcPr/>
          <w:p>
            <w:pPr>
              <w:pStyle w:val="Compact"/>
              <w:jc w:val="left"/>
            </w:pPr>
            <w:r>
              <w:t xml:space="preserve">&lt; .001</w:t>
            </w:r>
          </w:p>
        </w:tc>
        <w:tc>
          <w:tcPr/>
          <w:p>
            <w:pPr>
              <w:pStyle w:val="Compact"/>
              <w:jc w:val="left"/>
            </w:pPr>
            <w:r>
              <w:t xml:space="preserve">0.29 [0.26, 0.32]</w:t>
            </w:r>
          </w:p>
        </w:tc>
        <w:tc>
          <w:tcPr/>
          <w:p>
            <w:pPr>
              <w:pStyle w:val="Compact"/>
              <w:jc w:val="left"/>
            </w:pPr>
            <w:r>
              <w:t xml:space="preserve">0.01</w:t>
            </w:r>
          </w:p>
        </w:tc>
        <w:tc>
          <w:tcPr/>
          <w:p>
            <w:pPr>
              <w:pStyle w:val="Compact"/>
              <w:jc w:val="left"/>
            </w:pPr>
            <w:r>
              <w:t xml:space="preserve">22.24</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-0.14</w:t>
            </w:r>
          </w:p>
        </w:tc>
        <w:tc>
          <w:tcPr/>
          <w:p>
            <w:pPr>
              <w:pStyle w:val="Compact"/>
              <w:jc w:val="left"/>
            </w:pPr>
            <w:r>
              <w:t xml:space="preserve">.900</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-3.62</w:t>
            </w:r>
          </w:p>
        </w:tc>
        <w:tc>
          <w:tcPr/>
          <w:p>
            <w:pPr>
              <w:pStyle w:val="Compact"/>
              <w:jc w:val="left"/>
            </w:pPr>
            <w:r>
              <w:t xml:space="preserve">.036</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-6.60</w:t>
            </w:r>
          </w:p>
        </w:tc>
        <w:tc>
          <w:tcPr/>
          <w:p>
            <w:pPr>
              <w:pStyle w:val="Compact"/>
              <w:jc w:val="left"/>
            </w:pPr>
            <w:r>
              <w:t xml:space="preserve">.002</w:t>
            </w:r>
          </w:p>
        </w:tc>
        <w:tc>
          <w:tcPr/>
          <w:p>
            <w:pPr>
              <w:pStyle w:val="Compact"/>
              <w:jc w:val="left"/>
            </w:pPr>
            <w:r>
              <w:t xml:space="preserve">-0.11 [-0.12, -0.10]</w:t>
            </w:r>
          </w:p>
        </w:tc>
        <w:tc>
          <w:tcPr/>
          <w:p>
            <w:pPr>
              <w:pStyle w:val="Compact"/>
              <w:jc w:val="left"/>
            </w:pPr>
            <w:r>
              <w:t xml:space="preserve">0.01</w:t>
            </w:r>
          </w:p>
        </w:tc>
        <w:tc>
          <w:tcPr/>
          <w:p>
            <w:pPr>
              <w:pStyle w:val="Compact"/>
              <w:jc w:val="left"/>
            </w:pPr>
            <w:r>
              <w:t xml:space="preserve">-19.48</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-1.49</w:t>
            </w:r>
          </w:p>
        </w:tc>
        <w:tc>
          <w:tcPr/>
          <w:p>
            <w:pPr>
              <w:pStyle w:val="Compact"/>
              <w:jc w:val="left"/>
            </w:pPr>
            <w:r>
              <w:t xml:space="preserve">.211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-19.73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-15.25</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9.81</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z-score. Outcomes variables are listed in the column headers.</w:t>
      </w:r>
    </w:p>
    <w:p>
      <w:pPr>
        <w:pStyle w:val="Textkrper"/>
      </w:pPr>
      <w:r>
        <w:t xml:space="preserve"> </w:t>
      </w:r>
    </w:p>
    <w:p>
      <w:pPr>
        <w:pStyle w:val="CaptionedFigure"/>
      </w:pPr>
      <w:r>
        <w:drawing>
          <wp:inline>
            <wp:extent cx="6565900" cy="4377678"/>
            <wp:effectExtent b="0" l="0" r="0" t="0"/>
            <wp:docPr descr="Figure 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5" name="Picture"/>
            <a:graphic>
              <a:graphicData uri="http://schemas.openxmlformats.org/drawingml/2006/picture">
                <pic:pic>
                  <pic:nvPicPr>
                    <pic:cNvPr descr="manuscript_files/a2c78dfa0c4a3fd655c12840dc930606b6725e17.jpg" id="36" name="Picture"/>
                    <pic:cNvPicPr>
                      <a:picLocks noChangeArrowheads="1" noChangeAspect="1"/>
                    </pic:cNvPicPr>
                  </pic:nvPicPr>
                  <pic:blipFill>
                    <a:blip r:embed="rId34"/>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37" w:name="fig:sleep-by-volume-fig"/>
      <w:bookmarkEnd w:id="37"/>
      <w:r>
        <w:rPr>
          <w:i/>
          <w:iCs/>
        </w:rPr>
        <w:t xml:space="preserve">Figure</w:t>
      </w:r>
      <w:r>
        <w:t xml:space="preserve"> </w:t>
      </w:r>
      <w:r>
        <w:t xml:space="preserve">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8"/>
    <w:bookmarkStart w:id="43"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but these were only meaningful for the impact of physical activity intensity on sleep regularity, in which very low levels of intensity were strongly associated with poor sleep regularity and the benefits of increasing intensity diminished past one standard deviation above the mean.</w:t>
      </w:r>
      <w:r>
        <w:t xml:space="preserve"> </w:t>
      </w:r>
      <w:r>
        <w:t xml:space="preserve">While age statistically significantly modified the relationship between physical activity intensity and sleep duration, efficiency, and regularity, the effect was negligible.</w:t>
      </w:r>
    </w:p>
    <w:p>
      <w:pPr>
        <w:pStyle w:val="CaptionedFigure"/>
      </w:pPr>
      <w:r>
        <w:drawing>
          <wp:inline>
            <wp:extent cx="6565900" cy="4377678"/>
            <wp:effectExtent b="0" l="0" r="0" t="0"/>
            <wp:docPr descr="Figure 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manuscript_files/fbd95bca92e6f69baa21df620cfec26187c88803.jpg" id="41" name="Picture"/>
                    <pic:cNvPicPr>
                      <a:picLocks noChangeArrowheads="1" noChangeAspect="1"/>
                    </pic:cNvPicPr>
                  </pic:nvPicPr>
                  <pic:blipFill>
                    <a:blip r:embed="rId39"/>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42" w:name="fig:sleep-by-intensity-fig"/>
      <w:bookmarkEnd w:id="42"/>
      <w:r>
        <w:rPr>
          <w:i/>
          <w:iCs/>
        </w:rPr>
        <w:t xml:space="preserve">Figure</w:t>
      </w:r>
      <w:r>
        <w:t xml:space="preserve"> </w:t>
      </w:r>
      <w:r>
        <w:t xml:space="preserve">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43"/>
    <w:bookmarkStart w:id="49"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 or intensity.</w:t>
      </w:r>
    </w:p>
    <w:p>
      <w:pPr>
        <w:pStyle w:val="TableCaption"/>
      </w:pPr>
      <w:bookmarkStart w:id="44" w:name="tab:pa-outcomes"/>
      <w:bookmarkEnd w:id="44"/>
      <w:r>
        <w:t xml:space="preserve">Table 3</w:t>
      </w:r>
      <w:r>
        <w:br/>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3 Sleep predicting physical activity controlling for SES, sex, and BMI z-score"/>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1.18 [0.83, 1.52]</w:t>
            </w:r>
          </w:p>
        </w:tc>
        <w:tc>
          <w:tcPr/>
          <w:p>
            <w:pPr>
              <w:pStyle w:val="Compact"/>
              <w:jc w:val="left"/>
            </w:pPr>
            <w:r>
              <w:t xml:space="preserve">0.18</w:t>
            </w:r>
          </w:p>
        </w:tc>
        <w:tc>
          <w:tcPr/>
          <w:p>
            <w:pPr>
              <w:pStyle w:val="Compact"/>
              <w:jc w:val="left"/>
            </w:pPr>
            <w:r>
              <w:t xml:space="preserve">6.63</w:t>
            </w:r>
          </w:p>
        </w:tc>
        <w:tc>
          <w:tcPr/>
          <w:p>
            <w:pPr>
              <w:pStyle w:val="Compact"/>
              <w:jc w:val="left"/>
            </w:pPr>
            <w:r>
              <w:t xml:space="preserve">&lt; .001</w:t>
            </w:r>
          </w:p>
        </w:tc>
        <w:tc>
          <w:tcPr/>
          <w:p>
            <w:pPr>
              <w:pStyle w:val="Compact"/>
              <w:jc w:val="left"/>
            </w:pPr>
            <w:r>
              <w:t xml:space="preserve">1.01 [0.88, 1.14]</w:t>
            </w:r>
          </w:p>
        </w:tc>
        <w:tc>
          <w:tcPr/>
          <w:p>
            <w:pPr>
              <w:pStyle w:val="Compact"/>
              <w:jc w:val="left"/>
            </w:pPr>
            <w:r>
              <w:t xml:space="preserve">0.07</w:t>
            </w:r>
          </w:p>
        </w:tc>
        <w:tc>
          <w:tcPr/>
          <w:p>
            <w:pPr>
              <w:pStyle w:val="Compact"/>
              <w:jc w:val="left"/>
            </w:pPr>
            <w:r>
              <w:t xml:space="preserve">15.09</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0.05 [0.04, 0.06]</w:t>
            </w:r>
          </w:p>
        </w:tc>
        <w:tc>
          <w:tcPr/>
          <w:p>
            <w:pPr>
              <w:pStyle w:val="Compact"/>
              <w:jc w:val="left"/>
            </w:pPr>
            <w:r>
              <w:t xml:space="preserve">0.00</w:t>
            </w:r>
          </w:p>
        </w:tc>
        <w:tc>
          <w:tcPr/>
          <w:p>
            <w:pPr>
              <w:pStyle w:val="Compact"/>
              <w:jc w:val="left"/>
            </w:pPr>
            <w:r>
              <w:t xml:space="preserve">10.43</w:t>
            </w:r>
          </w:p>
        </w:tc>
        <w:tc>
          <w:tcPr/>
          <w:p>
            <w:pPr>
              <w:pStyle w:val="Compact"/>
              <w:jc w:val="left"/>
            </w:pPr>
            <w:r>
              <w:t xml:space="preserve">&lt; .001</w:t>
            </w:r>
          </w:p>
        </w:tc>
        <w:tc>
          <w:tcPr/>
          <w:p>
            <w:pPr>
              <w:pStyle w:val="Compact"/>
              <w:jc w:val="left"/>
            </w:pPr>
            <w:r>
              <w:t xml:space="preserve">0.04 [0.03, 0.05]</w:t>
            </w:r>
          </w:p>
        </w:tc>
        <w:tc>
          <w:tcPr/>
          <w:p>
            <w:pPr>
              <w:pStyle w:val="Compact"/>
              <w:jc w:val="left"/>
            </w:pPr>
            <w:r>
              <w:t xml:space="preserve">0.00</w:t>
            </w:r>
          </w:p>
        </w:tc>
        <w:tc>
          <w:tcPr/>
          <w:p>
            <w:pPr>
              <w:pStyle w:val="Compact"/>
              <w:jc w:val="left"/>
            </w:pPr>
            <w:r>
              <w:t xml:space="preserve">8.38</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-38.85</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-48.18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-9.32</w:t>
            </w:r>
          </w:p>
        </w:tc>
        <w:tc>
          <w:tcPr/>
          <w:p>
            <w:pPr>
              <w:pStyle w:val="Compact"/>
              <w:jc w:val="left"/>
            </w:pPr>
            <w:r>
              <w:t xml:space="preserve">&lt; .001</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-5.72</w:t>
            </w:r>
          </w:p>
        </w:tc>
        <w:tc>
          <w:tcPr/>
          <w:p>
            <w:pPr>
              <w:pStyle w:val="Compact"/>
              <w:jc w:val="left"/>
            </w:pPr>
            <w:r>
              <w:t xml:space="preserve">&lt; .001</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-3.04</w:t>
            </w:r>
          </w:p>
        </w:tc>
        <w:tc>
          <w:tcPr/>
          <w:p>
            <w:pPr>
              <w:pStyle w:val="Compact"/>
              <w:jc w:val="left"/>
            </w:pPr>
            <w:r>
              <w:t xml:space="preserve">.002</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2.60</w:t>
            </w:r>
          </w:p>
        </w:tc>
        <w:tc>
          <w:tcPr/>
          <w:p>
            <w:pPr>
              <w:pStyle w:val="Compact"/>
              <w:jc w:val="left"/>
            </w:pPr>
            <w:r>
              <w:t xml:space="preserve">.010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2.33</w:t>
            </w:r>
          </w:p>
        </w:tc>
        <w:tc>
          <w:tcPr/>
          <w:p>
            <w:pPr>
              <w:pStyle w:val="Compact"/>
              <w:jc w:val="left"/>
            </w:pPr>
            <w:r>
              <w:t xml:space="preserve">.022</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1.16 [0.82, 1.51]</w:t>
            </w:r>
          </w:p>
        </w:tc>
        <w:tc>
          <w:tcPr/>
          <w:p>
            <w:pPr>
              <w:pStyle w:val="Compact"/>
              <w:jc w:val="left"/>
            </w:pPr>
            <w:r>
              <w:t xml:space="preserve">0.18</w:t>
            </w:r>
          </w:p>
        </w:tc>
        <w:tc>
          <w:tcPr/>
          <w:p>
            <w:pPr>
              <w:pStyle w:val="Compact"/>
              <w:jc w:val="left"/>
            </w:pPr>
            <w:r>
              <w:t xml:space="preserve">6.59</w:t>
            </w:r>
          </w:p>
        </w:tc>
        <w:tc>
          <w:tcPr/>
          <w:p>
            <w:pPr>
              <w:pStyle w:val="Compact"/>
              <w:jc w:val="left"/>
            </w:pPr>
            <w:r>
              <w:t xml:space="preserve">&lt; .001</w:t>
            </w:r>
          </w:p>
        </w:tc>
        <w:tc>
          <w:tcPr/>
          <w:p>
            <w:pPr>
              <w:pStyle w:val="Compact"/>
              <w:jc w:val="left"/>
            </w:pPr>
            <w:r>
              <w:t xml:space="preserve">1.00 [0.87, 1.13]</w:t>
            </w:r>
          </w:p>
        </w:tc>
        <w:tc>
          <w:tcPr/>
          <w:p>
            <w:pPr>
              <w:pStyle w:val="Compact"/>
              <w:jc w:val="left"/>
            </w:pPr>
            <w:r>
              <w:t xml:space="preserve">0.07</w:t>
            </w:r>
          </w:p>
        </w:tc>
        <w:tc>
          <w:tcPr/>
          <w:p>
            <w:pPr>
              <w:pStyle w:val="Compact"/>
              <w:jc w:val="left"/>
            </w:pPr>
            <w:r>
              <w:t xml:space="preserve">15.02</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0.00 [-0.01, 0.01]</w:t>
            </w:r>
          </w:p>
        </w:tc>
        <w:tc>
          <w:tcPr/>
          <w:p>
            <w:pPr>
              <w:pStyle w:val="Compact"/>
              <w:jc w:val="left"/>
            </w:pPr>
            <w:r>
              <w:t xml:space="preserve">0.01</w:t>
            </w:r>
          </w:p>
        </w:tc>
        <w:tc>
          <w:tcPr/>
          <w:p>
            <w:pPr>
              <w:pStyle w:val="Compact"/>
              <w:jc w:val="left"/>
            </w:pPr>
            <w:r>
              <w:t xml:space="preserve">-0.13</w:t>
            </w:r>
          </w:p>
        </w:tc>
        <w:tc>
          <w:tcPr/>
          <w:p>
            <w:pPr>
              <w:pStyle w:val="Compact"/>
              <w:jc w:val="left"/>
            </w:pPr>
            <w:r>
              <w:t xml:space="preserve">.900</w:t>
            </w:r>
          </w:p>
        </w:tc>
        <w:tc>
          <w:tcPr/>
          <w:p>
            <w:pPr>
              <w:pStyle w:val="Compact"/>
              <w:jc w:val="left"/>
            </w:pPr>
            <w:r>
              <w:t xml:space="preserve">0.01 [0.00, 0.02]</w:t>
            </w:r>
          </w:p>
        </w:tc>
        <w:tc>
          <w:tcPr/>
          <w:p>
            <w:pPr>
              <w:pStyle w:val="Compact"/>
              <w:jc w:val="left"/>
            </w:pPr>
            <w:r>
              <w:t xml:space="preserve">0.01</w:t>
            </w:r>
          </w:p>
        </w:tc>
        <w:tc>
          <w:tcPr/>
          <w:p>
            <w:pPr>
              <w:pStyle w:val="Compact"/>
              <w:jc w:val="left"/>
            </w:pPr>
            <w:r>
              <w:t xml:space="preserve">2.33</w:t>
            </w:r>
          </w:p>
        </w:tc>
        <w:tc>
          <w:tcPr/>
          <w:p>
            <w:pPr>
              <w:pStyle w:val="Compact"/>
              <w:jc w:val="left"/>
            </w:pPr>
            <w:r>
              <w:t xml:space="preserve">.023</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-38.47</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-47.92</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[-0.02, -0.01]</w:t>
            </w:r>
          </w:p>
        </w:tc>
        <w:tc>
          <w:tcPr/>
          <w:p>
            <w:pPr>
              <w:pStyle w:val="Compact"/>
              <w:jc w:val="left"/>
            </w:pPr>
            <w:r>
              <w:t xml:space="preserve">0.00</w:t>
            </w:r>
          </w:p>
        </w:tc>
        <w:tc>
          <w:tcPr/>
          <w:p>
            <w:pPr>
              <w:pStyle w:val="Compact"/>
              <w:jc w:val="left"/>
            </w:pPr>
            <w:r>
              <w:t xml:space="preserve">-6.73</w:t>
            </w:r>
          </w:p>
        </w:tc>
        <w:tc>
          <w:tcPr/>
          <w:p>
            <w:pPr>
              <w:pStyle w:val="Compact"/>
              <w:jc w:val="left"/>
            </w:pPr>
            <w:r>
              <w:t xml:space="preserve">&lt; .001</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-4.49</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-1.59</w:t>
            </w:r>
          </w:p>
        </w:tc>
        <w:tc>
          <w:tcPr/>
          <w:p>
            <w:pPr>
              <w:pStyle w:val="Compact"/>
              <w:jc w:val="left"/>
            </w:pPr>
            <w:r>
              <w:t xml:space="preserve">.114</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2.77</w:t>
            </w:r>
          </w:p>
        </w:tc>
        <w:tc>
          <w:tcPr/>
          <w:p>
            <w:pPr>
              <w:pStyle w:val="Compact"/>
              <w:jc w:val="left"/>
            </w:pPr>
            <w:r>
              <w:t xml:space="preserve">.006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w:t>
            </w:r>
          </w:p>
        </w:tc>
        <w:tc>
          <w:tcPr/>
          <w:p>
            <w:pPr>
              <w:pStyle w:val="Compact"/>
              <w:jc w:val="left"/>
            </w:pPr>
            <w:r>
              <w:t xml:space="preserve">.304</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1.18 [0.82, 1.54]</w:t>
            </w:r>
          </w:p>
        </w:tc>
        <w:tc>
          <w:tcPr/>
          <w:p>
            <w:pPr>
              <w:pStyle w:val="Compact"/>
              <w:jc w:val="left"/>
            </w:pPr>
            <w:r>
              <w:t xml:space="preserve">0.18</w:t>
            </w:r>
          </w:p>
        </w:tc>
        <w:tc>
          <w:tcPr/>
          <w:p>
            <w:pPr>
              <w:pStyle w:val="Compact"/>
              <w:jc w:val="left"/>
            </w:pPr>
            <w:r>
              <w:t xml:space="preserve">6.42</w:t>
            </w:r>
          </w:p>
        </w:tc>
        <w:tc>
          <w:tcPr/>
          <w:p>
            <w:pPr>
              <w:pStyle w:val="Compact"/>
              <w:jc w:val="left"/>
            </w:pPr>
            <w:r>
              <w:t xml:space="preserve">&lt; .001</w:t>
            </w:r>
          </w:p>
        </w:tc>
        <w:tc>
          <w:tcPr/>
          <w:p>
            <w:pPr>
              <w:pStyle w:val="Compact"/>
              <w:jc w:val="left"/>
            </w:pPr>
            <w:r>
              <w:t xml:space="preserve">1.00 [0.86, 1.13]</w:t>
            </w:r>
          </w:p>
        </w:tc>
        <w:tc>
          <w:tcPr/>
          <w:p>
            <w:pPr>
              <w:pStyle w:val="Compact"/>
              <w:jc w:val="left"/>
            </w:pPr>
            <w:r>
              <w:t xml:space="preserve">0.07</w:t>
            </w:r>
          </w:p>
        </w:tc>
        <w:tc>
          <w:tcPr/>
          <w:p>
            <w:pPr>
              <w:pStyle w:val="Compact"/>
              <w:jc w:val="left"/>
            </w:pPr>
            <w:r>
              <w:t xml:space="preserve">14.47</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-0.14 [-0.15, -0.12]</w:t>
            </w:r>
          </w:p>
        </w:tc>
        <w:tc>
          <w:tcPr/>
          <w:p>
            <w:pPr>
              <w:pStyle w:val="Compact"/>
              <w:jc w:val="left"/>
            </w:pPr>
            <w:r>
              <w:t xml:space="preserve">0.01</w:t>
            </w:r>
          </w:p>
        </w:tc>
        <w:tc>
          <w:tcPr/>
          <w:p>
            <w:pPr>
              <w:pStyle w:val="Compact"/>
              <w:jc w:val="left"/>
            </w:pPr>
            <w:r>
              <w:t xml:space="preserve">-20.95</w:t>
            </w:r>
          </w:p>
        </w:tc>
        <w:tc>
          <w:tcPr/>
          <w:p>
            <w:pPr>
              <w:pStyle w:val="Compact"/>
              <w:jc w:val="left"/>
            </w:pPr>
            <w:r>
              <w:t xml:space="preserve">&lt; .001</w:t>
            </w:r>
          </w:p>
        </w:tc>
        <w:tc>
          <w:tcPr/>
          <w:p>
            <w:pPr>
              <w:pStyle w:val="Compact"/>
              <w:jc w:val="left"/>
            </w:pPr>
            <w:r>
              <w:t xml:space="preserve">-0.07 [-0.08, -0.06]</w:t>
            </w:r>
          </w:p>
        </w:tc>
        <w:tc>
          <w:tcPr/>
          <w:p>
            <w:pPr>
              <w:pStyle w:val="Compact"/>
              <w:jc w:val="left"/>
            </w:pPr>
            <w:r>
              <w:t xml:space="preserve">0.01</w:t>
            </w:r>
          </w:p>
        </w:tc>
        <w:tc>
          <w:tcPr/>
          <w:p>
            <w:pPr>
              <w:pStyle w:val="Compact"/>
              <w:jc w:val="left"/>
            </w:pPr>
            <w:r>
              <w:t xml:space="preserve">-11.53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-39.55</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-48.40</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-7.92</w:t>
            </w:r>
          </w:p>
        </w:tc>
        <w:tc>
          <w:tcPr/>
          <w:p>
            <w:pPr>
              <w:pStyle w:val="Compact"/>
              <w:jc w:val="left"/>
            </w:pPr>
            <w:r>
              <w:t xml:space="preserve">&lt; .001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-0.67</w:t>
            </w:r>
          </w:p>
        </w:tc>
        <w:tc>
          <w:tcPr/>
          <w:p>
            <w:pPr>
              <w:pStyle w:val="Compact"/>
              <w:jc w:val="left"/>
            </w:pPr>
            <w:r>
              <w:t xml:space="preserve">.506</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13.34</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9.48</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0.03</w:t>
            </w:r>
          </w:p>
        </w:tc>
        <w:tc>
          <w:tcPr/>
          <w:p>
            <w:pPr>
              <w:pStyle w:val="Compact"/>
              <w:jc w:val="left"/>
            </w:pPr>
            <w:r>
              <w:t xml:space="preserve">.975</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1.11 [0.77, 1.44]</w:t>
            </w:r>
          </w:p>
        </w:tc>
        <w:tc>
          <w:tcPr/>
          <w:p>
            <w:pPr>
              <w:pStyle w:val="Compact"/>
              <w:jc w:val="left"/>
            </w:pPr>
            <w:r>
              <w:t xml:space="preserve">0.17</w:t>
            </w:r>
          </w:p>
        </w:tc>
        <w:tc>
          <w:tcPr/>
          <w:p>
            <w:pPr>
              <w:pStyle w:val="Compact"/>
              <w:jc w:val="left"/>
            </w:pPr>
            <w:r>
              <w:t xml:space="preserve">6.50</w:t>
            </w:r>
          </w:p>
        </w:tc>
        <w:tc>
          <w:tcPr/>
          <w:p>
            <w:pPr>
              <w:pStyle w:val="Compact"/>
              <w:jc w:val="left"/>
            </w:pPr>
            <w:r>
              <w:t xml:space="preserve">&lt; .001</w:t>
            </w:r>
          </w:p>
        </w:tc>
        <w:tc>
          <w:tcPr/>
          <w:p>
            <w:pPr>
              <w:pStyle w:val="Compact"/>
              <w:jc w:val="left"/>
            </w:pPr>
            <w:r>
              <w:t xml:space="preserve">0.97 [0.85, 1.09]</w:t>
            </w:r>
          </w:p>
        </w:tc>
        <w:tc>
          <w:tcPr/>
          <w:p>
            <w:pPr>
              <w:pStyle w:val="Compact"/>
              <w:jc w:val="left"/>
            </w:pPr>
            <w:r>
              <w:t xml:space="preserve">0.06</w:t>
            </w:r>
          </w:p>
        </w:tc>
        <w:tc>
          <w:tcPr/>
          <w:p>
            <w:pPr>
              <w:pStyle w:val="Compact"/>
              <w:jc w:val="left"/>
            </w:pPr>
            <w:r>
              <w:t xml:space="preserve">15.33</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0.16 [0.15, 0.17]</w:t>
            </w:r>
          </w:p>
        </w:tc>
        <w:tc>
          <w:tcPr/>
          <w:p>
            <w:pPr>
              <w:pStyle w:val="Compact"/>
              <w:jc w:val="left"/>
            </w:pPr>
            <w:r>
              <w:t xml:space="preserve">0.00</w:t>
            </w:r>
          </w:p>
        </w:tc>
        <w:tc>
          <w:tcPr/>
          <w:p>
            <w:pPr>
              <w:pStyle w:val="Compact"/>
              <w:jc w:val="left"/>
            </w:pPr>
            <w:r>
              <w:t xml:space="preserve">36.63</w:t>
            </w:r>
          </w:p>
        </w:tc>
        <w:tc>
          <w:tcPr/>
          <w:p>
            <w:pPr>
              <w:pStyle w:val="Compact"/>
              <w:jc w:val="left"/>
            </w:pPr>
            <w:r>
              <w:t xml:space="preserve">&lt; .001</w:t>
            </w:r>
          </w:p>
        </w:tc>
        <w:tc>
          <w:tcPr/>
          <w:p>
            <w:pPr>
              <w:pStyle w:val="Compact"/>
              <w:jc w:val="left"/>
            </w:pPr>
            <w:r>
              <w:t xml:space="preserve">0.12 [0.11, 0.13]</w:t>
            </w:r>
          </w:p>
        </w:tc>
        <w:tc>
          <w:tcPr/>
          <w:p>
            <w:pPr>
              <w:pStyle w:val="Compact"/>
              <w:jc w:val="left"/>
            </w:pPr>
            <w:r>
              <w:t xml:space="preserve">0.00</w:t>
            </w:r>
          </w:p>
        </w:tc>
        <w:tc>
          <w:tcPr/>
          <w:p>
            <w:pPr>
              <w:pStyle w:val="Compact"/>
              <w:jc w:val="left"/>
            </w:pPr>
            <w:r>
              <w:t xml:space="preserve">29.40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-36.44</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-47.16</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1.86</w:t>
            </w:r>
          </w:p>
        </w:tc>
        <w:tc>
          <w:tcPr/>
          <w:p>
            <w:pPr>
              <w:pStyle w:val="Compact"/>
              <w:jc w:val="left"/>
            </w:pPr>
            <w:r>
              <w:t xml:space="preserve">.070</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.659</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-19.43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-17.15</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-0.16</w:t>
            </w:r>
          </w:p>
        </w:tc>
        <w:tc>
          <w:tcPr/>
          <w:p>
            <w:pPr>
              <w:pStyle w:val="Compact"/>
              <w:jc w:val="left"/>
            </w:pPr>
            <w:r>
              <w:t xml:space="preserve">.871</w:t>
            </w:r>
          </w:p>
        </w:tc>
      </w:tr>
    </w:tbl>
    <w:p>
      <w:pPr>
        <w:pStyle w:val="table-note"/>
      </w:pPr>
      <w:r>
        <w:rPr>
          <w:i/>
          <w:iCs/>
        </w:rPr>
        <w:t xml:space="preserve">Note.</w:t>
      </w:r>
      <w:r>
        <w:t xml:space="preserve"> </w:t>
      </w:r>
      <w:r>
        <w:t xml:space="preserve">Adjusted for SES, sex, and BMI z-score. Outcomes variables are listed in the row headers.</w:t>
      </w:r>
    </w:p>
    <w:p>
      <w:pPr>
        <w:pStyle w:val="Textkrper"/>
      </w:pPr>
      <w:r>
        <w:t xml:space="preserve"> </w:t>
      </w:r>
    </w:p>
    <w:p>
      <w:pPr>
        <w:pStyle w:val="CaptionedFigure"/>
      </w:pPr>
      <w:r>
        <w:drawing>
          <wp:inline>
            <wp:extent cx="6565900" cy="2625618"/>
            <wp:effectExtent b="0" l="0" r="0" t="0"/>
            <wp:docPr descr="Figure 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manuscript_files/e926c728da8a54f7b8f1d0d35a982108b6410221.jpg" id="47" name="Picture"/>
                    <pic:cNvPicPr>
                      <a:picLocks noChangeArrowheads="1" noChangeAspect="1"/>
                    </pic:cNvPicPr>
                  </pic:nvPicPr>
                  <pic:blipFill>
                    <a:blip r:embed="rId4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48" w:name="fig:PA-by-sleep-duration-fig"/>
      <w:bookmarkEnd w:id="48"/>
      <w:r>
        <w:rPr>
          <w:i/>
          <w:iCs/>
        </w:rPr>
        <w:t xml:space="preserve">Figure</w:t>
      </w:r>
      <w:r>
        <w:t xml:space="preserve"> </w:t>
      </w:r>
      <w:r>
        <w:t xml:space="preserve">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a negligible relationship between sleep efficiency and physical activity volume and a weak linear association between sleep efficiency and more intense physical activity.</w:t>
      </w:r>
    </w:p>
    <w:p>
      <w:pPr>
        <w:pStyle w:val="CaptionedFigure"/>
      </w:pPr>
      <w:r>
        <w:drawing>
          <wp:inline>
            <wp:extent cx="6565900" cy="2625618"/>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manuscript_files/1ddd076fa18705bedf8410000914d59556a3441d.jpg" id="52" name="Picture"/>
                    <pic:cNvPicPr>
                      <a:picLocks noChangeArrowheads="1" noChangeAspect="1"/>
                    </pic:cNvPicPr>
                  </pic:nvPicPr>
                  <pic:blipFill>
                    <a:blip r:embed="rId5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3" w:name="fig:PA-by-sleep-efficiency-fig"/>
      <w:bookmarkEnd w:id="53"/>
      <w:r>
        <w:rPr>
          <w:i/>
          <w:iCs/>
        </w:rPr>
        <w:t xml:space="preserve">Figure</w:t>
      </w:r>
      <w:r>
        <w:t xml:space="preserve"> </w:t>
      </w:r>
      <w:r>
        <w:t xml:space="preserve">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4"/>
    <w:bookmarkStart w:id="59"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but not intensity.</w:t>
      </w:r>
    </w:p>
    <w:p>
      <w:pPr>
        <w:pStyle w:val="CaptionedFigure"/>
      </w:pPr>
      <w:r>
        <w:drawing>
          <wp:inline>
            <wp:extent cx="6565900" cy="2625618"/>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6" name="Picture"/>
            <a:graphic>
              <a:graphicData uri="http://schemas.openxmlformats.org/drawingml/2006/picture">
                <pic:pic>
                  <pic:nvPicPr>
                    <pic:cNvPr descr="manuscript_files/d16c8bf323cfa7af8a4b5fc887cc14e96fad8f22.jpg" id="57" name="Picture"/>
                    <pic:cNvPicPr>
                      <a:picLocks noChangeArrowheads="1" noChangeAspect="1"/>
                    </pic:cNvPicPr>
                  </pic:nvPicPr>
                  <pic:blipFill>
                    <a:blip r:embed="rId5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8" w:name="fig:PA-by-sleep-onset-fig"/>
      <w:bookmarkEnd w:id="58"/>
      <w:r>
        <w:rPr>
          <w:i/>
          <w:iCs/>
        </w:rPr>
        <w:t xml:space="preserve">Figure</w:t>
      </w:r>
      <w:r>
        <w:t xml:space="preserve"> </w:t>
      </w:r>
      <w:r>
        <w:t xml:space="preserve">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9"/>
    <w:bookmarkStart w:id="64"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were slightly attenuated with age, such that for older adults the effect was negligible.</w:t>
      </w:r>
    </w:p>
    <w:p>
      <w:pPr>
        <w:pStyle w:val="CaptionedFigure"/>
      </w:pPr>
      <w:r>
        <w:drawing>
          <wp:inline>
            <wp:extent cx="6565900" cy="2625618"/>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1" name="Picture"/>
            <a:graphic>
              <a:graphicData uri="http://schemas.openxmlformats.org/drawingml/2006/picture">
                <pic:pic>
                  <pic:nvPicPr>
                    <pic:cNvPr descr="manuscript_files/0a8b5766b7c8193417494101a27fd15dd93fc04a.jpg" id="62" name="Picture"/>
                    <pic:cNvPicPr>
                      <a:picLocks noChangeArrowheads="1" noChangeAspect="1"/>
                    </pic:cNvPicPr>
                  </pic:nvPicPr>
                  <pic:blipFill>
                    <a:blip r:embed="rId6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63" w:name="fig:PA-by-sleep-regularity-fig"/>
      <w:bookmarkEnd w:id="63"/>
      <w:r>
        <w:rPr>
          <w:i/>
          <w:iCs/>
        </w:rPr>
        <w:t xml:space="preserve">Figure</w:t>
      </w:r>
      <w:r>
        <w:t xml:space="preserve"> </w:t>
      </w:r>
      <w:r>
        <w:t xml:space="preserve">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4"/>
    <w:bookmarkEnd w:id="65"/>
    <w:bookmarkStart w:id="66" w:name="discussion"/>
    <w:p>
      <w:pPr>
        <w:pStyle w:val="berschrift1"/>
      </w:pPr>
      <w:r>
        <w:t xml:space="preserve">Discussion</w:t>
      </w:r>
    </w:p>
    <w:p>
      <w:pPr>
        <w:pStyle w:val="FirstParagraph"/>
      </w:pPr>
      <w:r>
        <w:t xml:space="preserve">In this study, we collated and harmonised device-measured physical activity and sleep data from 20 studies around the world, covering participants across the lifespan.</w:t>
      </w:r>
      <w:r>
        <w:t xml:space="preserve"> </w:t>
      </w:r>
      <w:r>
        <w:t xml:space="preserve">We found that both the volume and intensity of physical activity was associated with longer sleep duration, higher sleep efficiency, earlier sleep onset, and more regular sleep.</w:t>
      </w:r>
      <w:r>
        <w:t xml:space="preserve"> </w:t>
      </w:r>
      <w:r>
        <w:t xml:space="preserve">These relationships were the strongest for sleep regularity, although the the relationship between physical activity intensity weakened with age.</w:t>
      </w:r>
    </w:p>
    <w:p>
      <w:pPr>
        <w:pStyle w:val="Textkrper"/>
      </w:pPr>
      <w:r>
        <w:t xml:space="preserve">When examining the reverse direction, we observed those who fell asleep earlier and at a more regular time engaged in more total physical activity, with an additional negligible benefit for those who slept more efficiently.</w:t>
      </w:r>
      <w:r>
        <w:t xml:space="preserve"> </w:t>
      </w:r>
      <w:r>
        <w:t xml:space="preserve">Similarly, those who slept at a more regular time and with more efficiency engaged in more intense physical activity.</w:t>
      </w:r>
      <w:r>
        <w:t xml:space="preserve"> </w:t>
      </w:r>
      <w:r>
        <w:t xml:space="preserve">These findings were largely robust to the decisions made during analysis (see supplementary materials for all analyses).</w:t>
      </w:r>
    </w:p>
    <w:p>
      <w:pPr>
        <w:pStyle w:val="Textkrper"/>
      </w:pPr>
      <w:r>
        <w:t xml:space="preserve">Our findings broadly align with meta-analyses of experimental research, although the strengths of the relationships we observed were much weaker</w:t>
      </w:r>
      <w:r>
        <w:t xml:space="preserve"> </w:t>
      </w:r>
      <w:r>
        <w:t xml:space="preserve">[10]</w:t>
      </w:r>
      <w:r>
        <w:t xml:space="preserve">.</w:t>
      </w:r>
      <w:r>
        <w:t xml:space="preserve"> </w:t>
      </w:r>
      <w:r>
        <w:t xml:space="preserve">For example,</w:t>
      </w:r>
      <w:r>
        <w:t xml:space="preserve"> </w:t>
      </w:r>
      <w:r>
        <w:t xml:space="preserve">[10]</w:t>
      </w:r>
      <w:r>
        <w:t xml:space="preserve"> </w:t>
      </w:r>
      <w:r>
        <w:t xml:space="preserve">found small (</w:t>
      </w:r>
      <m:oMath>
        <m:r>
          <m:t>0.22</m:t>
        </m:r>
        <m:r>
          <m:rPr>
            <m:sty m:val="p"/>
          </m:rPr>
          <m:t>&lt;</m:t>
        </m:r>
        <m:r>
          <m:t>d</m:t>
        </m:r>
        <m:r>
          <m:rPr>
            <m:sty m:val="p"/>
          </m:rPr>
          <m:t>&lt;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It may be that the routine nature of individuals’ physical activity makes associations more difficult to detect.</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could also be that duration of sleep is set more by parameters external to the individual, such as work schedules or parenting duties, than by individual health behaviours.</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[9]</w:t>
      </w:r>
      <w:r>
        <w:t xml:space="preserve">, or that they are habitual and linked to factors such as the value placed on health.</w:t>
      </w:r>
      <w:r>
        <w:t xml:space="preserve"> </w:t>
      </w:r>
      <w:r>
        <w:t xml:space="preserve">Sleep regularity is a stronger predictor of mortality than sleep duration</w:t>
      </w:r>
      <w:r>
        <w:t xml:space="preserve"> </w:t>
      </w:r>
      <w:r>
        <w:t xml:space="preserve">[44]</w:t>
      </w:r>
      <w:r>
        <w:t xml:space="preserve">, and so the finding that physical activity is associated with sleep regularity may be particularly important.</w:t>
      </w:r>
    </w:p>
    <w:p>
      <w:pPr>
        <w:pStyle w:val="Textkrper"/>
      </w:pPr>
      <w:r>
        <w:t xml:space="preserve">Contrary to expectations, we found little evidence to suggest that the associations between physical activity and sleep differed by age.</w:t>
      </w:r>
      <w:r>
        <w:t xml:space="preserve"> </w:t>
      </w:r>
      <w:r>
        <w:t xml:space="preserve">While several of the analyses suggested statistically significant interactions between age and physical activity, these were too small to be clinically meaningful.</w:t>
      </w:r>
      <w:r>
        <w:t xml:space="preserve"> </w:t>
      </w:r>
      <w:r>
        <w:t xml:space="preserve">This suggests that the benefits of physical activity and sleep are consistent across the lifespan, which is inconsistent with previous meta-analyses conducted on different ages.</w:t>
      </w:r>
      <w:r>
        <w:t xml:space="preserve"> </w:t>
      </w:r>
      <w:r>
        <w:t xml:space="preserve">More specifically, meta-analyses in adult populations have generally found associations</w:t>
      </w:r>
      <w:r>
        <w:t xml:space="preserve"> </w:t>
      </w:r>
      <w:r>
        <w:t xml:space="preserve">[10]</w:t>
      </w:r>
      <w:r>
        <w:t xml:space="preserve"> </w:t>
      </w:r>
      <w:r>
        <w:t xml:space="preserve">while those conducted in children and adolescents are less clear</w:t>
      </w:r>
      <w:r>
        <w:t xml:space="preserve"> </w:t>
      </w:r>
      <w:r>
        <w:t xml:space="preserve">[9,11,12]</w:t>
      </w:r>
      <w:r>
        <w:t xml:space="preserve">.</w:t>
      </w:r>
      <w:r>
        <w:t xml:space="preserve"> </w:t>
      </w:r>
      <w:r>
        <w:t xml:space="preserve">This would seem to suggest that the differences in findings across these meta-analyses are due to differences beyond just the age of the populations, such as the type of study designs used or the measures of physical activity and sleep.</w:t>
      </w:r>
      <w:r>
        <w:t xml:space="preserve"> </w:t>
      </w:r>
      <w:r>
        <w:t xml:space="preserve">It also demonstrates the importance of using individual participant data meta-analyses to examine these types of questions.</w:t>
      </w:r>
    </w:p>
    <w:p>
      <w:pPr>
        <w:pStyle w:val="Textkrper"/>
      </w:pPr>
      <w:r>
        <w:t xml:space="preserve">These findings have implications for public health recommendations.</w:t>
      </w:r>
      <w:r>
        <w:t xml:space="preserve"> </w:t>
      </w:r>
      <w:r>
        <w:t xml:space="preserve">Our results support encouraging physical activity for maintaining regular sleep patterns across the lifespan.</w:t>
      </w:r>
      <w:r>
        <w:t xml:space="preserve"> </w:t>
      </w:r>
      <w:r>
        <w:t xml:space="preserve">Sleep health may contribute to overall better health outcomes</w:t>
      </w:r>
      <w:r>
        <w:t xml:space="preserve"> </w:t>
      </w:r>
      <w:r>
        <w:t xml:space="preserve">[2,3]</w:t>
      </w:r>
      <w:r>
        <w:t xml:space="preserve">, and so promoting physical activity may be a useful strategy for improving population health.</w:t>
      </w:r>
      <w:r>
        <w:t xml:space="preserve"> </w:t>
      </w:r>
      <w:r>
        <w:t xml:space="preserve">Public health messages should, therefore, emphasise the role of physical activity in promoting stable sleep schedules rather than framing physical activity as a universal solution for improving sleep.</w:t>
      </w:r>
      <w:r>
        <w:t xml:space="preserve"> </w:t>
      </w:r>
      <w:r>
        <w:t xml:space="preserve">We note, however, that we did not examine the these relationships in individuals with sleep disorders or other health conditions.</w:t>
      </w:r>
      <w:r>
        <w:t xml:space="preserve"> </w:t>
      </w:r>
      <w:r>
        <w:t xml:space="preserve">Physical activity interventions may still be a useful treatment for these conditions.</w:t>
      </w:r>
      <w:r>
        <w:t xml:space="preserve"> </w:t>
      </w:r>
      <w:r>
        <w:t xml:space="preserve">Promoting more regular sleep may also be a useful strategy for increasing physical activity, although our results suggest a limited benefit from targeting other aspects of sleep quality.</w:t>
      </w:r>
    </w:p>
    <w:p>
      <w:pPr>
        <w:pStyle w:val="Textkrper"/>
      </w:pPr>
      <w:r>
        <w:t xml:space="preserve">Our study has several strengths, including the use of device-based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using the full 24 hours of data,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We also chose to maximise the data available for analysis, at the expense of some precision in the estimates.</w:t>
      </w:r>
      <w:r>
        <w:t xml:space="preserve"> </w:t>
      </w:r>
      <w:r>
        <w:t xml:space="preserve">Specifically, we included participants with four or more nights of valid sleep, while some recommend at least seven nights to estimate metrics such as sleep regularity</w:t>
      </w:r>
      <w:r>
        <w:t xml:space="preserve"> </w:t>
      </w:r>
      <w:r>
        <w:t xml:space="preserve">[45]</w:t>
      </w:r>
      <w:r>
        <w:t xml:space="preserve">.</w:t>
      </w:r>
      <w:r>
        <w:t xml:space="preserve"> </w:t>
      </w:r>
      <w:r>
        <w:t xml:space="preserve">However, the processing method we used specifically allows for comparisons to day-pairs and this methodology has been used by others</w:t>
      </w:r>
      <w:r>
        <w:t xml:space="preserve"> </w:t>
      </w:r>
      <w:r>
        <w:t xml:space="preserve">[e.g., 44]</w:t>
      </w:r>
      <w:r>
        <w:t xml:space="preserve">.</w:t>
      </w:r>
      <w:r>
        <w:t xml:space="preserve"> </w:t>
      </w:r>
      <w:r>
        <w:t xml:space="preserve">Additionally, although we controlled for several potential confounders, there may still be unmeasured factors affecting the observed associations.</w:t>
      </w:r>
      <w:r>
        <w:t xml:space="preserve"> </w:t>
      </w:r>
      <w:r>
        <w:t xml:space="preserve"> </w:t>
      </w:r>
      <w:r>
        <w:t xml:space="preserve">Our imputation model included study, but not the remaining moderators or their interactions with physical activity and sleep.</w:t>
      </w:r>
      <w:r>
        <w:t xml:space="preserve"> </w:t>
      </w:r>
      <w:r>
        <w:t xml:space="preserve">It is therefore uncongenial with the analysis models, and moderator effects may be attenuated towards the null as a result.</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6"/>
    <w:bookmarkStart w:id="67" w:name="conclusion"/>
    <w:p>
      <w:pPr>
        <w:pStyle w:val="berschrift1"/>
      </w:pPr>
      <w:r>
        <w:t xml:space="preserve">Conclusion</w:t>
      </w:r>
    </w:p>
    <w:p>
      <w:pPr>
        <w:pStyle w:val="FirstParagraph"/>
      </w:pPr>
      <w:r>
        <w:t xml:space="preserve">Our findings contribute to the growing body of literature that highlights the complex relationship between physical activity and sleep.</w:t>
      </w:r>
      <w:r>
        <w:t xml:space="preserve"> </w:t>
      </w:r>
      <w:r>
        <w:t xml:space="preserve">While physical activity appears to benefit sleep regularity, its effects on other sleep metrics are less clear, particularly when considering age differences.</w:t>
      </w:r>
      <w:r>
        <w:t xml:space="preserve"> </w:t>
      </w:r>
      <w:r>
        <w:t xml:space="preserve">Future research should aim to explore mechanisms underlying these associations and identify specific intervention strategies that can effectively enhance both sleep and physical activity behaviours for diverse populations.</w:t>
      </w:r>
    </w:p>
    <w:p>
      <w:r>
        <w:br w:type="page"/>
      </w:r>
    </w:p>
    <w:bookmarkEnd w:id="67"/>
    <w:bookmarkStart w:id="159" w:name="references"/>
    <w:p>
      <w:pPr>
        <w:pStyle w:val="berschrift1"/>
      </w:pPr>
      <w:r>
        <w:t xml:space="preserve">References</w:t>
      </w:r>
    </w:p>
    <w:bookmarkStart w:id="158" w:name="refs"/>
    <w:bookmarkStart w:id="69"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8">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69"/>
    <w:bookmarkStart w:id="71" w:name="ref-huangSleepPhysicalActivity2022"/>
    <w:p>
      <w:pPr>
        <w:pStyle w:val="Literaturverzeichnis"/>
      </w:pPr>
      <w:r>
        <w:t xml:space="preserve">2.</w:t>
      </w:r>
      <w:r>
        <w:t xml:space="preserve"> </w:t>
      </w:r>
      <w:r>
        <w:t xml:space="preserve">	</w:t>
      </w:r>
      <w:r>
        <w:t xml:space="preserve">Huang BH, Duncan MJ, Cistulli PA, Nassar N, Hamer M, Stamatakis E.</w:t>
      </w:r>
      <w:r>
        <w:t xml:space="preserve"> </w:t>
      </w:r>
      <w:hyperlink r:id="rId70">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71"/>
    <w:bookmarkStart w:id="73" w:name="ref-kwokSelfReportedSleep2018"/>
    <w:p>
      <w:pPr>
        <w:pStyle w:val="Literaturverzeichnis"/>
      </w:pPr>
      <w:r>
        <w:t xml:space="preserve">3.</w:t>
      </w:r>
      <w:r>
        <w:t xml:space="preserve"> </w:t>
      </w:r>
      <w:r>
        <w:t xml:space="preserve">	</w:t>
      </w:r>
      <w:r>
        <w:t xml:space="preserve">Kwok CS, Kontopantelis E, Kuligowski G, Gray M, Muhyaldeen A, Gale CP, Peat GM, Cleator J, Chew-Graham C, Loke YK, Mamas MA.</w:t>
      </w:r>
      <w:r>
        <w:t xml:space="preserve"> </w:t>
      </w:r>
      <w:hyperlink r:id="rId72">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3"/>
    <w:bookmarkStart w:id="75" w:name="ref-maSleepDurationTotal2016"/>
    <w:p>
      <w:pPr>
        <w:pStyle w:val="Literaturverzeichnis"/>
      </w:pPr>
      <w:r>
        <w:t xml:space="preserve">4.</w:t>
      </w:r>
      <w:r>
        <w:t xml:space="preserve"> </w:t>
      </w:r>
      <w:r>
        <w:t xml:space="preserve">	</w:t>
      </w:r>
      <w:r>
        <w:t xml:space="preserve">Ma QQ, Yao Q, Lin L, Chen GC, Yu JB.</w:t>
      </w:r>
      <w:r>
        <w:t xml:space="preserve"> </w:t>
      </w:r>
      <w:hyperlink r:id="rId74">
        <w:r>
          <w:rPr>
            <w:rStyle w:val="Hyperlink"/>
          </w:rPr>
          <w:t xml:space="preserve">Sleep duration and total cancer mortality: A meta-analysis of prospective studies</w:t>
        </w:r>
      </w:hyperlink>
      <w:r>
        <w:t xml:space="preserve">. Sleep Medicine. 2016 Nov;27–28:39–44.</w:t>
      </w:r>
      <w:r>
        <w:t xml:space="preserve"> </w:t>
      </w:r>
    </w:p>
    <w:bookmarkEnd w:id="75"/>
    <w:bookmarkStart w:id="77" w:name="X346925cdfc2f52c89d96d4a14a2ac1b330702a3"/>
    <w:p>
      <w:pPr>
        <w:pStyle w:val="Literaturverzeichnis"/>
      </w:pPr>
      <w:r>
        <w:t xml:space="preserve">5.</w:t>
      </w:r>
      <w:r>
        <w:t xml:space="preserve"> </w:t>
      </w:r>
      <w:r>
        <w:t xml:space="preserve">	</w:t>
      </w:r>
      <w:r>
        <w:t xml:space="preserve">Wakefield JRH, Bowe M, Kellezi B, Butcher A, Groeger JA.</w:t>
      </w:r>
      <w:r>
        <w:t xml:space="preserve"> </w:t>
      </w:r>
      <w:hyperlink r:id="rId76">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7"/>
    <w:bookmarkStart w:id="79" w:name="ref-gariepyHowAreAdolescents2020"/>
    <w:p>
      <w:pPr>
        <w:pStyle w:val="Literaturverzeichnis"/>
      </w:pPr>
      <w:r>
        <w:t xml:space="preserve">6.</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78">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79"/>
    <w:bookmarkStart w:id="81" w:name="ref-liuPrevalenceHealthySleep2016"/>
    <w:p>
      <w:pPr>
        <w:pStyle w:val="Literaturverzeichnis"/>
      </w:pPr>
      <w:r>
        <w:t xml:space="preserve">7.</w:t>
      </w:r>
      <w:r>
        <w:t xml:space="preserve"> </w:t>
      </w:r>
      <w:r>
        <w:t xml:space="preserve">	</w:t>
      </w:r>
      <w:r>
        <w:t xml:space="preserve">Liu Y, Wheaton AG, Chapman DP, Cunningham TJ, Lu H, Croft JB.</w:t>
      </w:r>
      <w:r>
        <w:t xml:space="preserve"> </w:t>
      </w:r>
      <w:hyperlink r:id="rId80">
        <w:r>
          <w:rPr>
            <w:rStyle w:val="Hyperlink"/>
          </w:rPr>
          <w:t xml:space="preserve">Prevalence of</w:t>
        </w:r>
        <w:r>
          <w:rPr>
            <w:rStyle w:val="Hyperlink"/>
          </w:rPr>
          <w:t xml:space="preserve"> </w:t>
        </w:r>
        <w:r>
          <w:rPr>
            <w:rStyle w:val="Hyperlink"/>
          </w:rPr>
          <w:t xml:space="preserve">Healthy Sleep Duration</w:t>
        </w:r>
        <w:r>
          <w:rPr>
            <w:rStyle w:val="Hyperlink"/>
          </w:rPr>
          <w:t xml:space="preserve"> </w:t>
        </w:r>
        <w:r>
          <w:rPr>
            <w:rStyle w:val="Hyperlink"/>
          </w:rPr>
          <w:t xml:space="preserve">among</w:t>
        </w:r>
        <w:r>
          <w:rPr>
            <w:rStyle w:val="Hyperlink"/>
          </w:rPr>
          <w:t xml:space="preserve"> </w:t>
        </w:r>
        <w:r>
          <w:rPr>
            <w:rStyle w:val="Hyperlink"/>
          </w:rPr>
          <w:t xml:space="preserve">Adults–United States</w:t>
        </w:r>
        <w:r>
          <w:rPr>
            <w:rStyle w:val="Hyperlink"/>
          </w:rPr>
          <w:t xml:space="preserve">, 2014</w:t>
        </w:r>
      </w:hyperlink>
      <w:r>
        <w:t xml:space="preserve">. MMWR Morbidity and mortality weekly report. 2016 Feb;65(6):137–41.</w:t>
      </w:r>
      <w:r>
        <w:t xml:space="preserve"> </w:t>
      </w:r>
    </w:p>
    <w:bookmarkEnd w:id="81"/>
    <w:bookmarkStart w:id="83" w:name="X9f6eaf42f11165e1fa538473b177648f28db4e3"/>
    <w:p>
      <w:pPr>
        <w:pStyle w:val="Literaturverzeichnis"/>
      </w:pPr>
      <w:r>
        <w:t xml:space="preserve">8.</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82">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83"/>
    <w:bookmarkStart w:id="85" w:name="ref-klinePhysicalActivitySleep2021"/>
    <w:p>
      <w:pPr>
        <w:pStyle w:val="Literaturverzeichnis"/>
      </w:pPr>
      <w:r>
        <w:t xml:space="preserve">9.</w:t>
      </w:r>
      <w:r>
        <w:t xml:space="preserve"> </w:t>
      </w:r>
      <w:r>
        <w:t xml:space="preserve">	</w:t>
      </w:r>
      <w:r>
        <w:t xml:space="preserve">Kline CE, Hillman CH, Bloodgood Sheppard B, Tennant B, Conroy DE, Macko RF, Marquez DX, Petruzzello SJ, Powell KE, Erickson KI.</w:t>
      </w:r>
      <w:r>
        <w:t xml:space="preserve"> </w:t>
      </w:r>
      <w:hyperlink r:id="rId84">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85"/>
    <w:bookmarkStart w:id="87" w:name="ref-kredlowEffectsPhysicalActivity2015"/>
    <w:p>
      <w:pPr>
        <w:pStyle w:val="Literaturverzeichnis"/>
      </w:pPr>
      <w:r>
        <w:t xml:space="preserve">10.</w:t>
      </w:r>
      <w:r>
        <w:t xml:space="preserve"> </w:t>
      </w:r>
      <w:r>
        <w:t xml:space="preserve">	</w:t>
      </w:r>
      <w:r>
        <w:t xml:space="preserve">Kredlow MA, Capozzoli MC, Hearon BA, Calkins AW, Otto MW.</w:t>
      </w:r>
      <w:r>
        <w:t xml:space="preserve"> </w:t>
      </w:r>
      <w:hyperlink r:id="rId86">
        <w:r>
          <w:rPr>
            <w:rStyle w:val="Hyperlink"/>
          </w:rPr>
          <w:t xml:space="preserve">The effects of physical activity on sleep: A meta-analytic review</w:t>
        </w:r>
      </w:hyperlink>
      <w:r>
        <w:t xml:space="preserve">. Journal of Behavioral Medicine. 2015 June;38(3):427–49.</w:t>
      </w:r>
      <w:r>
        <w:t xml:space="preserve"> </w:t>
      </w:r>
    </w:p>
    <w:bookmarkEnd w:id="87"/>
    <w:bookmarkStart w:id="89" w:name="ref-antczakPhysicalActivitySleep2020"/>
    <w:p>
      <w:pPr>
        <w:pStyle w:val="Literaturverzeichnis"/>
      </w:pPr>
      <w:r>
        <w:t xml:space="preserve">11.</w:t>
      </w:r>
      <w:r>
        <w:t xml:space="preserve"> </w:t>
      </w:r>
      <w:r>
        <w:t xml:space="preserve">	</w:t>
      </w:r>
      <w:r>
        <w:t xml:space="preserve">Antczak D, Lonsdale C, Lee J, Hilland T, Duncan MJ, del Pozo Cruz B, Hulteen RM, Parker PD, Sanders T</w:t>
      </w:r>
      <w:r>
        <w:t xml:space="preserve">.</w:t>
      </w:r>
      <w:r>
        <w:t xml:space="preserve"> </w:t>
      </w:r>
      <w:hyperlink r:id="rId8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89"/>
    <w:bookmarkStart w:id="91" w:name="ref-langRelationshipPhysicalActivity2016"/>
    <w:p>
      <w:pPr>
        <w:pStyle w:val="Literaturverzeichnis"/>
      </w:pPr>
      <w:r>
        <w:t xml:space="preserve">12.</w:t>
      </w:r>
      <w:r>
        <w:t xml:space="preserve"> </w:t>
      </w:r>
      <w:r>
        <w:t xml:space="preserve">	</w:t>
      </w:r>
      <w:r>
        <w:t xml:space="preserve">Lang C, Kalak N, Brand S, Holsboer-Trachsler E, Pühse U, Gerber M.</w:t>
      </w:r>
      <w:r>
        <w:t xml:space="preserve"> </w:t>
      </w:r>
      <w:hyperlink r:id="rId9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91"/>
    <w:bookmarkStart w:id="93" w:name="ref-aielloEffectExerciseTraining2016"/>
    <w:p>
      <w:pPr>
        <w:pStyle w:val="Literaturverzeichnis"/>
      </w:pPr>
      <w:r>
        <w:t xml:space="preserve">13.</w:t>
      </w:r>
      <w:r>
        <w:t xml:space="preserve"> </w:t>
      </w:r>
      <w:r>
        <w:t xml:space="preserve">	</w:t>
      </w:r>
      <w:r>
        <w:t xml:space="preserve">Aiello KD, Caughey WG, Nelluri B, Sharma A, Mookadam F, Mookadam M.</w:t>
      </w:r>
      <w:r>
        <w:t xml:space="preserve"> </w:t>
      </w:r>
      <w:hyperlink r:id="rId92">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93"/>
    <w:bookmarkStart w:id="95" w:name="ref-bannoExerciseCanImprove2018"/>
    <w:p>
      <w:pPr>
        <w:pStyle w:val="Literaturverzeichnis"/>
      </w:pPr>
      <w:r>
        <w:t xml:space="preserve">14.</w:t>
      </w:r>
      <w:r>
        <w:t xml:space="preserve"> </w:t>
      </w:r>
      <w:r>
        <w:t xml:space="preserve">	</w:t>
      </w:r>
      <w:r>
        <w:t xml:space="preserve">Banno M, Harada Y, Taniguchi M, Tobita R, Tsujimoto H, Tsujimoto Y, Kataoka Y, Noda A.</w:t>
      </w:r>
      <w:r>
        <w:t xml:space="preserve"> </w:t>
      </w:r>
      <w:hyperlink r:id="rId94">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95"/>
    <w:bookmarkStart w:id="97" w:name="ref-bartelProtectiveRiskFactors2015"/>
    <w:p>
      <w:pPr>
        <w:pStyle w:val="Literaturverzeichnis"/>
      </w:pPr>
      <w:r>
        <w:t xml:space="preserve">15.</w:t>
      </w:r>
      <w:r>
        <w:t xml:space="preserve"> </w:t>
      </w:r>
      <w:r>
        <w:t xml:space="preserve">	</w:t>
      </w:r>
      <w:r>
        <w:t xml:space="preserve">Bartel KA, Gradisar M, Williamson P.</w:t>
      </w:r>
      <w:r>
        <w:t xml:space="preserve"> </w:t>
      </w:r>
      <w:hyperlink r:id="rId96">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June;21:72–85.</w:t>
      </w:r>
      <w:r>
        <w:t xml:space="preserve"> </w:t>
      </w:r>
    </w:p>
    <w:bookmarkEnd w:id="97"/>
    <w:bookmarkStart w:id="99" w:name="ref-edwardsAssessingImpactDiet2019"/>
    <w:p>
      <w:pPr>
        <w:pStyle w:val="Literaturverzeichnis"/>
      </w:pPr>
      <w:r>
        <w:t xml:space="preserve">16.</w:t>
      </w:r>
      <w:r>
        <w:t xml:space="preserve"> </w:t>
      </w:r>
      <w:r>
        <w:t xml:space="preserve">	</w:t>
      </w:r>
      <w:r>
        <w:t xml:space="preserve">Edwards BA, Bristow C, O’Driscoll DM, Wong A-M, Ghazi L, Davidson ZE, Young A, Truby H, Haines TP, Hamilton GS.</w:t>
      </w:r>
      <w:r>
        <w:t xml:space="preserve"> </w:t>
      </w:r>
      <w:hyperlink r:id="rId98">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99"/>
    <w:bookmarkStart w:id="101" w:name="ref-gaoShorttermEfficacyMinimally2019"/>
    <w:p>
      <w:pPr>
        <w:pStyle w:val="Literaturverzeichnis"/>
      </w:pPr>
      <w:r>
        <w:t xml:space="preserve">17.</w:t>
      </w:r>
      <w:r>
        <w:t xml:space="preserve"> </w:t>
      </w:r>
      <w:r>
        <w:t xml:space="preserve">	</w:t>
      </w:r>
      <w:r>
        <w:t xml:space="preserve">Gao Y-N, Wu Y-C, Lin S-Y, Chang JZ-C, Tu Y-K.</w:t>
      </w:r>
      <w:r>
        <w:t xml:space="preserve"> </w:t>
      </w:r>
      <w:hyperlink r:id="rId100">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01"/>
    <w:bookmarkStart w:id="103" w:name="ref-iftikharComparativeEfficacyCPAP2017"/>
    <w:p>
      <w:pPr>
        <w:pStyle w:val="Literaturverzeichnis"/>
      </w:pPr>
      <w:r>
        <w:t xml:space="preserve">18.</w:t>
      </w:r>
      <w:r>
        <w:t xml:space="preserve"> </w:t>
      </w:r>
      <w:r>
        <w:t xml:space="preserve">	</w:t>
      </w:r>
      <w:r>
        <w:t xml:space="preserve">Iftikhar IH, Bittencourt L, Youngstedt SD, Ayas N, Cistulli P, Schwab R, Durkin MW, Magalang UJ.</w:t>
      </w:r>
      <w:r>
        <w:t xml:space="preserve"> </w:t>
      </w:r>
      <w:hyperlink r:id="rId102">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03"/>
    <w:bookmarkStart w:id="105" w:name="ref-iftikharEffectsExerciseTraining2014"/>
    <w:p>
      <w:pPr>
        <w:pStyle w:val="Literaturverzeichnis"/>
      </w:pPr>
      <w:r>
        <w:t xml:space="preserve">19.</w:t>
      </w:r>
      <w:r>
        <w:t xml:space="preserve"> </w:t>
      </w:r>
      <w:r>
        <w:t xml:space="preserve">	</w:t>
      </w:r>
      <w:r>
        <w:t xml:space="preserve">Iftikhar IH, Kline CE, Youngstedt SD.</w:t>
      </w:r>
      <w:r>
        <w:t xml:space="preserve"> </w:t>
      </w:r>
      <w:hyperlink r:id="rId104">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05"/>
    <w:bookmarkStart w:id="107" w:name="ref-janssenAssociationsScreenTime2020"/>
    <w:p>
      <w:pPr>
        <w:pStyle w:val="Literaturverzeichnis"/>
      </w:pPr>
      <w:r>
        <w:t xml:space="preserve">20.</w:t>
      </w:r>
      <w:r>
        <w:t xml:space="preserve"> </w:t>
      </w:r>
      <w:r>
        <w:t xml:space="preserve">	</w:t>
      </w:r>
      <w:r>
        <w:t xml:space="preserve">Janssen X, Martin A, Hughes AR, Hill CM, Kotronoulas G, Hesketh KR.</w:t>
      </w:r>
      <w:r>
        <w:t xml:space="preserve"> </w:t>
      </w:r>
      <w:hyperlink r:id="rId106">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07"/>
    <w:bookmarkStart w:id="109" w:name="ref-ledermanDoesExerciseImprove2019"/>
    <w:p>
      <w:pPr>
        <w:pStyle w:val="Literaturverzeichnis"/>
      </w:pPr>
      <w:r>
        <w:t xml:space="preserve">21.</w:t>
      </w:r>
      <w:r>
        <w:t xml:space="preserve"> </w:t>
      </w:r>
      <w:r>
        <w:t xml:space="preserve">	</w:t>
      </w:r>
      <w:r>
        <w:t xml:space="preserve">Lederman O, Ward PB, Firth J, Maloney C, Carney R, Vancampfort D, Stubbs B, Kalucy M, Rosenbaum S.</w:t>
      </w:r>
      <w:r>
        <w:t xml:space="preserve"> </w:t>
      </w:r>
      <w:hyperlink r:id="rId108">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09"/>
    <w:bookmarkStart w:id="111" w:name="ref-lins-filhoEffectExerciseTraining2020"/>
    <w:p>
      <w:pPr>
        <w:pStyle w:val="Literaturverzeichnis"/>
      </w:pPr>
      <w:r>
        <w:t xml:space="preserve">22.</w:t>
      </w:r>
      <w:r>
        <w:t xml:space="preserve"> </w:t>
      </w:r>
      <w:r>
        <w:t xml:space="preserve">	</w:t>
      </w:r>
      <w:r>
        <w:t xml:space="preserve">Lins-Filho OL, Pedrosa RP, Gomes JML, Dantas Moraes SL, Vasconcelos BCE, Lemos CAA, Pellizzer EP.</w:t>
      </w:r>
      <w:r>
        <w:t xml:space="preserve"> </w:t>
      </w:r>
      <w:hyperlink r:id="rId110">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11"/>
    <w:bookmarkStart w:id="113" w:name="ref-mendelsonObstructiveSleepApnea2018"/>
    <w:p>
      <w:pPr>
        <w:pStyle w:val="Literaturverzeichnis"/>
      </w:pPr>
      <w:r>
        <w:t xml:space="preserve">23.</w:t>
      </w:r>
      <w:r>
        <w:t xml:space="preserve"> </w:t>
      </w:r>
      <w:r>
        <w:t xml:space="preserve">	</w:t>
      </w:r>
      <w:r>
        <w:t xml:space="preserve">Mendelson M, Bailly S, Marillier M, Flore P, Borel JC, Vivodtzev I, Doutreleau S, Verges S, Tamisier R, Pépin J-L.</w:t>
      </w:r>
      <w:r>
        <w:t xml:space="preserve"> </w:t>
      </w:r>
      <w:hyperlink r:id="rId112">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13"/>
    <w:bookmarkStart w:id="115" w:name="ref-rubio-ariasEffectExerciseSleep2017"/>
    <w:p>
      <w:pPr>
        <w:pStyle w:val="Literaturverzeichnis"/>
      </w:pPr>
      <w:r>
        <w:t xml:space="preserve">24.</w:t>
      </w:r>
      <w:r>
        <w:t xml:space="preserve"> </w:t>
      </w:r>
      <w:r>
        <w:t xml:space="preserve">	</w:t>
      </w:r>
      <w:r>
        <w:t xml:space="preserve">Rubio-Arias JÁ, Marín-Cascales E, Ramos-Campo DJ, Hernandez AV, Pérez-López FR.</w:t>
      </w:r>
      <w:r>
        <w:t xml:space="preserve"> </w:t>
      </w:r>
      <w:hyperlink r:id="rId114">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15"/>
    <w:bookmarkStart w:id="117" w:name="ref-stutzEffectsEveningExercise2019"/>
    <w:p>
      <w:pPr>
        <w:pStyle w:val="Literaturverzeichnis"/>
      </w:pPr>
      <w:r>
        <w:t xml:space="preserve">25.</w:t>
      </w:r>
      <w:r>
        <w:t xml:space="preserve"> </w:t>
      </w:r>
      <w:r>
        <w:t xml:space="preserve">	</w:t>
      </w:r>
      <w:r>
        <w:t xml:space="preserve">Stutz J, Eiholzer R, Spengler CM.</w:t>
      </w:r>
      <w:r>
        <w:t xml:space="preserve"> </w:t>
      </w:r>
      <w:hyperlink r:id="rId116">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17"/>
    <w:bookmarkStart w:id="119" w:name="ref-yangEffectsExerciseSleep2020"/>
    <w:p>
      <w:pPr>
        <w:pStyle w:val="Literaturverzeichnis"/>
      </w:pPr>
      <w:r>
        <w:t xml:space="preserve">26.</w:t>
      </w:r>
      <w:r>
        <w:t xml:space="preserve"> </w:t>
      </w:r>
      <w:r>
        <w:t xml:space="preserve">	</w:t>
      </w:r>
      <w:r>
        <w:t xml:space="preserve">Yang S-Y, Lan S-J, Yen Y-Y, Hsieh Y-P, Kung P-T, Lan S-H.</w:t>
      </w:r>
      <w:r>
        <w:t xml:space="preserve"> </w:t>
      </w:r>
      <w:hyperlink r:id="rId118">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 Asian Nursing Research. 2020;14(1):1–10.</w:t>
      </w:r>
      <w:r>
        <w:t xml:space="preserve"> </w:t>
      </w:r>
    </w:p>
    <w:bookmarkEnd w:id="119"/>
    <w:bookmarkStart w:id="121" w:name="ref-yangExerciseTrainingImproves2012"/>
    <w:p>
      <w:pPr>
        <w:pStyle w:val="Literaturverzeichnis"/>
      </w:pPr>
      <w:r>
        <w:t xml:space="preserve">27.</w:t>
      </w:r>
      <w:r>
        <w:t xml:space="preserve"> </w:t>
      </w:r>
      <w:r>
        <w:t xml:space="preserve">	</w:t>
      </w:r>
      <w:r>
        <w:t xml:space="preserve">Yang P-Y, Ho K-H, Chen H-C, Chien M-Y.</w:t>
      </w:r>
      <w:r>
        <w:t xml:space="preserve"> </w:t>
      </w:r>
      <w:hyperlink r:id="rId120">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21"/>
    <w:bookmarkStart w:id="123" w:name="ref-yangSedentaryBehaviorSleep2017"/>
    <w:p>
      <w:pPr>
        <w:pStyle w:val="Literaturverzeichnis"/>
      </w:pPr>
      <w:r>
        <w:t xml:space="preserve">28.</w:t>
      </w:r>
      <w:r>
        <w:t xml:space="preserve"> </w:t>
      </w:r>
      <w:r>
        <w:t xml:space="preserve">	</w:t>
      </w:r>
      <w:r>
        <w:t xml:space="preserve">Yang Y, Shin JC, Li D, An R.</w:t>
      </w:r>
      <w:r>
        <w:t xml:space="preserve"> </w:t>
      </w:r>
      <w:hyperlink r:id="rId122">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23"/>
    <w:bookmarkStart w:id="125" w:name="ref-rileyUsingIndividualParticipant2023"/>
    <w:p>
      <w:pPr>
        <w:pStyle w:val="Literaturverzeichnis"/>
      </w:pPr>
      <w:r>
        <w:t xml:space="preserve">29.</w:t>
      </w:r>
      <w:r>
        <w:t xml:space="preserve"> </w:t>
      </w:r>
      <w:r>
        <w:t xml:space="preserve">	</w:t>
      </w:r>
      <w:r>
        <w:t xml:space="preserve">Riley RD, Dias S, Donegan S, Tierney JF, Stewart LA, Efthimiou O, Phillippo DM.</w:t>
      </w:r>
      <w:r>
        <w:t xml:space="preserve"> </w:t>
      </w:r>
      <w:hyperlink r:id="rId124">
        <w:r>
          <w:rPr>
            <w:rStyle w:val="Hyperlink"/>
          </w:rPr>
          <w:t xml:space="preserve">Using individual participant data to improve network meta-analysis projects</w:t>
        </w:r>
      </w:hyperlink>
      <w:r>
        <w:t xml:space="preserve">. BMJ Evidence-Based Medicine. 2023 June;28(3):197–203.</w:t>
      </w:r>
      <w:r>
        <w:t xml:space="preserve"> </w:t>
      </w:r>
    </w:p>
    <w:bookmarkEnd w:id="125"/>
    <w:bookmarkStart w:id="127" w:name="Xa0cbe05eccacccf17bde02d7669b1fb01f31efd"/>
    <w:p>
      <w:pPr>
        <w:pStyle w:val="Literaturverzeichnis"/>
      </w:pPr>
      <w:r>
        <w:t xml:space="preserve">30.</w:t>
      </w:r>
      <w:r>
        <w:t xml:space="preserve"> </w:t>
      </w:r>
      <w:r>
        <w:t xml:space="preserve">	</w:t>
      </w:r>
      <w:r>
        <w:t xml:space="preserve">Ioannidis J.</w:t>
      </w:r>
      <w:r>
        <w:t xml:space="preserve"> </w:t>
      </w:r>
      <w:hyperlink r:id="rId126">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27"/>
    <w:bookmarkStart w:id="129" w:name="X48b2c7764fd235bdd97ded4effee72a4c88fe29"/>
    <w:p>
      <w:pPr>
        <w:pStyle w:val="Literaturverzeichnis"/>
      </w:pPr>
      <w:r>
        <w:t xml:space="preserve">31.</w:t>
      </w:r>
      <w:r>
        <w:t xml:space="preserve"> </w:t>
      </w:r>
      <w:r>
        <w:t xml:space="preserve">	</w:t>
      </w:r>
      <w:r>
        <w:t xml:space="preserve">Hinde S, Spackman E.</w:t>
      </w:r>
      <w:r>
        <w:t xml:space="preserve"> </w:t>
      </w:r>
      <w:hyperlink r:id="rId128">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29"/>
    <w:bookmarkStart w:id="131" w:name="ref-miguelesGGIRResearchCommunity2019"/>
    <w:p>
      <w:pPr>
        <w:pStyle w:val="Literaturverzeichnis"/>
      </w:pPr>
      <w:r>
        <w:t xml:space="preserve">32.</w:t>
      </w:r>
      <w:r>
        <w:t xml:space="preserve"> </w:t>
      </w:r>
      <w:r>
        <w:t xml:space="preserve">	</w:t>
      </w:r>
      <w:r>
        <w:t xml:space="preserve">Migueles JH, Rowlands AV, Huber F, Sabia S, Van Hees VT.</w:t>
      </w:r>
      <w:r>
        <w:t xml:space="preserve"> </w:t>
      </w:r>
      <w:hyperlink r:id="rId130">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31"/>
    <w:bookmarkStart w:id="133" w:name="ref-vanheesEstimatingSleepParameters2018"/>
    <w:p>
      <w:pPr>
        <w:pStyle w:val="Literaturverzeichnis"/>
      </w:pPr>
      <w:r>
        <w:t xml:space="preserve">33.</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32">
        <w:r>
          <w:rPr>
            <w:rStyle w:val="Hyperlink"/>
          </w:rPr>
          <w:t xml:space="preserve">Estimating sleep parameters using an accelerometer without sleep diary</w:t>
        </w:r>
      </w:hyperlink>
      <w:r>
        <w:t xml:space="preserve">. Scientific Reports. 2018 Aug;8(1).</w:t>
      </w:r>
      <w:r>
        <w:t xml:space="preserve"> </w:t>
      </w:r>
    </w:p>
    <w:bookmarkEnd w:id="133"/>
    <w:bookmarkStart w:id="135" w:name="Xbe20fa38378946dc0b1773dd99972809ef5fd5a"/>
    <w:p>
      <w:pPr>
        <w:pStyle w:val="Literaturverzeichnis"/>
      </w:pPr>
      <w:r>
        <w:t xml:space="preserve">34.</w:t>
      </w:r>
      <w:r>
        <w:t xml:space="preserve"> </w:t>
      </w:r>
      <w:r>
        <w:t xml:space="preserve">	</w:t>
      </w:r>
      <w:r>
        <w:t xml:space="preserve">Rowlands AV, Plekhanova T, Yates T, Mirkes EM, Davies M, Khunti K, Edwardson CL.</w:t>
      </w:r>
      <w:r>
        <w:t xml:space="preserve"> </w:t>
      </w:r>
      <w:hyperlink r:id="rId134">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35"/>
    <w:bookmarkStart w:id="137" w:name="X604bed0f69fd81ef683c99aa873c9b58e271a81"/>
    <w:p>
      <w:pPr>
        <w:pStyle w:val="Literaturverzeichnis"/>
      </w:pPr>
      <w:r>
        <w:t xml:space="preserve">35.</w:t>
      </w:r>
      <w:r>
        <w:t xml:space="preserve"> </w:t>
      </w:r>
      <w:r>
        <w:t xml:space="preserve">	</w:t>
      </w:r>
      <w:r>
        <w:t xml:space="preserve">Rowlands AV.</w:t>
      </w:r>
      <w:r>
        <w:t xml:space="preserve"> </w:t>
      </w:r>
      <w:hyperlink r:id="rId136">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37"/>
    <w:bookmarkStart w:id="139" w:name="X43174f17c57b130f8bcfaa5ce76066a2d121af0"/>
    <w:p>
      <w:pPr>
        <w:pStyle w:val="Literaturverzeichnis"/>
      </w:pPr>
      <w:r>
        <w:t xml:space="preserve">36.</w:t>
      </w:r>
      <w:r>
        <w:t xml:space="preserve"> </w:t>
      </w:r>
      <w:r>
        <w:t xml:space="preserve">	</w:t>
      </w:r>
      <w:r>
        <w:t xml:space="preserve">Rowlands AV, Dawkins NP, Maylor B, Edwardson CL, Fairclough SJ, Davies MJ, Harrington DM, Khunti K, Yates T.</w:t>
      </w:r>
      <w:r>
        <w:t xml:space="preserve"> </w:t>
      </w:r>
      <w:hyperlink r:id="rId138">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39"/>
    <w:bookmarkStart w:id="141" w:name="ref-rowlandsDatadrivenMeaningfulEasy2019"/>
    <w:p>
      <w:pPr>
        <w:pStyle w:val="Literaturverzeichnis"/>
      </w:pPr>
      <w:r>
        <w:t xml:space="preserve">37.</w:t>
      </w:r>
      <w:r>
        <w:t xml:space="preserve"> </w:t>
      </w:r>
      <w:r>
        <w:t xml:space="preserve">	</w:t>
      </w:r>
      <w:r>
        <w:t xml:space="preserve">Rowlands AV, Sherar LB, Fairclough SJ, Yates T, Edwardson CL, Harrington DM, Davies MJ, Munir F, Khunti K, Stiles VH.</w:t>
      </w:r>
      <w:r>
        <w:t xml:space="preserve"> </w:t>
      </w:r>
      <w:hyperlink r:id="rId140">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41"/>
    <w:bookmarkStart w:id="143" w:name="ref-gabaHowShortSleepers2020"/>
    <w:p>
      <w:pPr>
        <w:pStyle w:val="Literaturverzeichnis"/>
      </w:pPr>
      <w:r>
        <w:t xml:space="preserve">38.</w:t>
      </w:r>
      <w:r>
        <w:t xml:space="preserve"> </w:t>
      </w:r>
      <w:r>
        <w:t xml:space="preserve">	</w:t>
      </w:r>
      <w:r>
        <w:t xml:space="preserve">Gába A, Dygrýn J, Štefelová N, Rubín L, Hron K, Jakubec L, Pedišić Ž.</w:t>
      </w:r>
      <w:r>
        <w:t xml:space="preserve"> </w:t>
      </w:r>
      <w:hyperlink r:id="rId142">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43"/>
    <w:bookmarkStart w:id="145" w:name="ref-vanheesSeparatingMovementGravity2013"/>
    <w:p>
      <w:pPr>
        <w:pStyle w:val="Literaturverzeichnis"/>
      </w:pPr>
      <w:r>
        <w:t xml:space="preserve">39.</w:t>
      </w:r>
      <w:r>
        <w:t xml:space="preserve"> </w:t>
      </w:r>
      <w:r>
        <w:t xml:space="preserve">	</w:t>
      </w:r>
      <w:r>
        <w:t xml:space="preserve">Van Hees VT, Gorzelniak L, Dean León EC, Eder M, Pias M, Taherian S, Ekelund U, Renström F, Franks PW, Horsch A, Brage S.</w:t>
      </w:r>
      <w:r>
        <w:t xml:space="preserve"> </w:t>
      </w:r>
      <w:hyperlink r:id="rId144">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45"/>
    <w:bookmarkStart w:id="147" w:name="X022f3831132bc70b1c35b8637c58a02b68d7942"/>
    <w:p>
      <w:pPr>
        <w:pStyle w:val="Literaturverzeichnis"/>
      </w:pPr>
      <w:r>
        <w:t xml:space="preserve">40.</w:t>
      </w:r>
      <w:r>
        <w:t xml:space="preserve"> </w:t>
      </w:r>
      <w:r>
        <w:t xml:space="preserve">	</w:t>
      </w:r>
      <w:r>
        <w:t xml:space="preserve">Weston SJ, Ritchie SJ, Rohrer JM, Przybylski AK.</w:t>
      </w:r>
      <w:r>
        <w:t xml:space="preserve"> </w:t>
      </w:r>
      <w:hyperlink r:id="rId146">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47"/>
    <w:bookmarkStart w:id="149" w:name="ref-maccounBlindAnalysisHide2015"/>
    <w:p>
      <w:pPr>
        <w:pStyle w:val="Literaturverzeichnis"/>
      </w:pPr>
      <w:r>
        <w:t xml:space="preserve">41.</w:t>
      </w:r>
      <w:r>
        <w:t xml:space="preserve"> </w:t>
      </w:r>
      <w:r>
        <w:t xml:space="preserve">	</w:t>
      </w:r>
      <w:r>
        <w:t xml:space="preserve">MacCoun R, Perlmutter S.</w:t>
      </w:r>
      <w:r>
        <w:t xml:space="preserve"> </w:t>
      </w:r>
      <w:hyperlink r:id="rId148">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49"/>
    <w:bookmarkStart w:id="151" w:name="ref-buurenMiceMultivariateImputation2011"/>
    <w:p>
      <w:pPr>
        <w:pStyle w:val="Literaturverzeichnis"/>
      </w:pPr>
      <w:r>
        <w:t xml:space="preserve">42.</w:t>
      </w:r>
      <w:r>
        <w:t xml:space="preserve"> </w:t>
      </w:r>
      <w:r>
        <w:t xml:space="preserve">	</w:t>
      </w:r>
      <w:r>
        <w:t xml:space="preserve">Buuren SV, Groothuis-Oudshoorn K.</w:t>
      </w:r>
      <w:r>
        <w:t xml:space="preserve"> </w:t>
      </w:r>
      <w:hyperlink r:id="rId150">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51"/>
    <w:bookmarkStart w:id="153" w:name="ref-curranIntegrativeDataAnalysis2009"/>
    <w:p>
      <w:pPr>
        <w:pStyle w:val="Literaturverzeichnis"/>
      </w:pPr>
      <w:r>
        <w:t xml:space="preserve">43.</w:t>
      </w:r>
      <w:r>
        <w:t xml:space="preserve"> </w:t>
      </w:r>
      <w:r>
        <w:t xml:space="preserve">	</w:t>
      </w:r>
      <w:r>
        <w:t xml:space="preserve">Curran PJ, Hussong AM.</w:t>
      </w:r>
      <w:r>
        <w:t xml:space="preserve"> </w:t>
      </w:r>
      <w:hyperlink r:id="rId152">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53"/>
    <w:bookmarkStart w:id="155" w:name="ref-windredSleepRegularityStronger2024"/>
    <w:p>
      <w:pPr>
        <w:pStyle w:val="Literaturverzeichnis"/>
      </w:pPr>
      <w:r>
        <w:t xml:space="preserve">44.</w:t>
      </w:r>
      <w:r>
        <w:t xml:space="preserve"> </w:t>
      </w:r>
      <w:r>
        <w:t xml:space="preserve">	</w:t>
      </w:r>
      <w:r>
        <w:t xml:space="preserve">Windred DP, Burns AC, Lane JM, Saxena R, Rutter MK, Cain SW, Phillips AJK.</w:t>
      </w:r>
      <w:r>
        <w:t xml:space="preserve"> </w:t>
      </w:r>
      <w:hyperlink r:id="rId154">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55"/>
    <w:bookmarkStart w:id="157" w:name="ref-lokHowManyDays2024"/>
    <w:p>
      <w:pPr>
        <w:pStyle w:val="Literaturverzeichnis"/>
      </w:pPr>
      <w:r>
        <w:t xml:space="preserve">45.</w:t>
      </w:r>
      <w:r>
        <w:t xml:space="preserve"> </w:t>
      </w:r>
      <w:r>
        <w:t xml:space="preserve">	</w:t>
      </w:r>
      <w:r>
        <w:t xml:space="preserve">Lok R, Suh S, Rue S, Weed L, Zeitzer JM.</w:t>
      </w:r>
      <w:r>
        <w:t xml:space="preserve"> </w:t>
      </w:r>
      <w:hyperlink r:id="rId156">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157"/>
    <w:bookmarkEnd w:id="158"/>
    <w:p>
      <w:r>
        <w:br w:type="page"/>
      </w:r>
    </w:p>
    <w:bookmarkEnd w:id="159"/>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60" Target="media/rId60.jpg" /><Relationship Type="http://schemas.openxmlformats.org/officeDocument/2006/relationships/image" Id="rId50" Target="media/rId50.jpg" /><Relationship Type="http://schemas.openxmlformats.org/officeDocument/2006/relationships/image" Id="rId34" Target="media/rId34.jpg" /><Relationship Type="http://schemas.openxmlformats.org/officeDocument/2006/relationships/image" Id="rId55" Target="media/rId55.jpg" /><Relationship Type="http://schemas.openxmlformats.org/officeDocument/2006/relationships/image" Id="rId45" Target="media/rId45.jpg" /><Relationship Type="http://schemas.openxmlformats.org/officeDocument/2006/relationships/image" Id="rId39" Target="media/rId39.jpg" /><Relationship Type="http://schemas.openxmlformats.org/officeDocument/2006/relationships/hyperlink" Id="rId104" Target="https://doi.org/10.1007/s00408-013-9511-3" TargetMode="External" /><Relationship Type="http://schemas.openxmlformats.org/officeDocument/2006/relationships/hyperlink" Id="rId86" Target="https://doi.org/10.1007/s10865-015-9617-6" TargetMode="External" /><Relationship Type="http://schemas.openxmlformats.org/officeDocument/2006/relationships/hyperlink" Id="rId122" Target="https://doi.org/10.1007/s12529-016-9609-0" TargetMode="External" /><Relationship Type="http://schemas.openxmlformats.org/officeDocument/2006/relationships/hyperlink" Id="rId128" Target="https://doi.org/10.1007/s40273-014-0205-3" TargetMode="External" /><Relationship Type="http://schemas.openxmlformats.org/officeDocument/2006/relationships/hyperlink" Id="rId116" Target="https://doi.org/10.1007/s40279-018-1015-0" TargetMode="External" /><Relationship Type="http://schemas.openxmlformats.org/officeDocument/2006/relationships/hyperlink" Id="rId120" Target="https://doi.org/10.1016/S1836-9553(12)70106-6" TargetMode="External" /><Relationship Type="http://schemas.openxmlformats.org/officeDocument/2006/relationships/hyperlink" Id="rId118" Target="https://doi.org/10.1016/j.anr.2020.01.003" TargetMode="External" /><Relationship Type="http://schemas.openxmlformats.org/officeDocument/2006/relationships/hyperlink" Id="rId78" Target="https://doi.org/10.1016/j.jadohealth.2020.03.013" TargetMode="External" /><Relationship Type="http://schemas.openxmlformats.org/officeDocument/2006/relationships/hyperlink" Id="rId100" Target="https://doi.org/10.1016/j.jfma.2018.02.008" TargetMode="External" /><Relationship Type="http://schemas.openxmlformats.org/officeDocument/2006/relationships/hyperlink" Id="rId108" Target="https://doi.org/10.1016/j.jpsychires.2018.11.004" TargetMode="External" /><Relationship Type="http://schemas.openxmlformats.org/officeDocument/2006/relationships/hyperlink" Id="rId140" Target="https://doi.org/10.1016/j.jsams.2019.06.016" TargetMode="External" /><Relationship Type="http://schemas.openxmlformats.org/officeDocument/2006/relationships/hyperlink" Id="rId114" Target="https://doi.org/10.1016/j.maturitas.2017.04.003" TargetMode="External" /><Relationship Type="http://schemas.openxmlformats.org/officeDocument/2006/relationships/hyperlink" Id="rId92" Target="https://doi.org/10.1016/j.rmed.2016.05.015" TargetMode="External" /><Relationship Type="http://schemas.openxmlformats.org/officeDocument/2006/relationships/hyperlink" Id="rId102" Target="https://doi.org/10.1016/j.sleep.2016.06.001" TargetMode="External" /><Relationship Type="http://schemas.openxmlformats.org/officeDocument/2006/relationships/hyperlink" Id="rId74" Target="https://doi.org/10.1016/j.sleep.2016.06.036" TargetMode="External" /><Relationship Type="http://schemas.openxmlformats.org/officeDocument/2006/relationships/hyperlink" Id="rId110" Target="https://doi.org/10.1016/j.sleep.2019.12.022" TargetMode="External" /><Relationship Type="http://schemas.openxmlformats.org/officeDocument/2006/relationships/hyperlink" Id="rId82" Target="https://doi.org/10.1016/j.sleh.2015.10.004" TargetMode="External" /><Relationship Type="http://schemas.openxmlformats.org/officeDocument/2006/relationships/hyperlink" Id="rId96" Target="https://doi.org/10.1016/j.smrv.2014.08.002" TargetMode="External" /><Relationship Type="http://schemas.openxmlformats.org/officeDocument/2006/relationships/hyperlink" Id="rId90" Target="https://doi.org/10.1016/j.smrv.2015.07.004" TargetMode="External" /><Relationship Type="http://schemas.openxmlformats.org/officeDocument/2006/relationships/hyperlink" Id="rId106" Target="https://doi.org/10.1016/j.smrv.2019.101226" TargetMode="External" /><Relationship Type="http://schemas.openxmlformats.org/officeDocument/2006/relationships/hyperlink" Id="rId88" Target="https://doi.org/10.1016/j.smrv.2020.101278" TargetMode="External" /><Relationship Type="http://schemas.openxmlformats.org/officeDocument/2006/relationships/hyperlink" Id="rId84" Target="https://doi.org/10.1016/j.smrv.2021.101489" TargetMode="External" /><Relationship Type="http://schemas.openxmlformats.org/officeDocument/2006/relationships/hyperlink" Id="rId152" Target="https://doi.org/10.1037/a0015914" TargetMode="External" /><Relationship Type="http://schemas.openxmlformats.org/officeDocument/2006/relationships/hyperlink" Id="rId148" Target="https://doi.org/10.1038/526187a" TargetMode="External" /><Relationship Type="http://schemas.openxmlformats.org/officeDocument/2006/relationships/hyperlink" Id="rId132" Target="https://doi.org/10.1038/s41598-018-31266-z" TargetMode="External" /><Relationship Type="http://schemas.openxmlformats.org/officeDocument/2006/relationships/hyperlink" Id="rId154" Target="https://doi.org/10.1093/sleep/zsad253" TargetMode="External" /><Relationship Type="http://schemas.openxmlformats.org/officeDocument/2006/relationships/hyperlink" Id="rId76" Target="https://doi.org/10.1111/bjhp.12391" TargetMode="External" /><Relationship Type="http://schemas.openxmlformats.org/officeDocument/2006/relationships/hyperlink" Id="rId156" Target="https://doi.org/10.1111/jsr.14332" TargetMode="External" /><Relationship Type="http://schemas.openxmlformats.org/officeDocument/2006/relationships/hyperlink" Id="rId98" Target="https://doi.org/10.1111/resp.13580" TargetMode="External" /><Relationship Type="http://schemas.openxmlformats.org/officeDocument/2006/relationships/hyperlink" Id="rId130" Target="https://doi.org/10.1123/jmpb.2018-0063" TargetMode="External" /><Relationship Type="http://schemas.openxmlformats.org/officeDocument/2006/relationships/hyperlink" Id="rId134" Target="https://doi.org/10.1123/jmpb.2018-0073" TargetMode="External" /><Relationship Type="http://schemas.openxmlformats.org/officeDocument/2006/relationships/hyperlink" Id="rId136" Target="https://doi.org/10.1123/pes.2018-0201" TargetMode="External" /><Relationship Type="http://schemas.openxmlformats.org/officeDocument/2006/relationships/hyperlink" Id="rId126" Target="https://doi.org/10.1136/bjsports-2017-097621" TargetMode="External" /><Relationship Type="http://schemas.openxmlformats.org/officeDocument/2006/relationships/hyperlink" Id="rId70" Target="https://doi.org/10.1136/bjsports-2021-104046" TargetMode="External" /><Relationship Type="http://schemas.openxmlformats.org/officeDocument/2006/relationships/hyperlink" Id="rId124" Target="https://doi.org/10.1136/bmjebm-2022-111931" TargetMode="External" /><Relationship Type="http://schemas.openxmlformats.org/officeDocument/2006/relationships/hyperlink" Id="rId72" Target="https://doi.org/10.1161/jaha.118.008552" TargetMode="External" /><Relationship Type="http://schemas.openxmlformats.org/officeDocument/2006/relationships/hyperlink" Id="rId146" Target="https://doi.org/10.1177/2515245919848684" TargetMode="External" /><Relationship Type="http://schemas.openxmlformats.org/officeDocument/2006/relationships/hyperlink" Id="rId142" Target="https://doi.org/10.1186/s12966-020-01004-8" TargetMode="External" /><Relationship Type="http://schemas.openxmlformats.org/officeDocument/2006/relationships/hyperlink" Id="rId138" Target="https://doi.org/10.1186/s40798-019-0225-9" TargetMode="External" /><Relationship Type="http://schemas.openxmlformats.org/officeDocument/2006/relationships/hyperlink" Id="rId144" Target="https://doi.org/10.1371/journal.pone.0061691" TargetMode="External" /><Relationship Type="http://schemas.openxmlformats.org/officeDocument/2006/relationships/hyperlink" Id="rId80" Target="https://doi.org/10.15585/mmwr.mm6506a1" TargetMode="External" /><Relationship Type="http://schemas.openxmlformats.org/officeDocument/2006/relationships/hyperlink" Id="rId150" Target="https://doi.org/10.18637/jss.v045.i03" TargetMode="External" /><Relationship Type="http://schemas.openxmlformats.org/officeDocument/2006/relationships/hyperlink" Id="rId112" Target="https://doi.org/10.3389/fneur.2018.00073" TargetMode="External" /><Relationship Type="http://schemas.openxmlformats.org/officeDocument/2006/relationships/hyperlink" Id="rId68" Target="https://doi.org/10.5665/sleep.1846" TargetMode="External" /><Relationship Type="http://schemas.openxmlformats.org/officeDocument/2006/relationships/hyperlink" Id="rId94" Target="https://doi.org/10.7717/peerj.5172" TargetMode="External" /><Relationship Type="http://schemas.openxmlformats.org/officeDocument/2006/relationships/hyperlink" Id="rId20" Target="https://osf.io/ahd96" TargetMode="External" /><Relationship Type="http://schemas.openxmlformats.org/officeDocument/2006/relationships/hyperlink" Id="rId19"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7/s00408-013-9511-3" TargetMode="External" /><Relationship Type="http://schemas.openxmlformats.org/officeDocument/2006/relationships/hyperlink" Id="rId86" Target="https://doi.org/10.1007/s10865-015-9617-6" TargetMode="External" /><Relationship Type="http://schemas.openxmlformats.org/officeDocument/2006/relationships/hyperlink" Id="rId122" Target="https://doi.org/10.1007/s12529-016-9609-0" TargetMode="External" /><Relationship Type="http://schemas.openxmlformats.org/officeDocument/2006/relationships/hyperlink" Id="rId128" Target="https://doi.org/10.1007/s40273-014-0205-3" TargetMode="External" /><Relationship Type="http://schemas.openxmlformats.org/officeDocument/2006/relationships/hyperlink" Id="rId116" Target="https://doi.org/10.1007/s40279-018-1015-0" TargetMode="External" /><Relationship Type="http://schemas.openxmlformats.org/officeDocument/2006/relationships/hyperlink" Id="rId120" Target="https://doi.org/10.1016/S1836-9553(12)70106-6" TargetMode="External" /><Relationship Type="http://schemas.openxmlformats.org/officeDocument/2006/relationships/hyperlink" Id="rId118" Target="https://doi.org/10.1016/j.anr.2020.01.003" TargetMode="External" /><Relationship Type="http://schemas.openxmlformats.org/officeDocument/2006/relationships/hyperlink" Id="rId78" Target="https://doi.org/10.1016/j.jadohealth.2020.03.013" TargetMode="External" /><Relationship Type="http://schemas.openxmlformats.org/officeDocument/2006/relationships/hyperlink" Id="rId100" Target="https://doi.org/10.1016/j.jfma.2018.02.008" TargetMode="External" /><Relationship Type="http://schemas.openxmlformats.org/officeDocument/2006/relationships/hyperlink" Id="rId108" Target="https://doi.org/10.1016/j.jpsychires.2018.11.004" TargetMode="External" /><Relationship Type="http://schemas.openxmlformats.org/officeDocument/2006/relationships/hyperlink" Id="rId140" Target="https://doi.org/10.1016/j.jsams.2019.06.016" TargetMode="External" /><Relationship Type="http://schemas.openxmlformats.org/officeDocument/2006/relationships/hyperlink" Id="rId114" Target="https://doi.org/10.1016/j.maturitas.2017.04.003" TargetMode="External" /><Relationship Type="http://schemas.openxmlformats.org/officeDocument/2006/relationships/hyperlink" Id="rId92" Target="https://doi.org/10.1016/j.rmed.2016.05.015" TargetMode="External" /><Relationship Type="http://schemas.openxmlformats.org/officeDocument/2006/relationships/hyperlink" Id="rId102" Target="https://doi.org/10.1016/j.sleep.2016.06.001" TargetMode="External" /><Relationship Type="http://schemas.openxmlformats.org/officeDocument/2006/relationships/hyperlink" Id="rId74" Target="https://doi.org/10.1016/j.sleep.2016.06.036" TargetMode="External" /><Relationship Type="http://schemas.openxmlformats.org/officeDocument/2006/relationships/hyperlink" Id="rId110" Target="https://doi.org/10.1016/j.sleep.2019.12.022" TargetMode="External" /><Relationship Type="http://schemas.openxmlformats.org/officeDocument/2006/relationships/hyperlink" Id="rId82" Target="https://doi.org/10.1016/j.sleh.2015.10.004" TargetMode="External" /><Relationship Type="http://schemas.openxmlformats.org/officeDocument/2006/relationships/hyperlink" Id="rId96" Target="https://doi.org/10.1016/j.smrv.2014.08.002" TargetMode="External" /><Relationship Type="http://schemas.openxmlformats.org/officeDocument/2006/relationships/hyperlink" Id="rId90" Target="https://doi.org/10.1016/j.smrv.2015.07.004" TargetMode="External" /><Relationship Type="http://schemas.openxmlformats.org/officeDocument/2006/relationships/hyperlink" Id="rId106" Target="https://doi.org/10.1016/j.smrv.2019.101226" TargetMode="External" /><Relationship Type="http://schemas.openxmlformats.org/officeDocument/2006/relationships/hyperlink" Id="rId88" Target="https://doi.org/10.1016/j.smrv.2020.101278" TargetMode="External" /><Relationship Type="http://schemas.openxmlformats.org/officeDocument/2006/relationships/hyperlink" Id="rId84" Target="https://doi.org/10.1016/j.smrv.2021.101489" TargetMode="External" /><Relationship Type="http://schemas.openxmlformats.org/officeDocument/2006/relationships/hyperlink" Id="rId152" Target="https://doi.org/10.1037/a0015914" TargetMode="External" /><Relationship Type="http://schemas.openxmlformats.org/officeDocument/2006/relationships/hyperlink" Id="rId148" Target="https://doi.org/10.1038/526187a" TargetMode="External" /><Relationship Type="http://schemas.openxmlformats.org/officeDocument/2006/relationships/hyperlink" Id="rId132" Target="https://doi.org/10.1038/s41598-018-31266-z" TargetMode="External" /><Relationship Type="http://schemas.openxmlformats.org/officeDocument/2006/relationships/hyperlink" Id="rId154" Target="https://doi.org/10.1093/sleep/zsad253" TargetMode="External" /><Relationship Type="http://schemas.openxmlformats.org/officeDocument/2006/relationships/hyperlink" Id="rId76" Target="https://doi.org/10.1111/bjhp.12391" TargetMode="External" /><Relationship Type="http://schemas.openxmlformats.org/officeDocument/2006/relationships/hyperlink" Id="rId156" Target="https://doi.org/10.1111/jsr.14332" TargetMode="External" /><Relationship Type="http://schemas.openxmlformats.org/officeDocument/2006/relationships/hyperlink" Id="rId98" Target="https://doi.org/10.1111/resp.13580" TargetMode="External" /><Relationship Type="http://schemas.openxmlformats.org/officeDocument/2006/relationships/hyperlink" Id="rId130" Target="https://doi.org/10.1123/jmpb.2018-0063" TargetMode="External" /><Relationship Type="http://schemas.openxmlformats.org/officeDocument/2006/relationships/hyperlink" Id="rId134" Target="https://doi.org/10.1123/jmpb.2018-0073" TargetMode="External" /><Relationship Type="http://schemas.openxmlformats.org/officeDocument/2006/relationships/hyperlink" Id="rId136" Target="https://doi.org/10.1123/pes.2018-0201" TargetMode="External" /><Relationship Type="http://schemas.openxmlformats.org/officeDocument/2006/relationships/hyperlink" Id="rId126" Target="https://doi.org/10.1136/bjsports-2017-097621" TargetMode="External" /><Relationship Type="http://schemas.openxmlformats.org/officeDocument/2006/relationships/hyperlink" Id="rId70" Target="https://doi.org/10.1136/bjsports-2021-104046" TargetMode="External" /><Relationship Type="http://schemas.openxmlformats.org/officeDocument/2006/relationships/hyperlink" Id="rId124" Target="https://doi.org/10.1136/bmjebm-2022-111931" TargetMode="External" /><Relationship Type="http://schemas.openxmlformats.org/officeDocument/2006/relationships/hyperlink" Id="rId72" Target="https://doi.org/10.1161/jaha.118.008552" TargetMode="External" /><Relationship Type="http://schemas.openxmlformats.org/officeDocument/2006/relationships/hyperlink" Id="rId146" Target="https://doi.org/10.1177/2515245919848684" TargetMode="External" /><Relationship Type="http://schemas.openxmlformats.org/officeDocument/2006/relationships/hyperlink" Id="rId142" Target="https://doi.org/10.1186/s12966-020-01004-8" TargetMode="External" /><Relationship Type="http://schemas.openxmlformats.org/officeDocument/2006/relationships/hyperlink" Id="rId138" Target="https://doi.org/10.1186/s40798-019-0225-9" TargetMode="External" /><Relationship Type="http://schemas.openxmlformats.org/officeDocument/2006/relationships/hyperlink" Id="rId144" Target="https://doi.org/10.1371/journal.pone.0061691" TargetMode="External" /><Relationship Type="http://schemas.openxmlformats.org/officeDocument/2006/relationships/hyperlink" Id="rId80" Target="https://doi.org/10.15585/mmwr.mm6506a1" TargetMode="External" /><Relationship Type="http://schemas.openxmlformats.org/officeDocument/2006/relationships/hyperlink" Id="rId150" Target="https://doi.org/10.18637/jss.v045.i03" TargetMode="External" /><Relationship Type="http://schemas.openxmlformats.org/officeDocument/2006/relationships/hyperlink" Id="rId112" Target="https://doi.org/10.3389/fneur.2018.00073" TargetMode="External" /><Relationship Type="http://schemas.openxmlformats.org/officeDocument/2006/relationships/hyperlink" Id="rId68" Target="https://doi.org/10.5665/sleep.1846" TargetMode="External" /><Relationship Type="http://schemas.openxmlformats.org/officeDocument/2006/relationships/hyperlink" Id="rId94" Target="https://doi.org/10.7717/peerj.5172" TargetMode="External" /><Relationship Type="http://schemas.openxmlformats.org/officeDocument/2006/relationships/hyperlink" Id="rId20" Target="https://osf.io/ahd96" TargetMode="External" /><Relationship Type="http://schemas.openxmlformats.org/officeDocument/2006/relationships/hyperlink" Id="rId19"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2026-10-03T21:38:32Z</dcterms:created>
  <dcterms:modified xsi:type="dcterms:W3CDTF">2026-10-03T21:38:32Z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