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jpg" ContentType="image/jpeg"/>
  <Override PartName="/word/media/rId51.jpg" ContentType="image/jpeg"/>
  <Override PartName="/word/media/rId56.jpg" ContentType="image/jpeg"/>
  <Override PartName="/word/media/rId61.jpg" ContentType="image/jpeg"/>
  <Override PartName="/word/media/rId4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Pozo-Cruz</w:t>
      </w:r>
      <w:r>
        <w:rPr>
          <w:i/>
          <w:iCs/>
          <w:vertAlign w:val="superscript"/>
        </w:rPr>
        <w:t xml:space="preserve">4-6</w:t>
      </w:r>
      <w:r>
        <w:rPr>
          <w:i/>
          <w:iCs/>
        </w:rPr>
        <w:t xml:space="preserve">, Philip Parker</w:t>
      </w:r>
      <w:r>
        <w:rPr>
          <w:i/>
          <w:iCs/>
          <w:vertAlign w:val="superscript"/>
        </w:rPr>
        <w:t xml:space="preserve">7</w:t>
      </w:r>
      <w:r>
        <w:rPr>
          <w:i/>
          <w:iCs/>
        </w:rPr>
        <w:t xml:space="preserve">, Michael Noetel</w:t>
      </w:r>
      <w:r>
        <w:rPr>
          <w:i/>
          <w:iCs/>
          <w:vertAlign w:val="superscript"/>
        </w:rPr>
        <w:t xml:space="preserve">8</w:t>
      </w:r>
      <w:r>
        <w:rPr>
          <w:i/>
          <w:iCs/>
        </w:rPr>
        <w:t xml:space="preserve">, Devan Antczak</w:t>
      </w:r>
      <w:r>
        <w:rPr>
          <w:i/>
          <w:iCs/>
          <w:vertAlign w:val="superscript"/>
        </w:rPr>
        <w:t xml:space="preserve">9</w:t>
      </w:r>
      <w:r>
        <w:rPr>
          <w:i/>
          <w:iCs/>
        </w:rPr>
        <w:t xml:space="preserve">, Stuart J. Fairclough</w:t>
      </w:r>
      <w:r>
        <w:rPr>
          <w:i/>
          <w:iCs/>
          <w:vertAlign w:val="superscript"/>
        </w:rPr>
        <w:t xml:space="preserve">10</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12</w:t>
      </w:r>
      <w:r>
        <w:t xml:space="preserve">, &amp; Chris Lonsdale</w:t>
      </w:r>
      <w:r>
        <w:rPr>
          <w:vertAlign w:val="superscript"/>
        </w:rPr>
        <w:t xml:space="preserve">13</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Faculty of Sport Sciences, Universidad Europea de Madrid, Madrid, Spain</w:t>
      </w:r>
    </w:p>
    <w:p>
      <w:pPr>
        <w:pStyle w:val="Author"/>
      </w:pPr>
      <w:r>
        <w:rPr>
          <w:vertAlign w:val="superscript"/>
        </w:rPr>
        <w:t xml:space="preserve">5</w:t>
      </w:r>
      <w:r>
        <w:t xml:space="preserve"> </w:t>
      </w:r>
      <w:r>
        <w:t xml:space="preserve">Faculty of Biomedical and Health Sciences, Universidad Europea de Madrid, Madrid, Spain</w:t>
      </w:r>
    </w:p>
    <w:p>
      <w:pPr>
        <w:pStyle w:val="Author"/>
      </w:pPr>
      <w:r>
        <w:rPr>
          <w:vertAlign w:val="superscript"/>
        </w:rPr>
        <w:t xml:space="preserve">6</w:t>
      </w:r>
      <w:r>
        <w:t xml:space="preserve"> </w:t>
      </w:r>
      <w:r>
        <w:t xml:space="preserve">Department of Sports Science and Clinical Biomechanics, University of Southern Denmark, Odense, Denmark</w:t>
      </w:r>
    </w:p>
    <w:p>
      <w:pPr>
        <w:pStyle w:val="Author"/>
      </w:pPr>
      <w:r>
        <w:rPr>
          <w:vertAlign w:val="superscript"/>
        </w:rPr>
        <w:t xml:space="preserve">7</w:t>
      </w:r>
      <w:r>
        <w:t xml:space="preserve"> </w:t>
      </w:r>
      <w:r>
        <w:t xml:space="preserve">Office of the Deputy Vice-Chancellor (Research and Enterprise), Australian Catholic University, North Sydney, Australia</w:t>
      </w:r>
    </w:p>
    <w:p>
      <w:pPr>
        <w:pStyle w:val="Author"/>
      </w:pPr>
      <w:r>
        <w:rPr>
          <w:vertAlign w:val="superscript"/>
        </w:rPr>
        <w:t xml:space="preserve">8</w:t>
      </w:r>
      <w:r>
        <w:t xml:space="preserve"> </w:t>
      </w:r>
      <w:r>
        <w:t xml:space="preserve">School of Psychology, University of Queensland, Brisbane, Australia</w:t>
      </w:r>
    </w:p>
    <w:p>
      <w:pPr>
        <w:pStyle w:val="Author"/>
      </w:pPr>
      <w:r>
        <w:rPr>
          <w:vertAlign w:val="superscript"/>
        </w:rPr>
        <w:t xml:space="preserve">9</w:t>
      </w:r>
      <w:r>
        <w:t xml:space="preserve"> </w:t>
      </w:r>
      <w:r>
        <w:t xml:space="preserve">School of Education, University of Wollongong, Wollongong, Australia</w:t>
      </w:r>
    </w:p>
    <w:p>
      <w:pPr>
        <w:pStyle w:val="Author"/>
      </w:pPr>
      <w:r>
        <w:rPr>
          <w:vertAlign w:val="superscript"/>
        </w:rPr>
        <w:t xml:space="preserve">10</w:t>
      </w:r>
      <w:r>
        <w:t xml:space="preserve"> </w:t>
      </w:r>
      <w:r>
        <w:t xml:space="preserve">Department of Sport and Physical Activity, Edge Hill University, Ormskirk, United Kingdom</w:t>
      </w:r>
    </w:p>
    <w:p>
      <w:pPr>
        <w:pStyle w:val="Author"/>
      </w:pPr>
      <w:r>
        <w:rPr>
          <w:vertAlign w:val="superscript"/>
        </w:rPr>
        <w:t xml:space="preserve">11</w:t>
      </w:r>
      <w:r>
        <w:t xml:space="preserve"> </w:t>
      </w:r>
      <w:r>
        <w:rPr>
          <w:b/>
          <w:bCs/>
          <w:i/>
          <w:iCs/>
        </w:rPr>
        <w:t xml:space="preserve">TBD</w:t>
      </w:r>
    </w:p>
    <w:p>
      <w:pPr>
        <w:pStyle w:val="Author"/>
      </w:pPr>
      <w:r>
        <w:rPr>
          <w:vertAlign w:val="superscript"/>
        </w:rPr>
        <w:t xml:space="preserve">13</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t xml:space="preserve">One or two sentences providing a</w:t>
      </w:r>
      <w:r>
        <w:t xml:space="preserve"> </w:t>
      </w:r>
      <w:r>
        <w:rPr>
          <w:b/>
          <w:bCs/>
        </w:rPr>
        <w:t xml:space="preserve">basic introduction</w:t>
      </w:r>
      <w:r>
        <w:t xml:space="preserve"> </w:t>
      </w:r>
      <w:r>
        <w:t xml:space="preserve">to the field, comprehensible to a scientist in any discipline.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lower sleep duration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32"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2">
        <w:r>
          <w:rPr>
            <w:rStyle w:val="Hyperlink"/>
          </w:rPr>
          <w:t xml:space="preserve">https://osf.io/ahd96</w:t>
        </w:r>
      </w:hyperlink>
      <w:r>
        <w:t xml:space="preserve">).</w:t>
      </w:r>
    </w:p>
    <w:bookmarkStart w:id="23" w:name="data-sources-and-data-acquisition"/>
    <w:p>
      <w:pPr>
        <w:pStyle w:val="berschrift2"/>
      </w:pPr>
      <w:r>
        <w:t xml:space="preserve">Data sources and data acquisition</w:t>
      </w:r>
    </w:p>
    <w:p>
      <w:pPr>
        <w:pStyle w:val="FirstParagraph"/>
      </w:pPr>
      <w:r>
        <w:t xml:space="preserve">We included data from studies, with any design, that used activity monitors and a 24-hour wear time protocol over a minimum of 4 days, including 1 weekend day.</w:t>
      </w:r>
      <w:r>
        <w:t xml:space="preserve"> </w:t>
      </w:r>
      <w:r>
        <w:t xml:space="preserve">Studies needed to have used research-grade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[9,11,12]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we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3"/>
    <w:bookmarkStart w:id="24" w:name="data-harmonisation-and-outcomes"/>
    <w:p>
      <w:pPr>
        <w:pStyle w:val="berschrift2"/>
      </w:pPr>
      <w:r>
        <w:t xml:space="preserve">Data harmonisation and outcomes</w:t>
      </w:r>
    </w:p>
    <w:p>
      <w:pPr>
        <w:pStyle w:val="FirstParagraph"/>
      </w:pPr>
      <w:r>
        <w:t xml:space="preserve">All activity monitor data were harmonised by reprocessing raw accelerometer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devices wear location, and populations</w:t>
      </w:r>
      <w:r>
        <w:t xml:space="preserve"> </w:t>
      </w:r>
      <w:r>
        <w:t xml:space="preserve">[34]</w:t>
      </w:r>
      <w:r>
        <w:t xml:space="preserve">.</w:t>
      </w:r>
      <w:r>
        <w:t xml:space="preserve"> </w:t>
      </w:r>
      <w:r>
        <w:t xml:space="preserve">Data were reprocessed by the core research team, or by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[35]</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full continuum of physical activity intensity for our main analyses</w:t>
      </w:r>
      <w:r>
        <w:t xml:space="preserve"> </w:t>
      </w:r>
      <w:r>
        <w:t xml:space="preserve">[36]</w:t>
      </w:r>
      <w:r>
        <w:t xml:space="preserve"> </w:t>
      </w:r>
      <w:r>
        <w:t xml:space="preserve">and avoid collapsing physical activity data into population-specific intensity categories which occurs when intensity cut-points are applied to accelerometer data</w:t>
      </w:r>
      <w:r>
        <w:t xml:space="preserve"> </w:t>
      </w:r>
      <w:r>
        <w:t xml:space="preserve">[37]</w:t>
      </w:r>
      <w:r>
        <w:t xml:space="preserve">.</w:t>
      </w:r>
    </w:p>
    <w:p>
      <w:pPr>
        <w:pStyle w:val="Textkrper"/>
      </w:pPr>
      <w:r>
        <w:t xml:space="preserve">For the purposes of translating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[35]</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[36]</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[38]</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[39]</w:t>
      </w:r>
      <w:r>
        <w:t xml:space="preserve">.</w:t>
      </w:r>
      <w:r>
        <w:t xml:space="preserve"> </w:t>
      </w:r>
      <w:r>
        <w:t xml:space="preserve">These data were classified as missing and imputed using the accelerometer data from the same time interval on the remaining days of the week.</w:t>
      </w:r>
    </w:p>
    <w:bookmarkEnd w:id="24"/>
    <w:bookmarkStart w:id="25"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bookmarkEnd w:id="25"/>
    <w:bookmarkStart w:id="26"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[41]</w:t>
      </w:r>
      <w:r>
        <w:t xml:space="preserve">.</w:t>
      </w:r>
    </w:p>
    <w:p>
      <w:pPr>
        <w:pStyle w:val="Textkrper"/>
      </w:pPr>
      <w:r>
        <w:t xml:space="preserve">We checked all data for implausibly low or high measurements which were excluded if they fell outside of ±4SD of the mean, as these likely indicate measurement device failures.</w:t>
      </w:r>
      <w:r>
        <w:t xml:space="preserve"> </w:t>
      </w:r>
      <w:r>
        <w:t xml:space="preserve">We assumed missing covariate and moderator data to be missing at random or completely at random and imputed these missing values using multiple imputation by chained equations with the</w:t>
      </w:r>
      <w:r>
        <w:t xml:space="preserve"> </w:t>
      </w:r>
      <w:r>
        <w:rPr>
          <w:i/>
          <w:iCs/>
        </w:rPr>
        <w:t xml:space="preserve">mice</w:t>
      </w:r>
      <w:r>
        <w:t xml:space="preserve"> </w:t>
      </w:r>
      <w:r>
        <w:t xml:space="preserve">package in R</w:t>
      </w:r>
      <w:r>
        <w:t xml:space="preserve"> </w:t>
      </w:r>
      <w:r>
        <w:t xml:space="preserve">[42]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For all analyses, we examined 95% confidence intervals and used P &lt; 0.05 to assess for statistical significance.</w:t>
      </w:r>
      <w:r>
        <w:t xml:space="preserve"> </w:t>
      </w:r>
      <w:r>
        <w:t xml:space="preserve">We used R (version 4.3.2)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(Research Questions 1-2) we fit mixed-effects models with random intercepts for study ID to account for the nesting of participants in studies</w:t>
      </w:r>
      <w:r>
        <w:t xml:space="preserve"> </w:t>
      </w:r>
      <w:r>
        <w:t xml:space="preserve">[43]</w:t>
      </w:r>
      <w:r>
        <w:t xml:space="preserve">.</w:t>
      </w:r>
      <w:r>
        <w:t xml:space="preserve"> </w:t>
      </w:r>
      <w:r>
        <w:t xml:space="preserve">We predict each sleep indicator by each physical activity indicator controlling for sex, body mass index (BMI) and region.</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bookmarkEnd w:id="26"/>
    <w:bookmarkStart w:id="30"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remaining hypotheses in future research.</w:t>
      </w:r>
      <w:r>
        <w:t xml:space="preserve"> </w:t>
      </w:r>
      <w:r>
        <w:t xml:space="preserve">To streamline our analysis and reduce redundancy, we made some changes to our protocol while working with the holdout data.</w:t>
      </w:r>
    </w:p>
    <w:bookmarkStart w:id="27"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7"/>
    <w:bookmarkStart w:id="28"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quality and physical activity.</w:t>
      </w:r>
    </w:p>
    <w:bookmarkEnd w:id="28"/>
    <w:bookmarkStart w:id="29"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 however these models can be found in supplementary materials.</w:t>
      </w:r>
    </w:p>
    <w:bookmarkEnd w:id="29"/>
    <w:bookmarkEnd w:id="30"/>
    <w:bookmarkStart w:id="31"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Results of this study have broad public health interest, particularly policymakers.</w:t>
      </w:r>
      <w:r>
        <w:t xml:space="preserve"> </w:t>
      </w:r>
      <w:r>
        <w:t xml:space="preserve">Findings from this study will be disseminated through institutional websites, press and media platform releases, and tailored messages to public health organisations and governing bodies.</w:t>
      </w:r>
    </w:p>
    <w:bookmarkEnd w:id="31"/>
    <w:bookmarkEnd w:id="32"/>
    <w:bookmarkStart w:id="66"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Table</w:t>
      </w:r>
      <w:r>
        <w:t xml:space="preserve"> </w:t>
      </w:r>
      <w:r>
        <w:t xml:space="preserve">1</w:t>
      </w:r>
      <w:r>
        <w:t xml:space="preserve"> </w:t>
      </w:r>
      <w:r>
        <w:t xml:space="preserve">shows demographic information for all participants.</w:t>
      </w:r>
      <w:r>
        <w:t xml:space="preserve"> </w:t>
      </w:r>
      <w:r>
        <w:t xml:space="preserve">Observations were not uniform across the days of the week</w:t>
      </w:r>
      <w:r>
        <w:t xml:space="preserve"> </w:t>
      </w:r>
      <m:oMath>
        <m:sSubSup>
          <m:e>
            <m:r>
              <m:t>χ</m:t>
            </m:r>
          </m:e>
          <m:sub>
            <m:d>
              <m:dPr>
                <m:begChr m:val="("/>
                <m:endChr m:val=")"/>
                <m:sepChr m:val=""/>
                <m:grow/>
              </m:dPr>
              <m:e>
                <m:r>
                  <m:t>6</m:t>
                </m:r>
              </m:e>
            </m:d>
          </m:sub>
          <m:sup>
            <m:r>
              <m:t>2</m:t>
            </m:r>
          </m:sup>
        </m:sSubSup>
      </m:oMath>
      <w:r>
        <w:t xml:space="preserve"> </w:t>
      </w:r>
      <w:r>
        <w:t xml:space="preserve">= 80.75, p = &lt; .001.</w:t>
      </w:r>
      <w:r>
        <w:t xml:space="preserve"> </w:t>
      </w:r>
      <w:r>
        <w:t xml:space="preserve">There were fewer observations on Monday (z = -7.80) and Sunday (z = -3.01); and more on Wednesday (z = 2.98).</w:t>
      </w:r>
      <w:r>
        <w:t xml:space="preserve"> </w:t>
      </w:r>
      <w:r>
        <w:t xml:space="preserve">A table of study characteristics can be found in supplementary materials.</w:t>
      </w:r>
    </w:p>
    <w:p>
      <w:pPr>
        <w:pStyle w:val="TableCaption"/>
      </w:pPr>
      <w:bookmarkStart w:id="33" w:name="tab:demo-participants"/>
      <w:bookmarkEnd w:id="33"/>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9,758</w:t>
            </w:r>
          </w:p>
        </w:tc>
        <w:tc>
          <w:tcPr/>
          <w:p>
            <w:pPr>
              <w:pStyle w:val="Compact"/>
              <w:jc w:val="left"/>
            </w:pPr>
            <w:r>
              <w:t xml:space="preserve">3,062</w:t>
            </w:r>
          </w:p>
        </w:tc>
        <w:tc>
          <w:tcPr/>
          <w:p>
            <w:pPr>
              <w:pStyle w:val="Compact"/>
              <w:jc w:val="left"/>
            </w:pPr>
            <w:r>
              <w:t xml:space="preserve">473</w:t>
            </w:r>
          </w:p>
        </w:tc>
        <w:tc>
          <w:tcPr/>
          <w:p>
            <w:pPr>
              <w:pStyle w:val="Compact"/>
              <w:jc w:val="left"/>
            </w:pPr>
            <w:r>
              <w:t xml:space="preserve">4,675</w:t>
            </w:r>
          </w:p>
        </w:tc>
        <w:tc>
          <w:tcPr/>
          <w:p>
            <w:pPr>
              <w:pStyle w:val="Compact"/>
              <w:jc w:val="left"/>
            </w:pPr>
            <w:r>
              <w:t xml:space="preserve">6,563</w:t>
            </w:r>
          </w:p>
        </w:tc>
      </w:tr>
      <w:tr>
        <w:tc>
          <w:tcPr/>
          <w:p>
            <w:pPr>
              <w:pStyle w:val="Compact"/>
              <w:jc w:val="left"/>
            </w:pPr>
            <w:r>
              <w:t xml:space="preserve">   Age</w:t>
            </w:r>
          </w:p>
        </w:tc>
        <w:tc>
          <w:tcPr/>
          <w:p>
            <w:pPr>
              <w:pStyle w:val="Compact"/>
              <w:jc w:val="left"/>
            </w:pPr>
            <w:r>
              <w:t xml:space="preserve">9.49 (1.51)</w:t>
            </w:r>
          </w:p>
        </w:tc>
        <w:tc>
          <w:tcPr/>
          <w:p>
            <w:pPr>
              <w:pStyle w:val="Compact"/>
              <w:jc w:val="left"/>
            </w:pPr>
            <w:r>
              <w:t xml:space="preserve">13.71 (2.39)</w:t>
            </w:r>
          </w:p>
        </w:tc>
        <w:tc>
          <w:tcPr/>
          <w:p>
            <w:pPr>
              <w:pStyle w:val="Compact"/>
              <w:jc w:val="left"/>
            </w:pPr>
            <w:r>
              <w:t xml:space="preserve">23.90 (6.13)</w:t>
            </w:r>
          </w:p>
        </w:tc>
        <w:tc>
          <w:tcPr/>
          <w:p>
            <w:pPr>
              <w:pStyle w:val="Compact"/>
              <w:jc w:val="left"/>
            </w:pPr>
            <w:r>
              <w:t xml:space="preserve">56.72 (7.55)</w:t>
            </w:r>
          </w:p>
        </w:tc>
        <w:tc>
          <w:tcPr/>
          <w:p>
            <w:pPr>
              <w:pStyle w:val="Compact"/>
              <w:jc w:val="left"/>
            </w:pPr>
            <w:r>
              <w:t xml:space="preserve">72.21 (4.73)</w:t>
            </w:r>
          </w:p>
        </w:tc>
      </w:tr>
      <w:tr>
        <w:tc>
          <w:tcPr/>
          <w:p>
            <w:pPr>
              <w:pStyle w:val="Compact"/>
              <w:jc w:val="left"/>
            </w:pPr>
            <w:r>
              <w:t xml:space="preserve">   BMI</w:t>
            </w:r>
          </w:p>
        </w:tc>
        <w:tc>
          <w:tcPr/>
          <w:p>
            <w:pPr>
              <w:pStyle w:val="Compact"/>
              <w:jc w:val="left"/>
            </w:pPr>
            <w:r>
              <w:t xml:space="preserve">17.95 (3.30)</w:t>
            </w:r>
          </w:p>
        </w:tc>
        <w:tc>
          <w:tcPr/>
          <w:p>
            <w:pPr>
              <w:pStyle w:val="Compact"/>
              <w:jc w:val="left"/>
            </w:pPr>
            <w:r>
              <w:t xml:space="preserve">20.39 (4.00)</w:t>
            </w:r>
          </w:p>
        </w:tc>
        <w:tc>
          <w:tcPr/>
          <w:p>
            <w:pPr>
              <w:pStyle w:val="Compact"/>
              <w:jc w:val="left"/>
            </w:pPr>
            <w:r>
              <w:t xml:space="preserve">24.71 (5.88)</w:t>
            </w:r>
          </w:p>
        </w:tc>
        <w:tc>
          <w:tcPr/>
          <w:p>
            <w:pPr>
              <w:pStyle w:val="Compact"/>
              <w:jc w:val="left"/>
            </w:pPr>
            <w:r>
              <w:t xml:space="preserve">26.87 (4.95)</w:t>
            </w:r>
          </w:p>
        </w:tc>
        <w:tc>
          <w:tcPr/>
          <w:p>
            <w:pPr>
              <w:pStyle w:val="Compact"/>
              <w:jc w:val="left"/>
            </w:pPr>
            <w:r>
              <w:t xml:space="preserve">27.08 (4.42)</w:t>
            </w:r>
          </w:p>
        </w:tc>
      </w:tr>
      <w:tr>
        <w:tc>
          <w:tcPr/>
          <w:p>
            <w:pPr>
              <w:pStyle w:val="Compact"/>
              <w:jc w:val="left"/>
            </w:pPr>
            <w:r>
              <w:t xml:space="preserve">   Valid weartime hours</w:t>
            </w:r>
          </w:p>
        </w:tc>
        <w:tc>
          <w:tcPr/>
          <w:p>
            <w:pPr>
              <w:pStyle w:val="Compact"/>
              <w:jc w:val="left"/>
            </w:pPr>
            <w:r>
              <w:t xml:space="preserve">22.18 (2.35)</w:t>
            </w:r>
          </w:p>
        </w:tc>
        <w:tc>
          <w:tcPr/>
          <w:p>
            <w:pPr>
              <w:pStyle w:val="Compact"/>
              <w:jc w:val="left"/>
            </w:pPr>
            <w:r>
              <w:t xml:space="preserve">22.18 (2.67)</w:t>
            </w:r>
          </w:p>
        </w:tc>
        <w:tc>
          <w:tcPr/>
          <w:p>
            <w:pPr>
              <w:pStyle w:val="Compact"/>
              <w:jc w:val="left"/>
            </w:pPr>
            <w:r>
              <w:t xml:space="preserve">22.15 (2.63)</w:t>
            </w:r>
          </w:p>
        </w:tc>
        <w:tc>
          <w:tcPr/>
          <w:p>
            <w:pPr>
              <w:pStyle w:val="Compact"/>
              <w:jc w:val="left"/>
            </w:pPr>
            <w:r>
              <w:t xml:space="preserve">22.75 (2.23)</w:t>
            </w:r>
          </w:p>
        </w:tc>
        <w:tc>
          <w:tcPr/>
          <w:p>
            <w:pPr>
              <w:pStyle w:val="Compact"/>
              <w:jc w:val="left"/>
            </w:pPr>
            <w:r>
              <w:t xml:space="preserve">23.82 (0.75)</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-2.37 (0.19)</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43.68 (25.61)</w:t>
            </w:r>
          </w:p>
        </w:tc>
        <w:tc>
          <w:tcPr/>
          <w:p>
            <w:pPr>
              <w:pStyle w:val="Compact"/>
              <w:jc w:val="left"/>
            </w:pPr>
            <w:r>
              <w:t xml:space="preserve">42.87 (16.63)</w:t>
            </w:r>
          </w:p>
        </w:tc>
        <w:tc>
          <w:tcPr/>
          <w:p>
            <w:pPr>
              <w:pStyle w:val="Compact"/>
              <w:jc w:val="left"/>
            </w:pPr>
            <w:r>
              <w:t xml:space="preserve">40.64 (11.15)</w:t>
            </w:r>
          </w:p>
        </w:tc>
        <w:tc>
          <w:tcPr/>
          <w:p>
            <w:pPr>
              <w:pStyle w:val="Compact"/>
              <w:jc w:val="left"/>
            </w:pPr>
            <w:r>
              <w:t xml:space="preserve">39.56 (13.10)</w:t>
            </w:r>
          </w:p>
        </w:tc>
        <w:tc>
          <w:tcPr/>
          <w:p>
            <w:pPr>
              <w:pStyle w:val="Compact"/>
              <w:jc w:val="left"/>
            </w:pPr>
            <w:r>
              <w:t xml:space="preserve">31.27 (10.38)</w:t>
            </w:r>
          </w:p>
        </w:tc>
      </w:tr>
      <w:tr>
        <w:tc>
          <w:tcPr/>
          <w:p>
            <w:pPr>
              <w:pStyle w:val="Compact"/>
              <w:jc w:val="left"/>
            </w:pPr>
            <w:r>
              <w:t xml:space="preserve">   Sleep duration</w:t>
            </w:r>
          </w:p>
        </w:tc>
        <w:tc>
          <w:tcPr/>
          <w:p>
            <w:pPr>
              <w:pStyle w:val="Compact"/>
              <w:jc w:val="left"/>
            </w:pPr>
            <w:r>
              <w:t xml:space="preserve">446.73 (92.90)</w:t>
            </w:r>
          </w:p>
        </w:tc>
        <w:tc>
          <w:tcPr/>
          <w:p>
            <w:pPr>
              <w:pStyle w:val="Compact"/>
              <w:jc w:val="left"/>
            </w:pPr>
            <w:r>
              <w:t xml:space="preserve">403.02 (96.97)</w:t>
            </w:r>
          </w:p>
        </w:tc>
        <w:tc>
          <w:tcPr/>
          <w:p>
            <w:pPr>
              <w:pStyle w:val="Compact"/>
              <w:jc w:val="left"/>
            </w:pPr>
            <w:r>
              <w:t xml:space="preserve">365.62 (79.72)</w:t>
            </w:r>
          </w:p>
        </w:tc>
        <w:tc>
          <w:tcPr/>
          <w:p>
            <w:pPr>
              <w:pStyle w:val="Compact"/>
              <w:jc w:val="left"/>
            </w:pPr>
            <w:r>
              <w:t xml:space="preserve">400.68 (63.47)</w:t>
            </w:r>
          </w:p>
        </w:tc>
        <w:tc>
          <w:tcPr/>
          <w:p>
            <w:pPr>
              <w:pStyle w:val="Compact"/>
              <w:jc w:val="left"/>
            </w:pPr>
            <w:r>
              <w:t xml:space="preserve">398.74 (71.46)</w:t>
            </w:r>
          </w:p>
        </w:tc>
      </w:tr>
      <w:tr>
        <w:tc>
          <w:tcPr/>
          <w:p>
            <w:pPr>
              <w:pStyle w:val="Compact"/>
              <w:jc w:val="left"/>
            </w:pPr>
            <w:r>
              <w:t xml:space="preserve">   Sleep efficiency</w:t>
            </w:r>
          </w:p>
        </w:tc>
        <w:tc>
          <w:tcPr/>
          <w:p>
            <w:pPr>
              <w:pStyle w:val="Compact"/>
              <w:jc w:val="left"/>
            </w:pPr>
            <w:r>
              <w:t xml:space="preserve">0.79 (0.10)</w:t>
            </w:r>
          </w:p>
        </w:tc>
        <w:tc>
          <w:tcPr/>
          <w:p>
            <w:pPr>
              <w:pStyle w:val="Compact"/>
              <w:jc w:val="left"/>
            </w:pPr>
            <w:r>
              <w:t xml:space="preserve">0.83 (0.10)</w:t>
            </w:r>
          </w:p>
        </w:tc>
        <w:tc>
          <w:tcPr/>
          <w:p>
            <w:pPr>
              <w:pStyle w:val="Compact"/>
              <w:jc w:val="left"/>
            </w:pPr>
            <w:r>
              <w:t xml:space="preserve">0.87 (0.07)</w:t>
            </w:r>
          </w:p>
        </w:tc>
        <w:tc>
          <w:tcPr/>
          <w:p>
            <w:pPr>
              <w:pStyle w:val="Compact"/>
              <w:jc w:val="left"/>
            </w:pPr>
            <w:r>
              <w:t xml:space="preserve">0.88 (0.06)</w:t>
            </w:r>
          </w:p>
        </w:tc>
        <w:tc>
          <w:tcPr/>
          <w:p>
            <w:pPr>
              <w:pStyle w:val="Compact"/>
              <w:jc w:val="left"/>
            </w:pPr>
            <w:r>
              <w:t xml:space="preserve">0.86 (0.06)</w:t>
            </w:r>
          </w:p>
        </w:tc>
      </w:tr>
      <w:tr>
        <w:tc>
          <w:tcPr/>
          <w:p>
            <w:pPr>
              <w:pStyle w:val="Compact"/>
              <w:jc w:val="left"/>
            </w:pPr>
            <w:r>
              <w:t xml:space="preserve">   Sleep onset</w:t>
            </w:r>
          </w:p>
        </w:tc>
        <w:tc>
          <w:tcPr/>
          <w:p>
            <w:pPr>
              <w:pStyle w:val="Compact"/>
              <w:jc w:val="left"/>
            </w:pPr>
            <w:r>
              <w:t xml:space="preserve">20.96 (1.17)</w:t>
            </w:r>
          </w:p>
        </w:tc>
        <w:tc>
          <w:tcPr/>
          <w:p>
            <w:pPr>
              <w:pStyle w:val="Compact"/>
              <w:jc w:val="left"/>
            </w:pPr>
            <w:r>
              <w:t xml:space="preserve">22.30 (1.96)</w:t>
            </w:r>
          </w:p>
        </w:tc>
        <w:tc>
          <w:tcPr/>
          <w:p>
            <w:pPr>
              <w:pStyle w:val="Compact"/>
              <w:jc w:val="left"/>
            </w:pPr>
            <w:r>
              <w:t xml:space="preserve">24.00 (1.47)</w:t>
            </w:r>
          </w:p>
        </w:tc>
        <w:tc>
          <w:tcPr/>
          <w:p>
            <w:pPr>
              <w:pStyle w:val="Compact"/>
              <w:jc w:val="left"/>
            </w:pPr>
            <w:r>
              <w:t xml:space="preserve">23.65 (1.35)</w:t>
            </w:r>
          </w:p>
        </w:tc>
        <w:tc>
          <w:tcPr/>
          <w:p>
            <w:pPr>
              <w:pStyle w:val="Compact"/>
              <w:jc w:val="left"/>
            </w:pPr>
            <w:r>
              <w:t xml:space="preserve">24.41 (1.30)</w:t>
            </w:r>
          </w:p>
        </w:tc>
      </w:tr>
      <w:tr>
        <w:tc>
          <w:tcPr/>
          <w:p>
            <w:pPr>
              <w:pStyle w:val="Compact"/>
              <w:jc w:val="left"/>
            </w:pPr>
            <w:r>
              <w:t xml:space="preserve">   Sleep regularity</w:t>
            </w:r>
          </w:p>
        </w:tc>
        <w:tc>
          <w:tcPr/>
          <w:p>
            <w:pPr>
              <w:pStyle w:val="Compact"/>
              <w:jc w:val="left"/>
            </w:pPr>
            <w:r>
              <w:t xml:space="preserve">54.54 (12.67)</w:t>
            </w:r>
          </w:p>
        </w:tc>
        <w:tc>
          <w:tcPr/>
          <w:p>
            <w:pPr>
              <w:pStyle w:val="Compact"/>
              <w:jc w:val="left"/>
            </w:pPr>
            <w:r>
              <w:t xml:space="preserve">54.12 (13.05)</w:t>
            </w:r>
          </w:p>
        </w:tc>
        <w:tc>
          <w:tcPr/>
          <w:p>
            <w:pPr>
              <w:pStyle w:val="Compact"/>
              <w:jc w:val="left"/>
            </w:pPr>
            <w:r>
              <w:t xml:space="preserve">54.75 (12.83)</w:t>
            </w:r>
          </w:p>
        </w:tc>
        <w:tc>
          <w:tcPr/>
          <w:p>
            <w:pPr>
              <w:pStyle w:val="Compact"/>
              <w:jc w:val="left"/>
            </w:pPr>
            <w:r>
              <w:t xml:space="preserve">59.41 (11.52)</w:t>
            </w:r>
          </w:p>
        </w:tc>
        <w:tc>
          <w:tcPr/>
          <w:p>
            <w:pPr>
              <w:pStyle w:val="Compact"/>
              <w:jc w:val="left"/>
            </w:pPr>
            <w:r>
              <w:t xml:space="preserve">54.73 (12.55)</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2,479 (25.40%)</w:t>
            </w:r>
          </w:p>
        </w:tc>
        <w:tc>
          <w:tcPr/>
          <w:p>
            <w:pPr>
              <w:pStyle w:val="Compact"/>
              <w:jc w:val="left"/>
            </w:pPr>
            <w:r>
              <w:t xml:space="preserve">1,928 (62.97%)</w:t>
            </w:r>
          </w:p>
        </w:tc>
        <w:tc>
          <w:tcPr/>
          <w:p>
            <w:pPr>
              <w:pStyle w:val="Compact"/>
              <w:jc w:val="left"/>
            </w:pPr>
            <w:r>
              <w:t xml:space="preserve">473 (100.00%)</w:t>
            </w:r>
          </w:p>
        </w:tc>
        <w:tc>
          <w:tcPr/>
          <w:p>
            <w:pPr>
              <w:pStyle w:val="Compact"/>
              <w:jc w:val="left"/>
            </w:pPr>
            <w:r>
              <w:t xml:space="preserve">4,675 (100.00%)</w:t>
            </w:r>
          </w:p>
        </w:tc>
        <w:tc>
          <w:tcPr/>
          <w:p>
            <w:pPr>
              <w:pStyle w:val="Compact"/>
              <w:jc w:val="left"/>
            </w:pPr>
            <w:r>
              <w:t xml:space="preserve">6,563 (100.00%)</w:t>
            </w:r>
          </w:p>
        </w:tc>
      </w:tr>
      <w:tr>
        <w:tc>
          <w:tcPr/>
          <w:p>
            <w:pPr>
              <w:pStyle w:val="Compact"/>
              <w:jc w:val="left"/>
            </w:pPr>
            <w:r>
              <w:t xml:space="preserve">   Hip</w:t>
            </w:r>
          </w:p>
        </w:tc>
        <w:tc>
          <w:tcPr/>
          <w:p>
            <w:pPr>
              <w:pStyle w:val="Compact"/>
              <w:jc w:val="left"/>
            </w:pPr>
            <w:r>
              <w:t xml:space="preserve">7,279 (74.60%)</w:t>
            </w:r>
          </w:p>
        </w:tc>
        <w:tc>
          <w:tcPr/>
          <w:p>
            <w:pPr>
              <w:pStyle w:val="Compact"/>
              <w:jc w:val="left"/>
            </w:pPr>
            <w:r>
              <w:t xml:space="preserve">1,134 (37.03%)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1,830 (18.75%)</w:t>
            </w:r>
          </w:p>
        </w:tc>
        <w:tc>
          <w:tcPr/>
          <w:p>
            <w:pPr>
              <w:pStyle w:val="Compact"/>
              <w:jc w:val="left"/>
            </w:pPr>
            <w:r>
              <w:t xml:space="preserve">  469 (15.32%)</w:t>
            </w:r>
          </w:p>
        </w:tc>
        <w:tc>
          <w:tcPr/>
          <w:p>
            <w:pPr>
              <w:pStyle w:val="Compact"/>
              <w:jc w:val="left"/>
            </w:pPr>
            <w:r>
              <w:t xml:space="preserve">34 (7.19%)</w:t>
            </w:r>
          </w:p>
        </w:tc>
        <w:tc>
          <w:tcPr/>
          <w:p>
            <w:pPr>
              <w:pStyle w:val="Compact"/>
              <w:jc w:val="left"/>
            </w:pPr>
            <w:r>
              <w:t xml:space="preserve">   87 (1.86%)</w:t>
            </w:r>
          </w:p>
        </w:tc>
        <w:tc>
          <w:tcPr/>
          <w:p>
            <w:pPr>
              <w:pStyle w:val="Compact"/>
              <w:jc w:val="left"/>
            </w:pPr>
            <w:r>
              <w:t xml:space="preserve">  263 (4.01%)</w:t>
            </w:r>
          </w:p>
        </w:tc>
      </w:tr>
      <w:tr>
        <w:tc>
          <w:tcPr/>
          <w:p>
            <w:pPr>
              <w:pStyle w:val="Compact"/>
              <w:jc w:val="left"/>
            </w:pPr>
            <w:r>
              <w:t xml:space="preserve">   Unclear</w:t>
            </w:r>
          </w:p>
        </w:tc>
        <w:tc>
          <w:tcPr/>
          <w:p>
            <w:pPr>
              <w:pStyle w:val="Compact"/>
              <w:jc w:val="left"/>
            </w:pPr>
            <w:r>
              <w:t xml:space="preserve">4,016 (41.16%)</w:t>
            </w:r>
          </w:p>
        </w:tc>
        <w:tc>
          <w:tcPr/>
          <w:p>
            <w:pPr>
              <w:pStyle w:val="Compact"/>
              <w:jc w:val="left"/>
            </w:pPr>
            <w:r>
              <w:t xml:space="preserve">1,620 (52.91%)</w:t>
            </w:r>
          </w:p>
        </w:tc>
        <w:tc>
          <w:tcPr/>
          <w:p>
            <w:pPr>
              <w:pStyle w:val="Compact"/>
              <w:jc w:val="left"/>
            </w:pPr>
            <w:r>
              <w:t xml:space="preserve">235 (49.68%)</w:t>
            </w:r>
          </w:p>
        </w:tc>
        <w:tc>
          <w:tcPr/>
          <w:p>
            <w:pPr>
              <w:pStyle w:val="Compact"/>
              <w:jc w:val="left"/>
            </w:pPr>
            <w:r>
              <w:t xml:space="preserve">1,317 (28.17%)</w:t>
            </w:r>
          </w:p>
        </w:tc>
        <w:tc>
          <w:tcPr/>
          <w:p>
            <w:pPr>
              <w:pStyle w:val="Compact"/>
              <w:jc w:val="left"/>
            </w:pPr>
            <w:r>
              <w:t xml:space="preserve">2,475 (37.71%)</w:t>
            </w:r>
          </w:p>
        </w:tc>
      </w:tr>
      <w:tr>
        <w:tc>
          <w:tcPr/>
          <w:p>
            <w:pPr>
              <w:pStyle w:val="Compact"/>
              <w:jc w:val="left"/>
            </w:pPr>
            <w:r>
              <w:t xml:space="preserve">   White</w:t>
            </w:r>
          </w:p>
        </w:tc>
        <w:tc>
          <w:tcPr/>
          <w:p>
            <w:pPr>
              <w:pStyle w:val="Compact"/>
              <w:jc w:val="left"/>
            </w:pPr>
            <w:r>
              <w:t xml:space="preserve">3,912 (40.09%)</w:t>
            </w:r>
          </w:p>
        </w:tc>
        <w:tc>
          <w:tcPr/>
          <w:p>
            <w:pPr>
              <w:pStyle w:val="Compact"/>
              <w:jc w:val="left"/>
            </w:pPr>
            <w:r>
              <w:t xml:space="preserve">  973 (31.78%)</w:t>
            </w:r>
          </w:p>
        </w:tc>
        <w:tc>
          <w:tcPr/>
          <w:p>
            <w:pPr>
              <w:pStyle w:val="Compact"/>
              <w:jc w:val="left"/>
            </w:pPr>
            <w:r>
              <w:t xml:space="preserve">204 (43.13%)</w:t>
            </w:r>
          </w:p>
        </w:tc>
        <w:tc>
          <w:tcPr/>
          <w:p>
            <w:pPr>
              <w:pStyle w:val="Compact"/>
              <w:jc w:val="left"/>
            </w:pPr>
            <w:r>
              <w:t xml:space="preserve">3,271 (69.97%)</w:t>
            </w:r>
          </w:p>
        </w:tc>
        <w:tc>
          <w:tcPr/>
          <w:p>
            <w:pPr>
              <w:pStyle w:val="Compact"/>
              <w:jc w:val="left"/>
            </w:pPr>
            <w:r>
              <w:t xml:space="preserve">3,825 (58.28%)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3,203 (32.82%)</w:t>
            </w:r>
          </w:p>
        </w:tc>
        <w:tc>
          <w:tcPr/>
          <w:p>
            <w:pPr>
              <w:pStyle w:val="Compact"/>
              <w:jc w:val="left"/>
            </w:pPr>
            <w:r>
              <w:t xml:space="preserve">1,189 (38.83%)</w:t>
            </w:r>
          </w:p>
        </w:tc>
        <w:tc>
          <w:tcPr/>
          <w:p>
            <w:pPr>
              <w:pStyle w:val="Compact"/>
              <w:jc w:val="left"/>
            </w:pPr>
            <w:r>
              <w:t xml:space="preserve">234 (49.47%)</w:t>
            </w:r>
          </w:p>
        </w:tc>
        <w:tc>
          <w:tcPr/>
          <w:p>
            <w:pPr>
              <w:pStyle w:val="Compact"/>
              <w:jc w:val="left"/>
            </w:pPr>
            <w:r>
              <w:t xml:space="preserve">4,305 (92.09%)</w:t>
            </w:r>
          </w:p>
        </w:tc>
        <w:tc>
          <w:tcPr/>
          <w:p>
            <w:pPr>
              <w:pStyle w:val="Compact"/>
              <w:jc w:val="left"/>
            </w:pPr>
            <w:r>
              <w:t xml:space="preserve">6,560 (99.95%)</w:t>
            </w:r>
          </w:p>
        </w:tc>
      </w:tr>
      <w:tr>
        <w:tc>
          <w:tcPr/>
          <w:p>
            <w:pPr>
              <w:pStyle w:val="Compact"/>
              <w:jc w:val="left"/>
            </w:pPr>
            <w:r>
              <w:t xml:space="preserve">   Oceania</w:t>
            </w:r>
          </w:p>
        </w:tc>
        <w:tc>
          <w:tcPr/>
          <w:p>
            <w:pPr>
              <w:pStyle w:val="Compact"/>
              <w:jc w:val="left"/>
            </w:pPr>
            <w:r>
              <w:t xml:space="preserve">1,761 (18.05%)</w:t>
            </w:r>
          </w:p>
        </w:tc>
        <w:tc>
          <w:tcPr/>
          <w:p>
            <w:pPr>
              <w:pStyle w:val="Compact"/>
              <w:jc w:val="left"/>
            </w:pPr>
            <w:r>
              <w:t xml:space="preserve">  552 (18.03%)</w:t>
            </w:r>
          </w:p>
        </w:tc>
        <w:tc>
          <w:tcPr/>
          <w:p>
            <w:pPr>
              <w:pStyle w:val="Compact"/>
              <w:jc w:val="left"/>
            </w:pPr>
            <w:r>
              <w:t xml:space="preserve">123 (26.00%)</w:t>
            </w:r>
          </w:p>
        </w:tc>
        <w:tc>
          <w:tcPr/>
          <w:p>
            <w:pPr>
              <w:pStyle w:val="Compact"/>
              <w:jc w:val="left"/>
            </w:pPr>
            <w:r>
              <w:t xml:space="preserve">  370 (7.91%)</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2,074 (21.25%)</w:t>
            </w:r>
          </w:p>
        </w:tc>
        <w:tc>
          <w:tcPr/>
          <w:p>
            <w:pPr>
              <w:pStyle w:val="Compact"/>
              <w:jc w:val="left"/>
            </w:pPr>
            <w:r>
              <w:t xml:space="preserve">  984 (32.14%)</w:t>
            </w:r>
          </w:p>
        </w:tc>
        <w:tc>
          <w:tcPr/>
          <w:p>
            <w:pPr>
              <w:pStyle w:val="Compact"/>
              <w:jc w:val="left"/>
            </w:pPr>
            <w:r>
              <w:t xml:space="preserve">116 (24.52%)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876 (8.98%)</w:t>
            </w:r>
          </w:p>
        </w:tc>
        <w:tc>
          <w:tcPr/>
          <w:p>
            <w:pPr>
              <w:pStyle w:val="Compact"/>
              <w:jc w:val="left"/>
            </w:pPr>
            <w:r>
              <w:t xml:space="preserve">  167 (5.45%)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610 (6.25%)</w:t>
            </w:r>
          </w:p>
        </w:tc>
        <w:tc>
          <w:tcPr/>
          <w:p>
            <w:pPr>
              <w:pStyle w:val="Compact"/>
              <w:jc w:val="left"/>
            </w:pPr>
            <w:r>
              <w:t xml:space="preserve">   90 (2.94%)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1,234 (12.65%)</w:t>
            </w:r>
          </w:p>
        </w:tc>
        <w:tc>
          <w:tcPr/>
          <w:p>
            <w:pPr>
              <w:pStyle w:val="Compact"/>
              <w:jc w:val="left"/>
            </w:pPr>
            <w:r>
              <w:t xml:space="preserve">   80 (2.61%)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3,183 (32.62%)</w:t>
            </w:r>
          </w:p>
        </w:tc>
        <w:tc>
          <w:tcPr/>
          <w:p>
            <w:pPr>
              <w:pStyle w:val="Compact"/>
              <w:jc w:val="left"/>
            </w:pPr>
            <w:r>
              <w:t xml:space="preserve">  663 (21.65%)</w:t>
            </w:r>
          </w:p>
        </w:tc>
        <w:tc>
          <w:tcPr/>
          <w:p>
            <w:pPr>
              <w:pStyle w:val="Compact"/>
              <w:jc w:val="left"/>
            </w:pPr>
            <w:r>
              <w:t xml:space="preserve">54 (11.42%)</w:t>
            </w:r>
          </w:p>
        </w:tc>
        <w:tc>
          <w:tcPr/>
          <w:p>
            <w:pPr>
              <w:pStyle w:val="Compact"/>
              <w:jc w:val="left"/>
            </w:pPr>
            <w:r>
              <w:t xml:space="preserve">1,149 (24.58%)</w:t>
            </w:r>
          </w:p>
        </w:tc>
        <w:tc>
          <w:tcPr/>
          <w:p>
            <w:pPr>
              <w:pStyle w:val="Compact"/>
              <w:jc w:val="left"/>
            </w:pPr>
            <w:r>
              <w:t xml:space="preserve">1,404 (21.39%)</w:t>
            </w:r>
          </w:p>
        </w:tc>
      </w:tr>
      <w:tr>
        <w:tc>
          <w:tcPr/>
          <w:p>
            <w:pPr>
              <w:pStyle w:val="Compact"/>
              <w:jc w:val="left"/>
            </w:pPr>
            <w:r>
              <w:t xml:space="preserve">   Spring</w:t>
            </w:r>
          </w:p>
        </w:tc>
        <w:tc>
          <w:tcPr/>
          <w:p>
            <w:pPr>
              <w:pStyle w:val="Compact"/>
              <w:jc w:val="left"/>
            </w:pPr>
            <w:r>
              <w:t xml:space="preserve">2,263 (23.19%)</w:t>
            </w:r>
          </w:p>
        </w:tc>
        <w:tc>
          <w:tcPr/>
          <w:p>
            <w:pPr>
              <w:pStyle w:val="Compact"/>
              <w:jc w:val="left"/>
            </w:pPr>
            <w:r>
              <w:t xml:space="preserve">1,599 (52.22%)</w:t>
            </w:r>
          </w:p>
        </w:tc>
        <w:tc>
          <w:tcPr/>
          <w:p>
            <w:pPr>
              <w:pStyle w:val="Compact"/>
              <w:jc w:val="left"/>
            </w:pPr>
            <w:r>
              <w:t xml:space="preserve">264 (55.81%)</w:t>
            </w:r>
          </w:p>
        </w:tc>
        <w:tc>
          <w:tcPr/>
          <w:p>
            <w:pPr>
              <w:pStyle w:val="Compact"/>
              <w:jc w:val="left"/>
            </w:pPr>
            <w:r>
              <w:t xml:space="preserve">1,156 (24.73%)</w:t>
            </w:r>
          </w:p>
        </w:tc>
        <w:tc>
          <w:tcPr/>
          <w:p>
            <w:pPr>
              <w:pStyle w:val="Compact"/>
              <w:jc w:val="left"/>
            </w:pPr>
            <w:r>
              <w:t xml:space="preserve">2,128 (32.42%)</w:t>
            </w:r>
          </w:p>
        </w:tc>
      </w:tr>
      <w:tr>
        <w:tc>
          <w:tcPr/>
          <w:p>
            <w:pPr>
              <w:pStyle w:val="Compact"/>
              <w:jc w:val="left"/>
            </w:pPr>
            <w:r>
              <w:t xml:space="preserve">   Summer</w:t>
            </w:r>
          </w:p>
        </w:tc>
        <w:tc>
          <w:tcPr/>
          <w:p>
            <w:pPr>
              <w:pStyle w:val="Compact"/>
              <w:jc w:val="left"/>
            </w:pPr>
            <w:r>
              <w:t xml:space="preserve">1,223 (12.53%)</w:t>
            </w:r>
          </w:p>
        </w:tc>
        <w:tc>
          <w:tcPr/>
          <w:p>
            <w:pPr>
              <w:pStyle w:val="Compact"/>
              <w:jc w:val="left"/>
            </w:pPr>
            <w:r>
              <w:t xml:space="preserve">  314 (10.25%)</w:t>
            </w:r>
          </w:p>
        </w:tc>
        <w:tc>
          <w:tcPr/>
          <w:p>
            <w:pPr>
              <w:pStyle w:val="Compact"/>
              <w:jc w:val="left"/>
            </w:pPr>
            <w:r>
              <w:t xml:space="preserve">86 (18.18%)</w:t>
            </w:r>
          </w:p>
        </w:tc>
        <w:tc>
          <w:tcPr/>
          <w:p>
            <w:pPr>
              <w:pStyle w:val="Compact"/>
              <w:jc w:val="left"/>
            </w:pPr>
            <w:r>
              <w:t xml:space="preserve">1,175 (25.13%)</w:t>
            </w:r>
          </w:p>
        </w:tc>
        <w:tc>
          <w:tcPr/>
          <w:p>
            <w:pPr>
              <w:pStyle w:val="Compact"/>
              <w:jc w:val="left"/>
            </w:pPr>
            <w:r>
              <w:t xml:space="preserve">1,358 (20.69%)</w:t>
            </w:r>
          </w:p>
        </w:tc>
      </w:tr>
      <w:tr>
        <w:tc>
          <w:tcPr/>
          <w:p>
            <w:pPr>
              <w:pStyle w:val="Compact"/>
              <w:jc w:val="left"/>
            </w:pPr>
            <w:r>
              <w:t xml:space="preserve">   Winter</w:t>
            </w:r>
          </w:p>
        </w:tc>
        <w:tc>
          <w:tcPr/>
          <w:p>
            <w:pPr>
              <w:pStyle w:val="Compact"/>
              <w:jc w:val="left"/>
            </w:pPr>
            <w:r>
              <w:t xml:space="preserve">3,089 (31.66%)</w:t>
            </w:r>
          </w:p>
        </w:tc>
        <w:tc>
          <w:tcPr/>
          <w:p>
            <w:pPr>
              <w:pStyle w:val="Compact"/>
              <w:jc w:val="left"/>
            </w:pPr>
            <w:r>
              <w:t xml:space="preserve">  486 (15.87%)</w:t>
            </w:r>
          </w:p>
        </w:tc>
        <w:tc>
          <w:tcPr/>
          <w:p>
            <w:pPr>
              <w:pStyle w:val="Compact"/>
              <w:jc w:val="left"/>
            </w:pPr>
            <w:r>
              <w:t xml:space="preserve">69 (14.59%)</w:t>
            </w:r>
          </w:p>
        </w:tc>
        <w:tc>
          <w:tcPr/>
          <w:p>
            <w:pPr>
              <w:pStyle w:val="Compact"/>
              <w:jc w:val="left"/>
            </w:pPr>
            <w:r>
              <w:t xml:space="preserve">1,195 (25.56%)</w:t>
            </w:r>
          </w:p>
        </w:tc>
        <w:tc>
          <w:tcPr/>
          <w:p>
            <w:pPr>
              <w:pStyle w:val="Compact"/>
              <w:jc w:val="left"/>
            </w:pPr>
            <w:r>
              <w:t xml:space="preserve">1,673 (25.49%)</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5,118 (52.45%)</w:t>
            </w:r>
          </w:p>
        </w:tc>
        <w:tc>
          <w:tcPr/>
          <w:p>
            <w:pPr>
              <w:pStyle w:val="Compact"/>
              <w:jc w:val="left"/>
            </w:pPr>
            <w:r>
              <w:t xml:space="preserve">1,593 (52.02%)</w:t>
            </w:r>
          </w:p>
        </w:tc>
        <w:tc>
          <w:tcPr/>
          <w:p>
            <w:pPr>
              <w:pStyle w:val="Compact"/>
              <w:jc w:val="left"/>
            </w:pPr>
            <w:r>
              <w:t xml:space="preserve">306 (64.69%)</w:t>
            </w:r>
          </w:p>
        </w:tc>
        <w:tc>
          <w:tcPr/>
          <w:p>
            <w:pPr>
              <w:pStyle w:val="Compact"/>
              <w:jc w:val="left"/>
            </w:pPr>
            <w:r>
              <w:t xml:space="preserve">2,619 (56.02%)</w:t>
            </w:r>
          </w:p>
        </w:tc>
        <w:tc>
          <w:tcPr/>
          <w:p>
            <w:pPr>
              <w:pStyle w:val="Compact"/>
              <w:jc w:val="left"/>
            </w:pPr>
            <w:r>
              <w:t xml:space="preserve">2,725 (41.52%)</w:t>
            </w:r>
          </w:p>
        </w:tc>
      </w:tr>
      <w:tr>
        <w:tc>
          <w:tcPr/>
          <w:p>
            <w:pPr>
              <w:pStyle w:val="Compact"/>
              <w:jc w:val="left"/>
            </w:pPr>
            <w:r>
              <w:t xml:space="preserve">   Male</w:t>
            </w:r>
          </w:p>
        </w:tc>
        <w:tc>
          <w:tcPr/>
          <w:p>
            <w:pPr>
              <w:pStyle w:val="Compact"/>
              <w:jc w:val="left"/>
            </w:pPr>
            <w:r>
              <w:t xml:space="preserve">4,640 (47.55%)</w:t>
            </w:r>
          </w:p>
        </w:tc>
        <w:tc>
          <w:tcPr/>
          <w:p>
            <w:pPr>
              <w:pStyle w:val="Compact"/>
              <w:jc w:val="left"/>
            </w:pPr>
            <w:r>
              <w:t xml:space="preserve">1,469 (47.98%)</w:t>
            </w:r>
          </w:p>
        </w:tc>
        <w:tc>
          <w:tcPr/>
          <w:p>
            <w:pPr>
              <w:pStyle w:val="Compact"/>
              <w:jc w:val="left"/>
            </w:pPr>
            <w:r>
              <w:t xml:space="preserve">167 (35.31%)</w:t>
            </w:r>
          </w:p>
        </w:tc>
        <w:tc>
          <w:tcPr/>
          <w:p>
            <w:pPr>
              <w:pStyle w:val="Compact"/>
              <w:jc w:val="left"/>
            </w:pPr>
            <w:r>
              <w:t xml:space="preserve">2,056 (43.98%)</w:t>
            </w:r>
          </w:p>
        </w:tc>
        <w:tc>
          <w:tcPr/>
          <w:p>
            <w:pPr>
              <w:pStyle w:val="Compact"/>
              <w:jc w:val="left"/>
            </w:pPr>
            <w:r>
              <w:t xml:space="preserve">3,838 (58.48%)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(0.50%)</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261 (5.58%)</w:t>
            </w:r>
          </w:p>
        </w:tc>
        <w:tc>
          <w:tcPr/>
          <w:p>
            <w:pPr>
              <w:pStyle w:val="Compact"/>
              <w:jc w:val="left"/>
            </w:pPr>
            <w:r>
              <w:t xml:space="preserve">  682 (10.39%)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3,607 (36.96%)</w:t>
            </w:r>
          </w:p>
        </w:tc>
        <w:tc>
          <w:tcPr/>
          <w:p>
            <w:pPr>
              <w:pStyle w:val="Compact"/>
              <w:jc w:val="left"/>
            </w:pPr>
            <w:r>
              <w:t xml:space="preserve">  819 (26.75%)</w:t>
            </w:r>
          </w:p>
        </w:tc>
        <w:tc>
          <w:tcPr/>
          <w:p>
            <w:pPr>
              <w:pStyle w:val="Compact"/>
              <w:jc w:val="left"/>
            </w:pPr>
            <w:r>
              <w:t xml:space="preserve">65 (13.74%)</w:t>
            </w:r>
          </w:p>
        </w:tc>
        <w:tc>
          <w:tcPr/>
          <w:p>
            <w:pPr>
              <w:pStyle w:val="Compact"/>
              <w:jc w:val="left"/>
            </w:pPr>
            <w:r>
              <w:t xml:space="preserve">1,162 (24.86%)</w:t>
            </w:r>
          </w:p>
        </w:tc>
        <w:tc>
          <w:tcPr/>
          <w:p>
            <w:pPr>
              <w:pStyle w:val="Compact"/>
              <w:jc w:val="left"/>
            </w:pPr>
            <w:r>
              <w:t xml:space="preserve">2,490 (37.94%)</w:t>
            </w:r>
          </w:p>
        </w:tc>
      </w:tr>
      <w:tr>
        <w:tc>
          <w:tcPr/>
          <w:p>
            <w:pPr>
              <w:pStyle w:val="Compact"/>
              <w:jc w:val="left"/>
            </w:pPr>
            <w:r>
              <w:t xml:space="preserve">   Medium</w:t>
            </w:r>
          </w:p>
        </w:tc>
        <w:tc>
          <w:tcPr/>
          <w:p>
            <w:pPr>
              <w:pStyle w:val="Compact"/>
              <w:jc w:val="left"/>
            </w:pPr>
            <w:r>
              <w:t xml:space="preserve">2,670 (27.36%)</w:t>
            </w:r>
          </w:p>
        </w:tc>
        <w:tc>
          <w:tcPr/>
          <w:p>
            <w:pPr>
              <w:pStyle w:val="Compact"/>
              <w:jc w:val="left"/>
            </w:pPr>
            <w:r>
              <w:t xml:space="preserve">1,105 (36.09%)</w:t>
            </w:r>
          </w:p>
        </w:tc>
        <w:tc>
          <w:tcPr/>
          <w:p>
            <w:pPr>
              <w:pStyle w:val="Compact"/>
              <w:jc w:val="left"/>
            </w:pPr>
            <w:r>
              <w:t xml:space="preserve">265 (56.03%)</w:t>
            </w:r>
          </w:p>
        </w:tc>
        <w:tc>
          <w:tcPr/>
          <w:p>
            <w:pPr>
              <w:pStyle w:val="Compact"/>
              <w:jc w:val="left"/>
            </w:pPr>
            <w:r>
              <w:t xml:space="preserve">2,221 (47.51%)</w:t>
            </w:r>
          </w:p>
        </w:tc>
        <w:tc>
          <w:tcPr/>
          <w:p>
            <w:pPr>
              <w:pStyle w:val="Compact"/>
              <w:jc w:val="left"/>
            </w:pPr>
            <w:r>
              <w:t xml:space="preserve">2,569 (39.14%)</w:t>
            </w:r>
          </w:p>
        </w:tc>
      </w:tr>
      <w:tr>
        <w:tc>
          <w:tcPr/>
          <w:p>
            <w:pPr>
              <w:pStyle w:val="Compact"/>
              <w:jc w:val="left"/>
            </w:pPr>
            <w:r>
              <w:t xml:space="preserve">   High</w:t>
            </w:r>
          </w:p>
        </w:tc>
        <w:tc>
          <w:tcPr/>
          <w:p>
            <w:pPr>
              <w:pStyle w:val="Compact"/>
              <w:jc w:val="left"/>
            </w:pPr>
            <w:r>
              <w:t xml:space="preserve">3,481 (35.67%)</w:t>
            </w:r>
          </w:p>
        </w:tc>
        <w:tc>
          <w:tcPr/>
          <w:p>
            <w:pPr>
              <w:pStyle w:val="Compact"/>
              <w:jc w:val="left"/>
            </w:pPr>
            <w:r>
              <w:t xml:space="preserve">1,138 (37.17%)</w:t>
            </w:r>
          </w:p>
        </w:tc>
        <w:tc>
          <w:tcPr/>
          <w:p>
            <w:pPr>
              <w:pStyle w:val="Compact"/>
              <w:jc w:val="left"/>
            </w:pPr>
            <w:r>
              <w:t xml:space="preserve">143 (30.23%)</w:t>
            </w:r>
          </w:p>
        </w:tc>
        <w:tc>
          <w:tcPr/>
          <w:p>
            <w:pPr>
              <w:pStyle w:val="Compact"/>
              <w:jc w:val="left"/>
            </w:pPr>
            <w:r>
              <w:t xml:space="preserve">1,292 (27.64%)</w:t>
            </w:r>
          </w:p>
        </w:tc>
        <w:tc>
          <w:tcPr/>
          <w:p>
            <w:pPr>
              <w:pStyle w:val="Compact"/>
              <w:jc w:val="left"/>
            </w:pPr>
            <w:r>
              <w:t xml:space="preserve">1,504 (22.92%)</w:t>
            </w:r>
          </w:p>
        </w:tc>
      </w:tr>
    </w:tbl>
    <w:p>
      <w:pPr>
        <w:pStyle w:val="table-note"/>
      </w:pPr>
      <w:r>
        <w:rPr>
          <w:i/>
          <w:iCs/>
        </w:rPr>
        <w:t xml:space="preserve">Note.</w:t>
      </w:r>
      <w:r>
        <w:t xml:space="preserve"> </w:t>
      </w:r>
      <w:r>
        <w:t xml:space="preserve">88 participants had missing age data. For categorical variables the value is the count, and percentage. For numeric variables the value is the Mean and SD. N = 28,823</w:t>
      </w:r>
    </w:p>
    <w:p>
      <w:pPr>
        <w:pStyle w:val="Textkrper"/>
      </w:pPr>
      <w:r>
        <w:t xml:space="preserve"> </w:t>
      </w:r>
    </w:p>
    <w:bookmarkStart w:id="39"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We estimated the effect of physical activity volume on sleep by age, and the results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There was no meaningful relationship between physical activity volume and sleep duration or sleep efficiency.</w:t>
      </w:r>
      <w:r>
        <w:t xml:space="preserve"> </w:t>
      </w:r>
      <w:r>
        <w:t xml:space="preserve">Physical activity volume and sleep onset had a very weak positive association for younger individuals, but a negative association for older individuals, where sleep onset was reduced among those with the highest physical activity.</w:t>
      </w:r>
      <w:r>
        <w:t xml:space="preserve"> </w:t>
      </w:r>
      <w:r>
        <w:t xml:space="preserve">There was a strong positive association between physical activity volume and sleep regularity, which was strongest among older participants.</w:t>
      </w:r>
      <w:r>
        <w:t xml:space="preserve"> </w:t>
      </w:r>
      <w:r>
        <w:t xml:space="preserve">For participants aged 35 years and above, this link weakened among those with a physical activity volume greater than two standard deviations.</w:t>
      </w:r>
    </w:p>
    <w:p>
      <w:pPr>
        <w:pStyle w:val="TableCaption"/>
      </w:pPr>
      <w:bookmarkStart w:id="34" w:name="tab:sleep-outcomes"/>
      <w:bookmarkEnd w:id="34"/>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0.24 [0.06, 0.41]</w:t>
            </w:r>
          </w:p>
        </w:tc>
        <w:tc>
          <w:tcPr/>
          <w:p>
            <w:pPr>
              <w:pStyle w:val="Compact"/>
              <w:jc w:val="left"/>
            </w:pPr>
            <w:r>
              <w:t xml:space="preserve">0.09</w:t>
            </w:r>
          </w:p>
        </w:tc>
        <w:tc>
          <w:tcPr/>
          <w:p>
            <w:pPr>
              <w:pStyle w:val="Compact"/>
              <w:jc w:val="left"/>
            </w:pPr>
            <w:r>
              <w:t xml:space="preserve">2.69</w:t>
            </w:r>
          </w:p>
        </w:tc>
        <w:tc>
          <w:tcPr/>
          <w:p>
            <w:pPr>
              <w:pStyle w:val="Compact"/>
              <w:jc w:val="left"/>
            </w:pPr>
            <w:r>
              <w:t xml:space="preserve">.007</w:t>
            </w:r>
          </w:p>
        </w:tc>
        <w:tc>
          <w:tcPr/>
          <w:p>
            <w:pPr>
              <w:pStyle w:val="Compact"/>
              <w:jc w:val="left"/>
            </w:pPr>
            <w:r>
              <w:t xml:space="preserve">0.24 [0.07, 0.40]</w:t>
            </w:r>
          </w:p>
        </w:tc>
        <w:tc>
          <w:tcPr/>
          <w:p>
            <w:pPr>
              <w:pStyle w:val="Compact"/>
              <w:jc w:val="left"/>
            </w:pPr>
            <w:r>
              <w:t xml:space="preserve">0.08</w:t>
            </w:r>
          </w:p>
        </w:tc>
        <w:tc>
          <w:tcPr/>
          <w:p>
            <w:pPr>
              <w:pStyle w:val="Compact"/>
              <w:jc w:val="left"/>
            </w:pPr>
            <w:r>
              <w:t xml:space="preserve">2.85</w:t>
            </w:r>
          </w:p>
        </w:tc>
        <w:tc>
          <w:tcPr/>
          <w:p>
            <w:pPr>
              <w:pStyle w:val="Compact"/>
              <w:jc w:val="left"/>
            </w:pPr>
            <w:r>
              <w:t xml:space="preserve">.004</w:t>
            </w:r>
          </w:p>
        </w:tc>
      </w:tr>
      <w:tr>
        <w:tc>
          <w:tcPr/>
          <w:p>
            <w:pPr>
              <w:pStyle w:val="Compact"/>
              <w:jc w:val="left"/>
            </w:pPr>
            <w:r>
              <w:t xml:space="preserve">   Physical activity</w:t>
            </w:r>
          </w:p>
        </w:tc>
        <w:tc>
          <w:tcPr/>
          <w:p>
            <w:pPr>
              <w:pStyle w:val="Compact"/>
              <w:jc w:val="left"/>
            </w:pPr>
            <w:r>
              <w:t xml:space="preserve">0.10 [0.08, 0.12]</w:t>
            </w:r>
          </w:p>
        </w:tc>
        <w:tc>
          <w:tcPr/>
          <w:p>
            <w:pPr>
              <w:pStyle w:val="Compact"/>
              <w:jc w:val="left"/>
            </w:pPr>
            <w:r>
              <w:t xml:space="preserve">0.01</w:t>
            </w:r>
          </w:p>
        </w:tc>
        <w:tc>
          <w:tcPr/>
          <w:p>
            <w:pPr>
              <w:pStyle w:val="Compact"/>
              <w:jc w:val="left"/>
            </w:pPr>
            <w:r>
              <w:t xml:space="preserve">10.88</w:t>
            </w:r>
          </w:p>
        </w:tc>
        <w:tc>
          <w:tcPr/>
          <w:p>
            <w:pPr>
              <w:pStyle w:val="Compact"/>
              <w:jc w:val="left"/>
            </w:pPr>
            <w:r>
              <w:t xml:space="preserve">&lt; .001</w:t>
            </w:r>
          </w:p>
        </w:tc>
        <w:tc>
          <w:tcPr/>
          <w:p>
            <w:pPr>
              <w:pStyle w:val="Compact"/>
              <w:jc w:val="left"/>
            </w:pPr>
            <w:r>
              <w:t xml:space="preserve">0.08 [0.07, 0.10]</w:t>
            </w:r>
          </w:p>
        </w:tc>
        <w:tc>
          <w:tcPr/>
          <w:p>
            <w:pPr>
              <w:pStyle w:val="Compact"/>
              <w:jc w:val="left"/>
            </w:pPr>
            <w:r>
              <w:t xml:space="preserve">0.01</w:t>
            </w:r>
          </w:p>
        </w:tc>
        <w:tc>
          <w:tcPr/>
          <w:p>
            <w:pPr>
              <w:pStyle w:val="Compact"/>
              <w:jc w:val="left"/>
            </w:pPr>
            <w:r>
              <w:t xml:space="preserve">10.50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-3.00</w:t>
            </w:r>
          </w:p>
        </w:tc>
        <w:tc>
          <w:tcPr/>
          <w:p>
            <w:pPr>
              <w:pStyle w:val="Compact"/>
              <w:jc w:val="left"/>
            </w:pPr>
            <w:r>
              <w:t xml:space="preserve">.003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-2.92</w:t>
            </w:r>
          </w:p>
        </w:tc>
        <w:tc>
          <w:tcPr/>
          <w:p>
            <w:pPr>
              <w:pStyle w:val="Compact"/>
              <w:jc w:val="left"/>
            </w:pPr>
            <w:r>
              <w:t xml:space="preserve">.004</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-4.94</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0.00</w:t>
            </w:r>
          </w:p>
        </w:tc>
        <w:tc>
          <w:tcPr/>
          <w:p>
            <w:pPr>
              <w:pStyle w:val="Compact"/>
              <w:jc w:val="left"/>
            </w:pPr>
            <w:r>
              <w:t xml:space="preserve">2.76</w:t>
            </w:r>
          </w:p>
        </w:tc>
        <w:tc>
          <w:tcPr/>
          <w:p>
            <w:pPr>
              <w:pStyle w:val="Compact"/>
              <w:jc w:val="left"/>
            </w:pPr>
            <w:r>
              <w:t xml:space="preserve">.006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-3.57</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-5.73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-4.89</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0.26 [0.09, 0.44]</w:t>
            </w:r>
          </w:p>
        </w:tc>
        <w:tc>
          <w:tcPr/>
          <w:p>
            <w:pPr>
              <w:pStyle w:val="Compact"/>
              <w:jc w:val="left"/>
            </w:pPr>
            <w:r>
              <w:t xml:space="preserve">0.09</w:t>
            </w:r>
          </w:p>
        </w:tc>
        <w:tc>
          <w:tcPr/>
          <w:p>
            <w:pPr>
              <w:pStyle w:val="Compact"/>
              <w:jc w:val="left"/>
            </w:pPr>
            <w:r>
              <w:t xml:space="preserve">2.92</w:t>
            </w:r>
          </w:p>
        </w:tc>
        <w:tc>
          <w:tcPr/>
          <w:p>
            <w:pPr>
              <w:pStyle w:val="Compact"/>
              <w:jc w:val="left"/>
            </w:pPr>
            <w:r>
              <w:t xml:space="preserve">.004</w:t>
            </w:r>
          </w:p>
        </w:tc>
        <w:tc>
          <w:tcPr/>
          <w:p>
            <w:pPr>
              <w:pStyle w:val="Compact"/>
              <w:jc w:val="left"/>
            </w:pPr>
            <w:r>
              <w:t xml:space="preserve">0.29 [0.10, 0.47]</w:t>
            </w:r>
          </w:p>
        </w:tc>
        <w:tc>
          <w:tcPr/>
          <w:p>
            <w:pPr>
              <w:pStyle w:val="Compact"/>
              <w:jc w:val="left"/>
            </w:pPr>
            <w:r>
              <w:t xml:space="preserve">0.10</w:t>
            </w:r>
          </w:p>
        </w:tc>
        <w:tc>
          <w:tcPr/>
          <w:p>
            <w:pPr>
              <w:pStyle w:val="Compact"/>
              <w:jc w:val="left"/>
            </w:pPr>
            <w:r>
              <w:t xml:space="preserve">2.99</w:t>
            </w:r>
          </w:p>
        </w:tc>
        <w:tc>
          <w:tcPr/>
          <w:p>
            <w:pPr>
              <w:pStyle w:val="Compact"/>
              <w:jc w:val="left"/>
            </w:pPr>
            <w:r>
              <w:t xml:space="preserve">.003</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11.30</w:t>
            </w:r>
          </w:p>
        </w:tc>
        <w:tc>
          <w:tcPr/>
          <w:p>
            <w:pPr>
              <w:pStyle w:val="Compact"/>
              <w:jc w:val="left"/>
            </w:pPr>
            <w:r>
              <w:t xml:space="preserve">&lt; .001</w:t>
            </w:r>
          </w:p>
        </w:tc>
        <w:tc>
          <w:tcPr/>
          <w:p>
            <w:pPr>
              <w:pStyle w:val="Compact"/>
              <w:jc w:val="left"/>
            </w:pPr>
            <w:r>
              <w:t xml:space="preserve">0.06 [0.05, 0.08]</w:t>
            </w:r>
          </w:p>
        </w:tc>
        <w:tc>
          <w:tcPr/>
          <w:p>
            <w:pPr>
              <w:pStyle w:val="Compact"/>
              <w:jc w:val="left"/>
            </w:pPr>
            <w:r>
              <w:t xml:space="preserve">0.01</w:t>
            </w:r>
          </w:p>
        </w:tc>
        <w:tc>
          <w:tcPr/>
          <w:p>
            <w:pPr>
              <w:pStyle w:val="Compact"/>
              <w:jc w:val="left"/>
            </w:pPr>
            <w:r>
              <w:t xml:space="preserve">7.97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-0.18</w:t>
            </w:r>
          </w:p>
        </w:tc>
        <w:tc>
          <w:tcPr/>
          <w:p>
            <w:pPr>
              <w:pStyle w:val="Compact"/>
              <w:jc w:val="left"/>
            </w:pPr>
            <w:r>
              <w:t xml:space="preserve">.855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-0.86</w:t>
            </w:r>
          </w:p>
        </w:tc>
        <w:tc>
          <w:tcPr/>
          <w:p>
            <w:pPr>
              <w:pStyle w:val="Compact"/>
              <w:jc w:val="left"/>
            </w:pPr>
            <w:r>
              <w:t xml:space="preserve">.391</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-0.02]</w:t>
            </w:r>
          </w:p>
        </w:tc>
        <w:tc>
          <w:tcPr/>
          <w:p>
            <w:pPr>
              <w:pStyle w:val="Compact"/>
              <w:jc w:val="left"/>
            </w:pPr>
            <w:r>
              <w:t xml:space="preserve">0.00</w:t>
            </w:r>
          </w:p>
        </w:tc>
        <w:tc>
          <w:tcPr/>
          <w:p>
            <w:pPr>
              <w:pStyle w:val="Compact"/>
              <w:jc w:val="left"/>
            </w:pPr>
            <w:r>
              <w:t xml:space="preserve">-11.97</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-6.69</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-10.55</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-7.17</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4.79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5.40</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[-0.27, 0.27]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.995</w:t>
            </w:r>
          </w:p>
        </w:tc>
        <w:tc>
          <w:tcPr/>
          <w:p>
            <w:pPr>
              <w:pStyle w:val="Compact"/>
              <w:jc w:val="left"/>
            </w:pPr>
            <w:r>
              <w:t xml:space="preserve">0.00 [-0.26, 0.26]</w:t>
            </w:r>
          </w:p>
        </w:tc>
        <w:tc>
          <w:tcPr/>
          <w:p>
            <w:pPr>
              <w:pStyle w:val="Compact"/>
              <w:jc w:val="left"/>
            </w:pPr>
            <w:r>
              <w:t xml:space="preserve">0.13</w:t>
            </w:r>
          </w:p>
        </w:tc>
        <w:tc>
          <w:tcPr/>
          <w:p>
            <w:pPr>
              <w:pStyle w:val="Compact"/>
              <w:jc w:val="left"/>
            </w:pPr>
            <w:r>
              <w:t xml:space="preserve">0.01</w:t>
            </w:r>
          </w:p>
        </w:tc>
        <w:tc>
          <w:tcPr/>
          <w:p>
            <w:pPr>
              <w:pStyle w:val="Compact"/>
              <w:jc w:val="left"/>
            </w:pPr>
            <w:r>
              <w:t xml:space="preserve">.988</w:t>
            </w:r>
          </w:p>
        </w:tc>
      </w:tr>
      <w:tr>
        <w:tc>
          <w:tcPr/>
          <w:p>
            <w:pPr>
              <w:pStyle w:val="Compact"/>
              <w:jc w:val="left"/>
            </w:pPr>
            <w:r>
              <w:t xml:space="preserve">   Physical activity</w:t>
            </w:r>
          </w:p>
        </w:tc>
        <w:tc>
          <w:tcPr/>
          <w:p>
            <w:pPr>
              <w:pStyle w:val="Compact"/>
              <w:jc w:val="left"/>
            </w:pPr>
            <w:r>
              <w:t xml:space="preserve">-0.03 [-0.04, -0.01]</w:t>
            </w:r>
          </w:p>
        </w:tc>
        <w:tc>
          <w:tcPr/>
          <w:p>
            <w:pPr>
              <w:pStyle w:val="Compact"/>
              <w:jc w:val="left"/>
            </w:pPr>
            <w:r>
              <w:t xml:space="preserve">0.01</w:t>
            </w:r>
          </w:p>
        </w:tc>
        <w:tc>
          <w:tcPr/>
          <w:p>
            <w:pPr>
              <w:pStyle w:val="Compact"/>
              <w:jc w:val="left"/>
            </w:pPr>
            <w:r>
              <w:t xml:space="preserve">-3.61</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0.01</w:t>
            </w:r>
          </w:p>
        </w:tc>
        <w:tc>
          <w:tcPr/>
          <w:p>
            <w:pPr>
              <w:pStyle w:val="Compact"/>
              <w:jc w:val="left"/>
            </w:pPr>
            <w:r>
              <w:t xml:space="preserve">-10.30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-1.73</w:t>
            </w:r>
          </w:p>
        </w:tc>
        <w:tc>
          <w:tcPr/>
          <w:p>
            <w:pPr>
              <w:pStyle w:val="Compact"/>
              <w:jc w:val="left"/>
            </w:pPr>
            <w:r>
              <w:t xml:space="preserve">.083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-1.22</w:t>
            </w:r>
          </w:p>
        </w:tc>
        <w:tc>
          <w:tcPr/>
          <w:p>
            <w:pPr>
              <w:pStyle w:val="Compact"/>
              <w:jc w:val="left"/>
            </w:pPr>
            <w:r>
              <w:t xml:space="preserve">.222</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-4.30</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-9.25</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-11.48</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1.35</w:t>
            </w:r>
          </w:p>
        </w:tc>
        <w:tc>
          <w:tcPr/>
          <w:p>
            <w:pPr>
              <w:pStyle w:val="Compact"/>
              <w:jc w:val="left"/>
            </w:pPr>
            <w:r>
              <w:t xml:space="preserve">.178</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8.83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11.29</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0.53 [0.38, 0.67]</w:t>
            </w:r>
          </w:p>
        </w:tc>
        <w:tc>
          <w:tcPr/>
          <w:p>
            <w:pPr>
              <w:pStyle w:val="Compact"/>
              <w:jc w:val="left"/>
            </w:pPr>
            <w:r>
              <w:t xml:space="preserve">0.07</w:t>
            </w:r>
          </w:p>
        </w:tc>
        <w:tc>
          <w:tcPr/>
          <w:p>
            <w:pPr>
              <w:pStyle w:val="Compact"/>
              <w:jc w:val="left"/>
            </w:pPr>
            <w:r>
              <w:t xml:space="preserve">7.18</w:t>
            </w:r>
          </w:p>
        </w:tc>
        <w:tc>
          <w:tcPr/>
          <w:p>
            <w:pPr>
              <w:pStyle w:val="Compact"/>
              <w:jc w:val="left"/>
            </w:pPr>
            <w:r>
              <w:t xml:space="preserve">&lt; .001</w:t>
            </w:r>
          </w:p>
        </w:tc>
        <w:tc>
          <w:tcPr/>
          <w:p>
            <w:pPr>
              <w:pStyle w:val="Compact"/>
              <w:jc w:val="left"/>
            </w:pPr>
            <w:r>
              <w:t xml:space="preserve">0.71 [0.53, 0.89]</w:t>
            </w:r>
          </w:p>
        </w:tc>
        <w:tc>
          <w:tcPr/>
          <w:p>
            <w:pPr>
              <w:pStyle w:val="Compact"/>
              <w:jc w:val="left"/>
            </w:pPr>
            <w:r>
              <w:t xml:space="preserve">0.09</w:t>
            </w:r>
          </w:p>
        </w:tc>
        <w:tc>
          <w:tcPr/>
          <w:p>
            <w:pPr>
              <w:pStyle w:val="Compact"/>
              <w:jc w:val="left"/>
            </w:pPr>
            <w:r>
              <w:t xml:space="preserve">7.60</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0.24 [0.22, 0.25]</w:t>
            </w:r>
          </w:p>
        </w:tc>
        <w:tc>
          <w:tcPr/>
          <w:p>
            <w:pPr>
              <w:pStyle w:val="Compact"/>
              <w:jc w:val="left"/>
            </w:pPr>
            <w:r>
              <w:t xml:space="preserve">0.01</w:t>
            </w:r>
          </w:p>
        </w:tc>
        <w:tc>
          <w:tcPr/>
          <w:p>
            <w:pPr>
              <w:pStyle w:val="Compact"/>
              <w:jc w:val="left"/>
            </w:pPr>
            <w:r>
              <w:t xml:space="preserve">25.42</w:t>
            </w:r>
          </w:p>
        </w:tc>
        <w:tc>
          <w:tcPr/>
          <w:p>
            <w:pPr>
              <w:pStyle w:val="Compact"/>
              <w:jc w:val="left"/>
            </w:pPr>
            <w:r>
              <w:t xml:space="preserve">&lt; .001</w:t>
            </w:r>
          </w:p>
        </w:tc>
        <w:tc>
          <w:tcPr/>
          <w:p>
            <w:pPr>
              <w:pStyle w:val="Compact"/>
              <w:jc w:val="left"/>
            </w:pPr>
            <w:r>
              <w:t xml:space="preserve">0.27 [0.25, 0.29]</w:t>
            </w:r>
          </w:p>
        </w:tc>
        <w:tc>
          <w:tcPr/>
          <w:p>
            <w:pPr>
              <w:pStyle w:val="Compact"/>
              <w:jc w:val="left"/>
            </w:pPr>
            <w:r>
              <w:t xml:space="preserve">0.01</w:t>
            </w:r>
          </w:p>
        </w:tc>
        <w:tc>
          <w:tcPr/>
          <w:p>
            <w:pPr>
              <w:pStyle w:val="Compact"/>
              <w:jc w:val="left"/>
            </w:pPr>
            <w:r>
              <w:t xml:space="preserve">29.15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1.06</w:t>
            </w:r>
          </w:p>
        </w:tc>
        <w:tc>
          <w:tcPr/>
          <w:p>
            <w:pPr>
              <w:pStyle w:val="Compact"/>
              <w:jc w:val="left"/>
            </w:pPr>
            <w:r>
              <w:t xml:space="preserve">.293</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-3.08</w:t>
            </w:r>
          </w:p>
        </w:tc>
        <w:tc>
          <w:tcPr/>
          <w:p>
            <w:pPr>
              <w:pStyle w:val="Compact"/>
              <w:jc w:val="left"/>
            </w:pPr>
            <w:r>
              <w:t xml:space="preserve">.003</w:t>
            </w:r>
          </w:p>
        </w:tc>
      </w:tr>
      <w:tr>
        <w:tc>
          <w:tcPr/>
          <w:p>
            <w:pPr>
              <w:pStyle w:val="Compact"/>
              <w:jc w:val="left"/>
            </w:pPr>
            <w:r>
              <w:t xml:space="preserve">   Physical activity</w:t>
            </w:r>
            <m:oMath>
              <m:sSup>
                <m:e>
                  <m:r>
                    <m:t>​</m:t>
                  </m:r>
                </m:e>
                <m:sup>
                  <m:r>
                    <m:t>2</m:t>
                  </m:r>
                </m:sup>
              </m:sSup>
            </m:oMath>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-15.45</w:t>
            </w:r>
          </w:p>
        </w:tc>
        <w:tc>
          <w:tcPr/>
          <w:p>
            <w:pPr>
              <w:pStyle w:val="Compact"/>
              <w:jc w:val="left"/>
            </w:pPr>
            <w:r>
              <w:t xml:space="preserve">&lt; .001</w:t>
            </w:r>
          </w:p>
        </w:tc>
        <w:tc>
          <w:tcPr/>
          <w:p>
            <w:pPr>
              <w:pStyle w:val="Compact"/>
              <w:jc w:val="left"/>
            </w:pPr>
            <w:r>
              <w:t xml:space="preserve">-0.10 [-0.11, -0.09]</w:t>
            </w:r>
          </w:p>
        </w:tc>
        <w:tc>
          <w:tcPr/>
          <w:p>
            <w:pPr>
              <w:pStyle w:val="Compact"/>
              <w:jc w:val="left"/>
            </w:pPr>
            <w:r>
              <w:t xml:space="preserve">0.01</w:t>
            </w:r>
          </w:p>
        </w:tc>
        <w:tc>
          <w:tcPr/>
          <w:p>
            <w:pPr>
              <w:pStyle w:val="Compact"/>
              <w:jc w:val="left"/>
            </w:pPr>
            <w:r>
              <w:t xml:space="preserve">-18.83</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-1.48</w:t>
            </w:r>
          </w:p>
        </w:tc>
        <w:tc>
          <w:tcPr/>
          <w:p>
            <w:pPr>
              <w:pStyle w:val="Compact"/>
              <w:jc w:val="left"/>
            </w:pPr>
            <w:r>
              <w:t xml:space="preserve">.141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-21.58</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-5.89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9.47</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6" name="Picture"/>
            <a:graphic>
              <a:graphicData uri="http://schemas.openxmlformats.org/drawingml/2006/picture">
                <pic:pic>
                  <pic:nvPicPr>
                    <pic:cNvPr descr="../Figures/Sleep%20on%20scale_pa_volume%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sleep-by-volume-fig"/>
      <w:bookmarkEnd w:id="38"/>
      <w:r>
        <w:t xml:space="preserve">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9"/>
    <w:bookmarkStart w:id="44"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w:t>
      </w:r>
      <w:r>
        <w:t xml:space="preserve"> </w:t>
      </w:r>
      <w:r>
        <w:t xml:space="preserve">We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found no evidence that physical activity intensity is related to sleep duration, sleep efficiency, or sleep onset.</w:t>
      </w:r>
      <w:r>
        <w:t xml:space="preserve"> </w:t>
      </w:r>
      <w:r>
        <w:t xml:space="preserve">However, we did find evidence for an association between physical activity intensity and improved sleep regularity, which weakened as age increased.</w:t>
      </w:r>
    </w:p>
    <w:p>
      <w:pPr>
        <w:pStyle w:val="CaptionedFigure"/>
      </w:pPr>
      <w:r>
        <w:drawing>
          <wp:inline>
            <wp:extent cx="3810000" cy="2540000"/>
            <wp:effectExtent b="0" l="0" r="0" t="0"/>
            <wp:docPr descr="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Sleep%20on%20scale_pa_intensity%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sleep-by-intensity-fig"/>
      <w:bookmarkEnd w:id="43"/>
      <w:r>
        <w:t xml:space="preserve">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44"/>
    <w:bookmarkStart w:id="50"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w:t>
      </w:r>
    </w:p>
    <w:p>
      <w:pPr>
        <w:pStyle w:val="TableCaption"/>
      </w:pPr>
      <w:bookmarkStart w:id="45" w:name="tab:pa-outcomes"/>
      <w:bookmarkEnd w:id="45"/>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1.64 [1.29, 1.99]</w:t>
            </w:r>
          </w:p>
        </w:tc>
        <w:tc>
          <w:tcPr/>
          <w:p>
            <w:pPr>
              <w:pStyle w:val="Compact"/>
              <w:jc w:val="left"/>
            </w:pPr>
            <w:r>
              <w:t xml:space="preserve">0.18</w:t>
            </w:r>
          </w:p>
        </w:tc>
        <w:tc>
          <w:tcPr/>
          <w:p>
            <w:pPr>
              <w:pStyle w:val="Compact"/>
              <w:jc w:val="left"/>
            </w:pPr>
            <w:r>
              <w:t xml:space="preserve">9.17</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20.34</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0.00 [-0.02, 0.03]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.813</w:t>
            </w:r>
          </w:p>
        </w:tc>
        <w:tc>
          <w:tcPr/>
          <w:p>
            <w:pPr>
              <w:pStyle w:val="Compact"/>
              <w:jc w:val="left"/>
            </w:pPr>
            <w:r>
              <w:t xml:space="preserve">0.00 [-0.01, 0.02]</w:t>
            </w:r>
          </w:p>
        </w:tc>
        <w:tc>
          <w:tcPr/>
          <w:p>
            <w:pPr>
              <w:pStyle w:val="Compact"/>
              <w:jc w:val="left"/>
            </w:pPr>
            <w:r>
              <w:t xml:space="preserve">0.01</w:t>
            </w:r>
          </w:p>
        </w:tc>
        <w:tc>
          <w:tcPr/>
          <w:p>
            <w:pPr>
              <w:pStyle w:val="Compact"/>
              <w:jc w:val="left"/>
            </w:pPr>
            <w:r>
              <w:t xml:space="preserve">0.43</w:t>
            </w:r>
          </w:p>
        </w:tc>
        <w:tc>
          <w:tcPr/>
          <w:p>
            <w:pPr>
              <w:pStyle w:val="Compact"/>
              <w:jc w:val="left"/>
            </w:pPr>
            <w:r>
              <w:t xml:space="preserve">.667</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-38.29</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-1.41</w:t>
            </w:r>
          </w:p>
        </w:tc>
        <w:tc>
          <w:tcPr/>
          <w:p>
            <w:pPr>
              <w:pStyle w:val="Compact"/>
              <w:jc w:val="left"/>
            </w:pPr>
            <w:r>
              <w:t xml:space="preserve">.161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1.96</w:t>
            </w:r>
          </w:p>
        </w:tc>
        <w:tc>
          <w:tcPr/>
          <w:p>
            <w:pPr>
              <w:pStyle w:val="Compact"/>
              <w:jc w:val="left"/>
            </w:pPr>
            <w:r>
              <w:t xml:space="preserve">.052</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-3.23</w:t>
            </w:r>
          </w:p>
        </w:tc>
        <w:tc>
          <w:tcPr/>
          <w:p>
            <w:pPr>
              <w:pStyle w:val="Compact"/>
              <w:jc w:val="left"/>
            </w:pPr>
            <w:r>
              <w:t xml:space="preserve">.002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w:t>
            </w:r>
          </w:p>
        </w:tc>
        <w:tc>
          <w:tcPr/>
          <w:p>
            <w:pPr>
              <w:pStyle w:val="Compact"/>
              <w:jc w:val="left"/>
            </w:pPr>
            <w:r>
              <w:t xml:space="preserve">.032</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1.63 [1.28, 1.98]</w:t>
            </w:r>
          </w:p>
        </w:tc>
        <w:tc>
          <w:tcPr/>
          <w:p>
            <w:pPr>
              <w:pStyle w:val="Compact"/>
              <w:jc w:val="left"/>
            </w:pPr>
            <w:r>
              <w:t xml:space="preserve">0.18</w:t>
            </w:r>
          </w:p>
        </w:tc>
        <w:tc>
          <w:tcPr/>
          <w:p>
            <w:pPr>
              <w:pStyle w:val="Compact"/>
              <w:jc w:val="left"/>
            </w:pPr>
            <w:r>
              <w:t xml:space="preserve">9.13</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20.40</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0.02 [0.00, 0.03]</w:t>
            </w:r>
          </w:p>
        </w:tc>
        <w:tc>
          <w:tcPr/>
          <w:p>
            <w:pPr>
              <w:pStyle w:val="Compact"/>
              <w:jc w:val="left"/>
            </w:pPr>
            <w:r>
              <w:t xml:space="preserve">0.01</w:t>
            </w:r>
          </w:p>
        </w:tc>
        <w:tc>
          <w:tcPr/>
          <w:p>
            <w:pPr>
              <w:pStyle w:val="Compact"/>
              <w:jc w:val="left"/>
            </w:pPr>
            <w:r>
              <w:t xml:space="preserve">1.98</w:t>
            </w:r>
          </w:p>
        </w:tc>
        <w:tc>
          <w:tcPr/>
          <w:p>
            <w:pPr>
              <w:pStyle w:val="Compact"/>
              <w:jc w:val="left"/>
            </w:pPr>
            <w:r>
              <w:t xml:space="preserve">.051</w:t>
            </w:r>
          </w:p>
        </w:tc>
        <w:tc>
          <w:tcPr/>
          <w:p>
            <w:pPr>
              <w:pStyle w:val="Compact"/>
              <w:jc w:val="left"/>
            </w:pPr>
            <w:r>
              <w:t xml:space="preserve">0.03 [0.02, 0.04]</w:t>
            </w:r>
          </w:p>
        </w:tc>
        <w:tc>
          <w:tcPr/>
          <w:p>
            <w:pPr>
              <w:pStyle w:val="Compact"/>
              <w:jc w:val="left"/>
            </w:pPr>
            <w:r>
              <w:t xml:space="preserve">0.01</w:t>
            </w:r>
          </w:p>
        </w:tc>
        <w:tc>
          <w:tcPr/>
          <w:p>
            <w:pPr>
              <w:pStyle w:val="Compact"/>
              <w:jc w:val="left"/>
            </w:pPr>
            <w:r>
              <w:t xml:space="preserve">4.45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-38.52</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-48.47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1.86</w:t>
            </w:r>
          </w:p>
        </w:tc>
        <w:tc>
          <w:tcPr/>
          <w:p>
            <w:pPr>
              <w:pStyle w:val="Compact"/>
              <w:jc w:val="left"/>
            </w:pPr>
            <w:r>
              <w:t xml:space="preserve">.065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4.28</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-0.89</w:t>
            </w:r>
          </w:p>
        </w:tc>
        <w:tc>
          <w:tcPr/>
          <w:p>
            <w:pPr>
              <w:pStyle w:val="Compact"/>
              <w:jc w:val="left"/>
            </w:pPr>
            <w:r>
              <w:t xml:space="preserve">.373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-1.32</w:t>
            </w:r>
          </w:p>
        </w:tc>
        <w:tc>
          <w:tcPr/>
          <w:p>
            <w:pPr>
              <w:pStyle w:val="Compact"/>
              <w:jc w:val="left"/>
            </w:pPr>
            <w:r>
              <w:t xml:space="preserve">.188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-2.79</w:t>
            </w:r>
          </w:p>
        </w:tc>
        <w:tc>
          <w:tcPr/>
          <w:p>
            <w:pPr>
              <w:pStyle w:val="Compact"/>
              <w:jc w:val="left"/>
            </w:pPr>
            <w:r>
              <w:t xml:space="preserve">.005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1.65 [1.29, 2.00]</w:t>
            </w:r>
          </w:p>
        </w:tc>
        <w:tc>
          <w:tcPr/>
          <w:p>
            <w:pPr>
              <w:pStyle w:val="Compact"/>
              <w:jc w:val="left"/>
            </w:pPr>
            <w:r>
              <w:t xml:space="preserve">0.18</w:t>
            </w:r>
          </w:p>
        </w:tc>
        <w:tc>
          <w:tcPr/>
          <w:p>
            <w:pPr>
              <w:pStyle w:val="Compact"/>
              <w:jc w:val="left"/>
            </w:pPr>
            <w:r>
              <w:t xml:space="preserve">9.12</w:t>
            </w:r>
          </w:p>
        </w:tc>
        <w:tc>
          <w:tcPr/>
          <w:p>
            <w:pPr>
              <w:pStyle w:val="Compact"/>
              <w:jc w:val="left"/>
            </w:pPr>
            <w:r>
              <w:t xml:space="preserve">&lt; .001</w:t>
            </w:r>
          </w:p>
        </w:tc>
        <w:tc>
          <w:tcPr/>
          <w:p>
            <w:pPr>
              <w:pStyle w:val="Compact"/>
              <w:jc w:val="left"/>
            </w:pPr>
            <w:r>
              <w:t xml:space="preserve">1.47 [1.33, 1.61]</w:t>
            </w:r>
          </w:p>
        </w:tc>
        <w:tc>
          <w:tcPr/>
          <w:p>
            <w:pPr>
              <w:pStyle w:val="Compact"/>
              <w:jc w:val="left"/>
            </w:pPr>
            <w:r>
              <w:t xml:space="preserve">0.07</w:t>
            </w:r>
          </w:p>
        </w:tc>
        <w:tc>
          <w:tcPr/>
          <w:p>
            <w:pPr>
              <w:pStyle w:val="Compact"/>
              <w:jc w:val="left"/>
            </w:pPr>
            <w:r>
              <w:t xml:space="preserve">20.28</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0.01]</w:t>
            </w:r>
          </w:p>
        </w:tc>
        <w:tc>
          <w:tcPr/>
          <w:p>
            <w:pPr>
              <w:pStyle w:val="Compact"/>
              <w:jc w:val="left"/>
            </w:pPr>
            <w:r>
              <w:t xml:space="preserve">0.02</w:t>
            </w:r>
          </w:p>
        </w:tc>
        <w:tc>
          <w:tcPr/>
          <w:p>
            <w:pPr>
              <w:pStyle w:val="Compact"/>
              <w:jc w:val="left"/>
            </w:pPr>
            <w:r>
              <w:t xml:space="preserve">-1.41</w:t>
            </w:r>
          </w:p>
        </w:tc>
        <w:tc>
          <w:tcPr/>
          <w:p>
            <w:pPr>
              <w:pStyle w:val="Compact"/>
              <w:jc w:val="left"/>
            </w:pPr>
            <w:r>
              <w:t xml:space="preserve">.165</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.630</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-38.31</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-48.15</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[-0.03, 0.00]</w:t>
            </w:r>
          </w:p>
        </w:tc>
        <w:tc>
          <w:tcPr/>
          <w:p>
            <w:pPr>
              <w:pStyle w:val="Compact"/>
              <w:jc w:val="left"/>
            </w:pPr>
            <w:r>
              <w:t xml:space="preserve">0.01</w:t>
            </w:r>
          </w:p>
        </w:tc>
        <w:tc>
          <w:tcPr/>
          <w:p>
            <w:pPr>
              <w:pStyle w:val="Compact"/>
              <w:jc w:val="left"/>
            </w:pPr>
            <w:r>
              <w:t xml:space="preserve">-2.61</w:t>
            </w:r>
          </w:p>
        </w:tc>
        <w:tc>
          <w:tcPr/>
          <w:p>
            <w:pPr>
              <w:pStyle w:val="Compact"/>
              <w:jc w:val="left"/>
            </w:pPr>
            <w:r>
              <w:t xml:space="preserve">.011</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0.01</w:t>
            </w:r>
          </w:p>
        </w:tc>
        <w:tc>
          <w:tcPr/>
          <w:p>
            <w:pPr>
              <w:pStyle w:val="Compact"/>
              <w:jc w:val="left"/>
            </w:pPr>
            <w:r>
              <w:t xml:space="preserve">.992</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1.16</w:t>
            </w:r>
          </w:p>
        </w:tc>
        <w:tc>
          <w:tcPr/>
          <w:p>
            <w:pPr>
              <w:pStyle w:val="Compact"/>
              <w:jc w:val="left"/>
            </w:pPr>
            <w:r>
              <w:t xml:space="preserve">.249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.414</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-0.78</w:t>
            </w:r>
          </w:p>
        </w:tc>
        <w:tc>
          <w:tcPr/>
          <w:p>
            <w:pPr>
              <w:pStyle w:val="Compact"/>
              <w:jc w:val="left"/>
            </w:pPr>
            <w:r>
              <w:t xml:space="preserve">.435</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1.59 [1.25, 1.94]</w:t>
            </w:r>
          </w:p>
        </w:tc>
        <w:tc>
          <w:tcPr/>
          <w:p>
            <w:pPr>
              <w:pStyle w:val="Compact"/>
              <w:jc w:val="left"/>
            </w:pPr>
            <w:r>
              <w:t xml:space="preserve">0.18</w:t>
            </w:r>
          </w:p>
        </w:tc>
        <w:tc>
          <w:tcPr/>
          <w:p>
            <w:pPr>
              <w:pStyle w:val="Compact"/>
              <w:jc w:val="left"/>
            </w:pPr>
            <w:r>
              <w:t xml:space="preserve">9.08</w:t>
            </w:r>
          </w:p>
        </w:tc>
        <w:tc>
          <w:tcPr/>
          <w:p>
            <w:pPr>
              <w:pStyle w:val="Compact"/>
              <w:jc w:val="left"/>
            </w:pPr>
            <w:r>
              <w:t xml:space="preserve">&lt; .001</w:t>
            </w:r>
          </w:p>
        </w:tc>
        <w:tc>
          <w:tcPr/>
          <w:p>
            <w:pPr>
              <w:pStyle w:val="Compact"/>
              <w:jc w:val="left"/>
            </w:pPr>
            <w:r>
              <w:t xml:space="preserve">1.45 [1.31, 1.58]</w:t>
            </w:r>
          </w:p>
        </w:tc>
        <w:tc>
          <w:tcPr/>
          <w:p>
            <w:pPr>
              <w:pStyle w:val="Compact"/>
              <w:jc w:val="left"/>
            </w:pPr>
            <w:r>
              <w:t xml:space="preserve">0.07</w:t>
            </w:r>
          </w:p>
        </w:tc>
        <w:tc>
          <w:tcPr/>
          <w:p>
            <w:pPr>
              <w:pStyle w:val="Compact"/>
              <w:jc w:val="left"/>
            </w:pPr>
            <w:r>
              <w:t xml:space="preserve">20.69</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0.11 [0.09, 0.12]</w:t>
            </w:r>
          </w:p>
        </w:tc>
        <w:tc>
          <w:tcPr/>
          <w:p>
            <w:pPr>
              <w:pStyle w:val="Compact"/>
              <w:jc w:val="left"/>
            </w:pPr>
            <w:r>
              <w:t xml:space="preserve">0.01</w:t>
            </w:r>
          </w:p>
        </w:tc>
        <w:tc>
          <w:tcPr/>
          <w:p>
            <w:pPr>
              <w:pStyle w:val="Compact"/>
              <w:jc w:val="left"/>
            </w:pPr>
            <w:r>
              <w:t xml:space="preserve">12.20</w:t>
            </w:r>
          </w:p>
        </w:tc>
        <w:tc>
          <w:tcPr/>
          <w:p>
            <w:pPr>
              <w:pStyle w:val="Compact"/>
              <w:jc w:val="left"/>
            </w:pPr>
            <w:r>
              <w:t xml:space="preserve">&lt; .001</w:t>
            </w:r>
          </w:p>
        </w:tc>
        <w:tc>
          <w:tcPr/>
          <w:p>
            <w:pPr>
              <w:pStyle w:val="Compact"/>
              <w:jc w:val="left"/>
            </w:pPr>
            <w:r>
              <w:t xml:space="preserve">0.08 [0.07, 0.09]</w:t>
            </w:r>
          </w:p>
        </w:tc>
        <w:tc>
          <w:tcPr/>
          <w:p>
            <w:pPr>
              <w:pStyle w:val="Compact"/>
              <w:jc w:val="left"/>
            </w:pPr>
            <w:r>
              <w:t xml:space="preserve">0.01</w:t>
            </w:r>
          </w:p>
        </w:tc>
        <w:tc>
          <w:tcPr/>
          <w:p>
            <w:pPr>
              <w:pStyle w:val="Compact"/>
              <w:jc w:val="left"/>
            </w:pPr>
            <w:r>
              <w:t xml:space="preserve">13.75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-38.26</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-48.34</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.668</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-2.11</w:t>
            </w:r>
          </w:p>
        </w:tc>
        <w:tc>
          <w:tcPr/>
          <w:p>
            <w:pPr>
              <w:pStyle w:val="Compact"/>
              <w:jc w:val="left"/>
            </w:pPr>
            <w:r>
              <w:t xml:space="preserve">.035</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0.53</w:t>
            </w:r>
          </w:p>
        </w:tc>
        <w:tc>
          <w:tcPr/>
          <w:p>
            <w:pPr>
              <w:pStyle w:val="Compact"/>
              <w:jc w:val="left"/>
            </w:pPr>
            <w:r>
              <w:t xml:space="preserve">.598</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7" name="Picture"/>
            <a:graphic>
              <a:graphicData uri="http://schemas.openxmlformats.org/drawingml/2006/picture">
                <pic:pic>
                  <pic:nvPicPr>
                    <pic:cNvPr descr="../Figures/PA%20on%20scale_sleep_duration_lag%20by%20Age_nolog.jpg" id="48" name="Picture"/>
                    <pic:cNvPicPr>
                      <a:picLocks noChangeArrowheads="1" noChangeAspect="1"/>
                    </pic:cNvPicPr>
                  </pic:nvPicPr>
                  <pic:blipFill>
                    <a:blip r:embed="rId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9" w:name="fig:PA-by-sleep-duration-fig"/>
      <w:bookmarkEnd w:id="49"/>
      <w:r>
        <w:t xml:space="preserve">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50"/>
    <w:bookmarkStart w:id="55"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We did not find a relationship between sleep efficiency and physical activity volume.</w:t>
      </w:r>
      <w:r>
        <w:t xml:space="preserve"> </w:t>
      </w:r>
      <w:r>
        <w:t xml:space="preserve">However, there was a weak linear association between sleep efficiency and more intense physical activity.</w:t>
      </w:r>
    </w:p>
    <w:p>
      <w:pPr>
        <w:pStyle w:val="CaptionedFigure"/>
      </w:pPr>
      <w:r>
        <w:drawing>
          <wp:inline>
            <wp:extent cx="3810000" cy="2540000"/>
            <wp:effectExtent b="0" l="0" r="0" t="0"/>
            <wp:docPr descr="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2" name="Picture"/>
            <a:graphic>
              <a:graphicData uri="http://schemas.openxmlformats.org/drawingml/2006/picture">
                <pic:pic>
                  <pic:nvPicPr>
                    <pic:cNvPr descr="../Figures/PA%20on%20scale_sleep_efficiency_lag%20by%20Age_nolog.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4" w:name="fig:PA-by-sleep-efficiency-fig"/>
      <w:bookmarkEnd w:id="54"/>
      <w:r>
        <w:t xml:space="preserve">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5"/>
    <w:bookmarkStart w:id="60"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and intensity.</w:t>
      </w:r>
      <w:r>
        <w:t xml:space="preserve"> </w:t>
      </w:r>
      <w:r>
        <w:t xml:space="preserve">The U-shaped relationship between sleep onset and physical activity volume attenuated for older participants.</w:t>
      </w:r>
    </w:p>
    <w:p>
      <w:pPr>
        <w:pStyle w:val="CaptionedFigure"/>
      </w:pPr>
      <w:r>
        <w:drawing>
          <wp:inline>
            <wp:extent cx="3810000" cy="2540000"/>
            <wp:effectExtent b="0" l="0" r="0" t="0"/>
            <wp:docPr descr="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7" name="Picture"/>
            <a:graphic>
              <a:graphicData uri="http://schemas.openxmlformats.org/drawingml/2006/picture">
                <pic:pic>
                  <pic:nvPicPr>
                    <pic:cNvPr descr="../Figures/PA%20on%20scale_sleep_onset_lag%20by%20Age_nolo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9" w:name="fig:PA-by-sleep-onset-fig"/>
      <w:bookmarkEnd w:id="59"/>
      <w:r>
        <w:t xml:space="preserve">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60"/>
    <w:bookmarkStart w:id="65"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J-shaped relationship between sleep regularity and physical activity volume.</w:t>
      </w:r>
      <w:r>
        <w:t xml:space="preserve"> </w:t>
      </w:r>
      <w:r>
        <w:t xml:space="preserve">Participants with below-average sleep regularity tended to have average physical activity volume.</w:t>
      </w:r>
      <w:r>
        <w:t xml:space="preserve"> </w:t>
      </w:r>
      <w:r>
        <w:t xml:space="preserve">Increases in regularity above the average were linked to greater physical activity volume.</w:t>
      </w:r>
      <w:r>
        <w:t xml:space="preserve"> </w:t>
      </w:r>
      <w:r>
        <w:t xml:space="preserve">There was a linear relationship between sleep regularity and physical activity intensity which slightly attenuated with age.</w:t>
      </w:r>
      <w:r>
        <w:t xml:space="preserve"> </w:t>
      </w:r>
      <w:r>
        <w:t xml:space="preserve">Greater sleep regularity was associated with greater physical activity the following day.</w:t>
      </w:r>
    </w:p>
    <w:p>
      <w:pPr>
        <w:pStyle w:val="CaptionedFigure"/>
      </w:pPr>
      <w:r>
        <w:drawing>
          <wp:inline>
            <wp:extent cx="3810000" cy="2540000"/>
            <wp:effectExtent b="0" l="0" r="0" t="0"/>
            <wp:docPr descr="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2" name="Picture"/>
            <a:graphic>
              <a:graphicData uri="http://schemas.openxmlformats.org/drawingml/2006/picture">
                <pic:pic>
                  <pic:nvPicPr>
                    <pic:cNvPr descr="../Figures/PA%20on%20scale_sleep_regularity_lag%20by%20Age_nolog.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4" w:name="fig:PA-by-sleep-regularity-fig"/>
      <w:bookmarkEnd w:id="64"/>
      <w:r>
        <w:t xml:space="preserve">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5"/>
    <w:bookmarkEnd w:id="66"/>
    <w:bookmarkStart w:id="67" w:name="discussion"/>
    <w:p>
      <w:pPr>
        <w:pStyle w:val="berschrift1"/>
      </w:pPr>
      <w:r>
        <w:t xml:space="preserve">Discussion</w:t>
      </w:r>
    </w:p>
    <w:p>
      <w:pPr>
        <w:pStyle w:val="FirstParagraph"/>
      </w:pPr>
      <w:r>
        <w:t xml:space="preserve">In this study, we collated and harmonised device-measured physical activity and sleep data from 20 studies around the world, covering participants across the lifespan.</w:t>
      </w:r>
      <w:r>
        <w:t xml:space="preserve"> </w:t>
      </w:r>
      <w:r>
        <w:t xml:space="preserve">We found no evidence that physical activity volume or intensity are related to sleep duration or efficiency.</w:t>
      </w:r>
      <w:r>
        <w:t xml:space="preserve"> </w:t>
      </w:r>
      <w:r>
        <w:t xml:space="preserve">We did, however, observe relationships between the volume of physical activity an individual accumulated, and their subsequent sleep onset and regularity.</w:t>
      </w:r>
      <w:r>
        <w:t xml:space="preserve"> </w:t>
      </w:r>
      <w:r>
        <w:t xml:space="preserve">Sleep was more regular among people who engaged in more intense physical activity.</w:t>
      </w:r>
      <w:r>
        <w:t xml:space="preserve"> </w:t>
      </w:r>
      <w:r>
        <w:t xml:space="preserve">Further, we found no evidence that sleep duration or efficiency were associated with physical activity volume.</w:t>
      </w:r>
      <w:r>
        <w:t xml:space="preserve"> </w:t>
      </w:r>
      <w:r>
        <w:t xml:space="preserve">Those who slept more efficiently engaged in more intense physical activity the following day.</w:t>
      </w:r>
      <w:r>
        <w:t xml:space="preserve"> </w:t>
      </w:r>
      <w:r>
        <w:t xml:space="preserve">Those who fell asleep earlier and at a more regular time also engaged in more intense physical activity, and engaged in more total physical activity.</w:t>
      </w:r>
      <w:r>
        <w:t xml:space="preserve"> </w:t>
      </w:r>
      <w:r>
        <w:t xml:space="preserve">These findings were largely robust to the decisions made during analysis (see supplementary materials for all analyses).</w:t>
      </w:r>
    </w:p>
    <w:p>
      <w:pPr>
        <w:pStyle w:val="Textkrper"/>
      </w:pPr>
      <w:r>
        <w:t xml:space="preserve">The lack of association between physical activity and sleep duration or efficiency is particularly notable, as a relationship between these variables has been observed in meta-analyses</w:t>
      </w:r>
      <w:r>
        <w:t xml:space="preserve"> </w:t>
      </w:r>
      <w:r>
        <w:t xml:space="preserve">[8]</w:t>
      </w:r>
      <w:r>
        <w:t xml:space="preserve">.</w:t>
      </w:r>
      <w:r>
        <w:t xml:space="preserve"> </w:t>
      </w:r>
      <w:r>
        <w:t xml:space="preserve">For example,</w:t>
      </w:r>
      <w:r>
        <w:t xml:space="preserve"> </w:t>
      </w:r>
      <w:r>
        <w:t xml:space="preserve">[9]</w:t>
      </w:r>
      <w:r>
        <w:t xml:space="preserve"> </w:t>
      </w:r>
      <w:r>
        <w:t xml:space="preserve">found small (</w:t>
      </w:r>
      <m:oMath>
        <m:r>
          <m:t>0.22</m:t>
        </m:r>
        <m:r>
          <m:rPr>
            <m:sty m:val="p"/>
          </m:rPr>
          <m:t>&lt;</m:t>
        </m:r>
        <m:r>
          <m:t>d</m:t>
        </m:r>
        <m:r>
          <m:rPr>
            <m:sty m:val="p"/>
          </m:rPr>
          <m:t>&lt;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This discrepancy could be due to the design of the studies, as the majority of studies which have found a relationship were experimental.</w:t>
      </w:r>
      <w:r>
        <w:t xml:space="preserve"> </w:t>
      </w:r>
      <w:r>
        <w:t xml:space="preserve">That is, physical activity was manipulated and it may be that the routine nature of individuals’ physical activity makes associations more difficult to detect.</w:t>
      </w:r>
      <w:r>
        <w:t xml:space="preserve"> </w:t>
      </w:r>
      <w:r>
        <w:t xml:space="preserve">Similarly, most of the studies which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could also be that duration of sleep is set more by parameters external to the individual, such as work schedules or parenting duties, than by individual health behaviours.</w:t>
      </w:r>
    </w:p>
    <w:p>
      <w:pPr>
        <w:pStyle w:val="Textkrper"/>
      </w:pPr>
      <w:r>
        <w:t xml:space="preserve">We found the most consistent evidence for relationships between sleep onset and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[8]</w:t>
      </w:r>
      <w:r>
        <w:t xml:space="preserve">, or that they are habitual and linked to factors such as the value placed on health.</w:t>
      </w:r>
      <w:r>
        <w:t xml:space="preserve"> </w:t>
      </w:r>
      <w:r>
        <w:t xml:space="preserve">Sleep regularity is a stronger predictor of mortality than sleep duration</w:t>
      </w:r>
      <w:r>
        <w:t xml:space="preserve"> </w:t>
      </w:r>
      <w:r>
        <w:t xml:space="preserve">[44]</w:t>
      </w:r>
      <w:r>
        <w:t xml:space="preserve">, and so the finding that physical activity is associated with sleep regularity may be particularly important.</w:t>
      </w:r>
    </w:p>
    <w:p>
      <w:pPr>
        <w:pStyle w:val="Textkrper"/>
      </w:pPr>
      <w:r>
        <w:t xml:space="preserve">Interestingly, the effects of physical activity on sleep regularity were stronger in older adults compared to younger individuals.</w:t>
      </w:r>
      <w:r>
        <w:t xml:space="preserve"> </w:t>
      </w:r>
      <w:r>
        <w:t xml:space="preserve">This age-dependent association suggests that promoting physical activity in older adults could be a particularly effective strategy for improving sleep health, which may contribute to better overall health outcomes</w:t>
      </w:r>
      <w:r>
        <w:t xml:space="preserve"> </w:t>
      </w:r>
      <w:r>
        <w:t xml:space="preserve">[2,3]</w:t>
      </w:r>
      <w:r>
        <w:t xml:space="preserve">.</w:t>
      </w:r>
      <w:r>
        <w:t xml:space="preserve"> </w:t>
      </w:r>
      <w:r>
        <w:t xml:space="preserve">Alternatively, it could mean that older adults have fewer of the external constraints (e.g., work schedules, parenting duties) that younger adults have, and so are more able to benefit from the effects of physical activity on sleep.</w:t>
      </w:r>
      <w:r>
        <w:t xml:space="preserve"> </w:t>
      </w:r>
      <w:r>
        <w:t xml:space="preserve">Furthermore, the age-related weakening of the positive effects of physical activity volume beyond a certain threshold implies that moderate rather than high levels of physical activity may be sufficient for promoting sleep in older populations.</w:t>
      </w:r>
      <w:r>
        <w:t xml:space="preserve"> </w:t>
      </w:r>
      <w:r>
        <w:t xml:space="preserve">For younger individuals, physical activity was associated with earlier sleep onset, whereas for older participants, physical activity was linked to later sleep onset.</w:t>
      </w:r>
      <w:r>
        <w:t xml:space="preserve"> </w:t>
      </w:r>
      <w:r>
        <w:t xml:space="preserve">This suggests a nuanced relationship, where age-specific factors (such as changes in circadian rhythm, or age-varying commitments such as work or school) might mediate how physical activity impacts sleep timing.</w:t>
      </w:r>
      <w:r>
        <w:t xml:space="preserve"> </w:t>
      </w:r>
      <w:r>
        <w:t xml:space="preserve">Future public health recommendations could consider tailoring activity guidelines to different age groups to optimise sleep benefits.</w:t>
      </w:r>
    </w:p>
    <w:p>
      <w:pPr>
        <w:pStyle w:val="Textkrper"/>
      </w:pPr>
      <w:r>
        <w:t xml:space="preserve">These findings have other important implications for public health recommendations.</w:t>
      </w:r>
      <w:r>
        <w:t xml:space="preserve"> </w:t>
      </w:r>
      <w:r>
        <w:t xml:space="preserve">Our results support encouraging physical activity for maintaining regular sleep patterns, especially in older adults.</w:t>
      </w:r>
      <w:r>
        <w:t xml:space="preserve"> </w:t>
      </w:r>
      <w:r>
        <w:t xml:space="preserve">However, the data suggest that focusing solely on increasing physical activity volume or intensity may not necessarily improve other aspects of sleep quality, such as duration or efficiency.</w:t>
      </w:r>
      <w:r>
        <w:t xml:space="preserve"> </w:t>
      </w:r>
      <w:r>
        <w:t xml:space="preserve">Public health messages should, therefore, emphasise the role of physical activity in promoting stable sleep schedules rather than framing physical activity as a universal solution for improving sleep.</w:t>
      </w:r>
      <w:r>
        <w:t xml:space="preserve"> </w:t>
      </w:r>
      <w:r>
        <w:t xml:space="preserve">We note, however, that we did not examine the effects of physical activity on sleep in individuals with sleep disorders or other health conditions.</w:t>
      </w:r>
      <w:r>
        <w:t xml:space="preserve"> </w:t>
      </w:r>
      <w:r>
        <w:t xml:space="preserve">Physical activity interventions may still be a useful treatment for these conditions.</w:t>
      </w:r>
    </w:p>
    <w:p>
      <w:pPr>
        <w:pStyle w:val="Textkrper"/>
      </w:pPr>
      <w:r>
        <w:t xml:space="preserve">Our study has several strengths, including the use of device-based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7"/>
    <w:bookmarkStart w:id="68" w:name="conclusion"/>
    <w:p>
      <w:pPr>
        <w:pStyle w:val="berschrift1"/>
      </w:pPr>
      <w:r>
        <w:t xml:space="preserve">Conclusion</w:t>
      </w:r>
    </w:p>
    <w:p>
      <w:pPr>
        <w:pStyle w:val="FirstParagraph"/>
      </w:pPr>
      <w:r>
        <w:t xml:space="preserve">Our findings contribute to the growing body of literature that highlights the complex relationship between physical activity and sleep.</w:t>
      </w:r>
      <w:r>
        <w:t xml:space="preserve"> </w:t>
      </w:r>
      <w:r>
        <w:t xml:space="preserve">While physical activity appears to benefit sleep regularity, its effects on other sleep metrics are less clear, particularly when considering age differences.</w:t>
      </w:r>
      <w:r>
        <w:t xml:space="preserve"> </w:t>
      </w:r>
      <w:r>
        <w:t xml:space="preserve">Future research should aim to explore mechanisms underlying these associations and identify specific intervention strategies that can effectively enhance both sleep and physical activity behaviours for diverse populations.</w:t>
      </w:r>
    </w:p>
    <w:p>
      <w:r>
        <w:br w:type="page"/>
      </w:r>
    </w:p>
    <w:bookmarkEnd w:id="68"/>
    <w:bookmarkStart w:id="158" w:name="references"/>
    <w:p>
      <w:pPr>
        <w:pStyle w:val="berschrift1"/>
      </w:pPr>
      <w:r>
        <w:t xml:space="preserve">References</w:t>
      </w:r>
    </w:p>
    <w:bookmarkStart w:id="157" w:name="refs"/>
    <w:bookmarkStart w:id="70"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9">
        <w:r>
          <w:rPr>
            <w:rStyle w:val="Hyperlink"/>
          </w:rPr>
          <w:t xml:space="preserve">Sleep:</w:t>
        </w:r>
        <w:r>
          <w:rPr>
            <w:rStyle w:val="Hyperlink"/>
          </w:rPr>
          <w:t xml:space="preserve"> </w:t>
        </w:r>
        <w:r>
          <w:rPr>
            <w:rStyle w:val="Hyperlink"/>
          </w:rPr>
          <w:t xml:space="preserve">A Health Imperative</w:t>
        </w:r>
      </w:hyperlink>
      <w:r>
        <w:t xml:space="preserve">. Sleep. 2012 Jun;35(6):727–34.</w:t>
      </w:r>
      <w:r>
        <w:t xml:space="preserve"> </w:t>
      </w:r>
    </w:p>
    <w:bookmarkEnd w:id="70"/>
    <w:bookmarkStart w:id="72" w:name="ref-huangSleepPhysicalActivity2022"/>
    <w:p>
      <w:pPr>
        <w:pStyle w:val="Literaturverzeichnis"/>
      </w:pPr>
      <w:r>
        <w:t xml:space="preserve">2.</w:t>
      </w:r>
      <w:r>
        <w:t xml:space="preserve"> </w:t>
      </w:r>
      <w:r>
        <w:t xml:space="preserve">	</w:t>
      </w:r>
      <w:r>
        <w:t xml:space="preserve">Huang BH, Duncan MJ, Cistulli PA, Nassar N, Hamer M, Stamatakis E.</w:t>
      </w:r>
      <w:r>
        <w:t xml:space="preserve"> </w:t>
      </w:r>
      <w:hyperlink r:id="rId71">
        <w:r>
          <w:rPr>
            <w:rStyle w:val="Hyperlink"/>
          </w:rPr>
          <w:t xml:space="preserve">Sleep and physical activity in relation to all-cause, cardiovascular disease and cancer mortality risk</w:t>
        </w:r>
      </w:hyperlink>
      <w:r>
        <w:t xml:space="preserve">. British Journal of Sports Medicine. 2022 Jul;56(13):718–24.</w:t>
      </w:r>
      <w:r>
        <w:t xml:space="preserve"> </w:t>
      </w:r>
    </w:p>
    <w:bookmarkEnd w:id="72"/>
    <w:bookmarkStart w:id="74" w:name="ref-kwokSelfReportedSleep2018"/>
    <w:p>
      <w:pPr>
        <w:pStyle w:val="Literaturverzeichnis"/>
      </w:pPr>
      <w:r>
        <w:t xml:space="preserve">3.</w:t>
      </w:r>
      <w:r>
        <w:t xml:space="preserve"> </w:t>
      </w:r>
      <w:r>
        <w:t xml:space="preserve">	</w:t>
      </w:r>
      <w:r>
        <w:t xml:space="preserve">Kwok CS, Kontopantelis E, Kuligowski G, Gray M, Muhyaldeen A, Gale CP, Peat GM, Cleator J, Chew-Graham C, Loke YK, Mamas MA.</w:t>
      </w:r>
      <w:r>
        <w:t xml:space="preserve"> </w:t>
      </w:r>
      <w:hyperlink r:id="rId73">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4"/>
    <w:bookmarkStart w:id="76" w:name="ref-maSleepDurationTotal2016"/>
    <w:p>
      <w:pPr>
        <w:pStyle w:val="Literaturverzeichnis"/>
      </w:pPr>
      <w:r>
        <w:t xml:space="preserve">4.</w:t>
      </w:r>
      <w:r>
        <w:t xml:space="preserve"> </w:t>
      </w:r>
      <w:r>
        <w:t xml:space="preserve">	</w:t>
      </w:r>
      <w:r>
        <w:t xml:space="preserve">Ma QQ, Yao Q, Lin L, Chen GC, Yu JB.</w:t>
      </w:r>
      <w:r>
        <w:t xml:space="preserve"> </w:t>
      </w:r>
      <w:hyperlink r:id="rId75">
        <w:r>
          <w:rPr>
            <w:rStyle w:val="Hyperlink"/>
          </w:rPr>
          <w:t xml:space="preserve">Sleep duration and total cancer mortality: A meta-analysis of prospective studies</w:t>
        </w:r>
      </w:hyperlink>
      <w:r>
        <w:t xml:space="preserve">. Sleep Medicine. 2016 Nov;27–28:39–44.</w:t>
      </w:r>
      <w:r>
        <w:t xml:space="preserve"> </w:t>
      </w:r>
    </w:p>
    <w:bookmarkEnd w:id="76"/>
    <w:bookmarkStart w:id="78" w:name="X346925cdfc2f52c89d96d4a14a2ac1b330702a3"/>
    <w:p>
      <w:pPr>
        <w:pStyle w:val="Literaturverzeichnis"/>
      </w:pPr>
      <w:r>
        <w:t xml:space="preserve">5.</w:t>
      </w:r>
      <w:r>
        <w:t xml:space="preserve"> </w:t>
      </w:r>
      <w:r>
        <w:t xml:space="preserve">	</w:t>
      </w:r>
      <w:r>
        <w:t xml:space="preserve">Wakefield JRH, Bowe M, Kellezi B, Butcher A, Groeger JA.</w:t>
      </w:r>
      <w:r>
        <w:t xml:space="preserve"> </w:t>
      </w:r>
      <w:hyperlink r:id="rId77">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8"/>
    <w:bookmarkStart w:id="80" w:name="ref-wheatonShortSleepDuration2018"/>
    <w:p>
      <w:pPr>
        <w:pStyle w:val="Literaturverzeichnis"/>
      </w:pPr>
      <w:r>
        <w:t xml:space="preserve">6.</w:t>
      </w:r>
      <w:r>
        <w:t xml:space="preserve"> </w:t>
      </w:r>
      <w:r>
        <w:t xml:space="preserve">	</w:t>
      </w:r>
      <w:r>
        <w:t xml:space="preserve">Wheaton AG, Jones SE, Cooper AC, Croft JB.</w:t>
      </w:r>
      <w:r>
        <w:t xml:space="preserve"> </w:t>
      </w:r>
      <w:hyperlink r:id="rId79">
        <w:r>
          <w:rPr>
            <w:rStyle w:val="Hyperlink"/>
          </w:rPr>
          <w:t xml:space="preserve">Short</w:t>
        </w:r>
        <w:r>
          <w:rPr>
            <w:rStyle w:val="Hyperlink"/>
          </w:rPr>
          <w:t xml:space="preserve"> </w:t>
        </w:r>
        <w:r>
          <w:rPr>
            <w:rStyle w:val="Hyperlink"/>
          </w:rPr>
          <w:t xml:space="preserve">Sleep Duration Among Middle School</w:t>
        </w:r>
        <w:r>
          <w:rPr>
            <w:rStyle w:val="Hyperlink"/>
          </w:rPr>
          <w:t xml:space="preserve"> </w:t>
        </w:r>
        <w:r>
          <w:rPr>
            <w:rStyle w:val="Hyperlink"/>
          </w:rPr>
          <w:t xml:space="preserve">and</w:t>
        </w:r>
        <w:r>
          <w:rPr>
            <w:rStyle w:val="Hyperlink"/>
          </w:rPr>
          <w:t xml:space="preserve"> </w:t>
        </w:r>
        <w:r>
          <w:rPr>
            <w:rStyle w:val="Hyperlink"/>
          </w:rPr>
          <w:t xml:space="preserve">High School Students</w:t>
        </w:r>
        <w:r>
          <w:rPr>
            <w:rStyle w:val="Hyperlink"/>
          </w:rPr>
          <w:t xml:space="preserve"> </w:t>
        </w:r>
        <w:r>
          <w:rPr>
            <w:rStyle w:val="Hyperlink"/>
          </w:rPr>
          <w:t xml:space="preserve">-</w:t>
        </w:r>
        <w:r>
          <w:rPr>
            <w:rStyle w:val="Hyperlink"/>
          </w:rPr>
          <w:t xml:space="preserve"> </w:t>
        </w:r>
        <w:r>
          <w:rPr>
            <w:rStyle w:val="Hyperlink"/>
          </w:rPr>
          <w:t xml:space="preserve">United States</w:t>
        </w:r>
        <w:r>
          <w:rPr>
            <w:rStyle w:val="Hyperlink"/>
          </w:rPr>
          <w:t xml:space="preserve">, 2015</w:t>
        </w:r>
      </w:hyperlink>
      <w:r>
        <w:t xml:space="preserve">. MMWR Morbidity and mortality weekly report. 2018 Jan;67(3):85–90.</w:t>
      </w:r>
      <w:r>
        <w:t xml:space="preserve"> </w:t>
      </w:r>
    </w:p>
    <w:bookmarkEnd w:id="80"/>
    <w:bookmarkStart w:id="82" w:name="ref-liuPrevalenceHealthySleep2016"/>
    <w:p>
      <w:pPr>
        <w:pStyle w:val="Literaturverzeichnis"/>
      </w:pPr>
      <w:r>
        <w:t xml:space="preserve">7.</w:t>
      </w:r>
      <w:r>
        <w:t xml:space="preserve"> </w:t>
      </w:r>
      <w:r>
        <w:t xml:space="preserve">	</w:t>
      </w:r>
      <w:r>
        <w:t xml:space="preserve">Liu Y, Wheaton AG, Chapman DP, Cunningham TJ, Lu H, Croft JB.</w:t>
      </w:r>
      <w:r>
        <w:t xml:space="preserve"> </w:t>
      </w:r>
      <w:hyperlink r:id="rId81">
        <w:r>
          <w:rPr>
            <w:rStyle w:val="Hyperlink"/>
          </w:rPr>
          <w:t xml:space="preserve">Prevalence of</w:t>
        </w:r>
        <w:r>
          <w:rPr>
            <w:rStyle w:val="Hyperlink"/>
          </w:rPr>
          <w:t xml:space="preserve"> </w:t>
        </w:r>
        <w:r>
          <w:rPr>
            <w:rStyle w:val="Hyperlink"/>
          </w:rPr>
          <w:t xml:space="preserve">Healthy Sleep Duration</w:t>
        </w:r>
        <w:r>
          <w:rPr>
            <w:rStyle w:val="Hyperlink"/>
          </w:rPr>
          <w:t xml:space="preserve"> </w:t>
        </w:r>
        <w:r>
          <w:rPr>
            <w:rStyle w:val="Hyperlink"/>
          </w:rPr>
          <w:t xml:space="preserve">among</w:t>
        </w:r>
        <w:r>
          <w:rPr>
            <w:rStyle w:val="Hyperlink"/>
          </w:rPr>
          <w:t xml:space="preserve"> </w:t>
        </w:r>
        <w:r>
          <w:rPr>
            <w:rStyle w:val="Hyperlink"/>
          </w:rPr>
          <w:t xml:space="preserve">Adults–United States</w:t>
        </w:r>
        <w:r>
          <w:rPr>
            <w:rStyle w:val="Hyperlink"/>
          </w:rPr>
          <w:t xml:space="preserve">, 2014</w:t>
        </w:r>
      </w:hyperlink>
      <w:r>
        <w:t xml:space="preserve">. MMWR Morbidity and mortality weekly report. 2016 Feb;65(6):137–41.</w:t>
      </w:r>
      <w:r>
        <w:t xml:space="preserve"> </w:t>
      </w:r>
    </w:p>
    <w:bookmarkEnd w:id="82"/>
    <w:bookmarkStart w:id="84" w:name="ref-klinePhysicalActivitySleep2021"/>
    <w:p>
      <w:pPr>
        <w:pStyle w:val="Literaturverzeichnis"/>
      </w:pPr>
      <w:r>
        <w:t xml:space="preserve">8.</w:t>
      </w:r>
      <w:r>
        <w:t xml:space="preserve"> </w:t>
      </w:r>
      <w:r>
        <w:t xml:space="preserve">	</w:t>
      </w:r>
      <w:r>
        <w:t xml:space="preserve">Kline CE, Hillman CH, Bloodgood Sheppard B, Tennant B, Conroy DE, Macko RF, Marquez DX, Petruzzello SJ, Powell KE, Erickson KI.</w:t>
      </w:r>
      <w:r>
        <w:t xml:space="preserve"> </w:t>
      </w:r>
      <w:hyperlink r:id="rId83">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84"/>
    <w:bookmarkStart w:id="86" w:name="ref-kredlowEffectsPhysicalActivity2015"/>
    <w:p>
      <w:pPr>
        <w:pStyle w:val="Literaturverzeichnis"/>
      </w:pPr>
      <w:r>
        <w:t xml:space="preserve">9.</w:t>
      </w:r>
      <w:r>
        <w:t xml:space="preserve"> </w:t>
      </w:r>
      <w:r>
        <w:t xml:space="preserve">	</w:t>
      </w:r>
      <w:r>
        <w:t xml:space="preserve">Kredlow MA, Capozzoli MC, Hearon BA, Calkins AW, Otto MW.</w:t>
      </w:r>
      <w:r>
        <w:t xml:space="preserve"> </w:t>
      </w:r>
      <w:hyperlink r:id="rId85">
        <w:r>
          <w:rPr>
            <w:rStyle w:val="Hyperlink"/>
          </w:rPr>
          <w:t xml:space="preserve">The effects of physical activity on sleep: A meta-analytic review</w:t>
        </w:r>
      </w:hyperlink>
      <w:r>
        <w:t xml:space="preserve">. Journal of Behavioral Medicine. 2015 Jun;38(3):427–49.</w:t>
      </w:r>
      <w:r>
        <w:t xml:space="preserve"> </w:t>
      </w:r>
    </w:p>
    <w:bookmarkEnd w:id="86"/>
    <w:bookmarkStart w:id="88" w:name="ref-bullWorldHealthOrganization2020"/>
    <w:p>
      <w:pPr>
        <w:pStyle w:val="Literaturverzeichnis"/>
      </w:pPr>
      <w:r>
        <w:t xml:space="preserve">10.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87">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88"/>
    <w:bookmarkStart w:id="90" w:name="ref-antczakPhysicalActivitySleep2020"/>
    <w:p>
      <w:pPr>
        <w:pStyle w:val="Literaturverzeichnis"/>
      </w:pPr>
      <w:r>
        <w:t xml:space="preserve">11.</w:t>
      </w:r>
      <w:r>
        <w:t xml:space="preserve"> </w:t>
      </w:r>
      <w:r>
        <w:t xml:space="preserve">	</w:t>
      </w:r>
      <w:r>
        <w:t xml:space="preserve">Antczak D, Lonsdale C, Lee J, Hilland T, Duncan MJ, del Pozo Cruz B, Hulteen RM, Parker PD, Sanders T.</w:t>
      </w:r>
      <w:r>
        <w:t xml:space="preserve"> </w:t>
      </w:r>
      <w:hyperlink r:id="rId89">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Jun;51:101278.</w:t>
      </w:r>
      <w:r>
        <w:t xml:space="preserve"> </w:t>
      </w:r>
    </w:p>
    <w:bookmarkEnd w:id="90"/>
    <w:bookmarkStart w:id="92" w:name="ref-langRelationshipPhysicalActivity2016"/>
    <w:p>
      <w:pPr>
        <w:pStyle w:val="Literaturverzeichnis"/>
      </w:pPr>
      <w:r>
        <w:t xml:space="preserve">12.</w:t>
      </w:r>
      <w:r>
        <w:t xml:space="preserve"> </w:t>
      </w:r>
      <w:r>
        <w:t xml:space="preserve">	</w:t>
      </w:r>
      <w:r>
        <w:t xml:space="preserve">Lang C, Kalak N, Brand S, Holsboer-Trachsler E, Pühse U, Gerber M.</w:t>
      </w:r>
      <w:r>
        <w:t xml:space="preserve"> </w:t>
      </w:r>
      <w:hyperlink r:id="rId91">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92"/>
    <w:bookmarkStart w:id="94" w:name="ref-aielloEffectExerciseTraining2016"/>
    <w:p>
      <w:pPr>
        <w:pStyle w:val="Literaturverzeichnis"/>
      </w:pPr>
      <w:r>
        <w:t xml:space="preserve">13.</w:t>
      </w:r>
      <w:r>
        <w:t xml:space="preserve"> </w:t>
      </w:r>
      <w:r>
        <w:t xml:space="preserve">	</w:t>
      </w:r>
      <w:r>
        <w:t xml:space="preserve">Aiello KD, Caughey WG, Nelluri B, Sharma A, Mookadam F, Mookadam M.</w:t>
      </w:r>
      <w:r>
        <w:t xml:space="preserve"> </w:t>
      </w:r>
      <w:hyperlink r:id="rId93">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94"/>
    <w:bookmarkStart w:id="96" w:name="ref-bannoExerciseCanImprove2018"/>
    <w:p>
      <w:pPr>
        <w:pStyle w:val="Literaturverzeichnis"/>
      </w:pPr>
      <w:r>
        <w:t xml:space="preserve">14.</w:t>
      </w:r>
      <w:r>
        <w:t xml:space="preserve"> </w:t>
      </w:r>
      <w:r>
        <w:t xml:space="preserve">	</w:t>
      </w:r>
      <w:r>
        <w:t xml:space="preserve">Banno M, Harada Y, Taniguchi M, Tobita R, Tsujimoto H, Tsujimoto Y, Kataoka Y, Noda A.</w:t>
      </w:r>
      <w:r>
        <w:t xml:space="preserve"> </w:t>
      </w:r>
      <w:hyperlink r:id="rId95">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96"/>
    <w:bookmarkStart w:id="98" w:name="ref-bartelProtectiveRiskFactors2015"/>
    <w:p>
      <w:pPr>
        <w:pStyle w:val="Literaturverzeichnis"/>
      </w:pPr>
      <w:r>
        <w:t xml:space="preserve">15.</w:t>
      </w:r>
      <w:r>
        <w:t xml:space="preserve"> </w:t>
      </w:r>
      <w:r>
        <w:t xml:space="preserve">	</w:t>
      </w:r>
      <w:r>
        <w:t xml:space="preserve">Bartel KA, Gradisar M, Williamson P.</w:t>
      </w:r>
      <w:r>
        <w:t xml:space="preserve"> </w:t>
      </w:r>
      <w:hyperlink r:id="rId97">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Jun;21:72–85.</w:t>
      </w:r>
      <w:r>
        <w:t xml:space="preserve"> </w:t>
      </w:r>
    </w:p>
    <w:bookmarkEnd w:id="98"/>
    <w:bookmarkStart w:id="100" w:name="ref-edwardsAssessingImpactDiet2019"/>
    <w:p>
      <w:pPr>
        <w:pStyle w:val="Literaturverzeichnis"/>
      </w:pPr>
      <w:r>
        <w:t xml:space="preserve">16.</w:t>
      </w:r>
      <w:r>
        <w:t xml:space="preserve"> </w:t>
      </w:r>
      <w:r>
        <w:t xml:space="preserve">	</w:t>
      </w:r>
      <w:r>
        <w:t xml:space="preserve">Edwards BA, Bristow C, O’Driscoll DM, Wong A-M, Ghazi L, Davidson ZE, Young A, Truby H, Haines TP, Hamilton GS.</w:t>
      </w:r>
      <w:r>
        <w:t xml:space="preserve"> </w:t>
      </w:r>
      <w:hyperlink r:id="rId99">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00"/>
    <w:bookmarkStart w:id="102" w:name="ref-gaoShorttermEfficacyMinimally2019"/>
    <w:p>
      <w:pPr>
        <w:pStyle w:val="Literaturverzeichnis"/>
      </w:pPr>
      <w:r>
        <w:t xml:space="preserve">17.</w:t>
      </w:r>
      <w:r>
        <w:t xml:space="preserve"> </w:t>
      </w:r>
      <w:r>
        <w:t xml:space="preserve">	</w:t>
      </w:r>
      <w:r>
        <w:t xml:space="preserve">Gao Y-N, Wu Y-C, Lin S-Y, Chang JZ-C, Tu Y-K.</w:t>
      </w:r>
      <w:r>
        <w:t xml:space="preserve"> </w:t>
      </w:r>
      <w:hyperlink r:id="rId101">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02"/>
    <w:bookmarkStart w:id="104" w:name="ref-iftikharComparativeEfficacyCPAP2017"/>
    <w:p>
      <w:pPr>
        <w:pStyle w:val="Literaturverzeichnis"/>
      </w:pPr>
      <w:r>
        <w:t xml:space="preserve">18.</w:t>
      </w:r>
      <w:r>
        <w:t xml:space="preserve"> </w:t>
      </w:r>
      <w:r>
        <w:t xml:space="preserve">	</w:t>
      </w:r>
      <w:r>
        <w:t xml:space="preserve">Iftikhar IH, Bittencourt L, Youngstedt SD, Ayas N, Cistulli P, Schwab R, Durkin MW, Magalang UJ.</w:t>
      </w:r>
      <w:r>
        <w:t xml:space="preserve"> </w:t>
      </w:r>
      <w:hyperlink r:id="rId103">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04"/>
    <w:bookmarkStart w:id="106" w:name="ref-iftikharEffectsExerciseTraining2014"/>
    <w:p>
      <w:pPr>
        <w:pStyle w:val="Literaturverzeichnis"/>
      </w:pPr>
      <w:r>
        <w:t xml:space="preserve">19.</w:t>
      </w:r>
      <w:r>
        <w:t xml:space="preserve"> </w:t>
      </w:r>
      <w:r>
        <w:t xml:space="preserve">	</w:t>
      </w:r>
      <w:r>
        <w:t xml:space="preserve">Iftikhar IH, Kline CE, Youngstedt SD.</w:t>
      </w:r>
      <w:r>
        <w:t xml:space="preserve"> </w:t>
      </w:r>
      <w:hyperlink r:id="rId105">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06"/>
    <w:bookmarkStart w:id="108" w:name="ref-janssenAssociationsScreenTime2020"/>
    <w:p>
      <w:pPr>
        <w:pStyle w:val="Literaturverzeichnis"/>
      </w:pPr>
      <w:r>
        <w:t xml:space="preserve">20.</w:t>
      </w:r>
      <w:r>
        <w:t xml:space="preserve"> </w:t>
      </w:r>
      <w:r>
        <w:t xml:space="preserve">	</w:t>
      </w:r>
      <w:r>
        <w:t xml:space="preserve">Janssen X, Martin A, Hughes AR, Hill CM, Kotronoulas G, Hesketh KR.</w:t>
      </w:r>
      <w:r>
        <w:t xml:space="preserve"> </w:t>
      </w:r>
      <w:hyperlink r:id="rId107">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08"/>
    <w:bookmarkStart w:id="110" w:name="ref-ledermanDoesExerciseImprove2019"/>
    <w:p>
      <w:pPr>
        <w:pStyle w:val="Literaturverzeichnis"/>
      </w:pPr>
      <w:r>
        <w:t xml:space="preserve">21.</w:t>
      </w:r>
      <w:r>
        <w:t xml:space="preserve"> </w:t>
      </w:r>
      <w:r>
        <w:t xml:space="preserve">	</w:t>
      </w:r>
      <w:r>
        <w:t xml:space="preserve">Lederman O, Ward PB, Firth J, Maloney C, Carney R, Vancampfort D, Stubbs B, Kalucy M, Rosenbaum S.</w:t>
      </w:r>
      <w:r>
        <w:t xml:space="preserve"> </w:t>
      </w:r>
      <w:hyperlink r:id="rId109">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10"/>
    <w:bookmarkStart w:id="112" w:name="ref-lins-filhoEffectExerciseTraining2020"/>
    <w:p>
      <w:pPr>
        <w:pStyle w:val="Literaturverzeichnis"/>
      </w:pPr>
      <w:r>
        <w:t xml:space="preserve">22.</w:t>
      </w:r>
      <w:r>
        <w:t xml:space="preserve"> </w:t>
      </w:r>
      <w:r>
        <w:t xml:space="preserve">	</w:t>
      </w:r>
      <w:r>
        <w:t xml:space="preserve">Lins-Filho OL, Pedrosa RP, Gomes JML, Dantas Moraes SL, Vasconcelos BCE, Lemos CAA, Pellizzer EP.</w:t>
      </w:r>
      <w:r>
        <w:t xml:space="preserve"> </w:t>
      </w:r>
      <w:hyperlink r:id="rId111">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12"/>
    <w:bookmarkStart w:id="114" w:name="ref-mendelsonObstructiveSleepApnea2018"/>
    <w:p>
      <w:pPr>
        <w:pStyle w:val="Literaturverzeichnis"/>
      </w:pPr>
      <w:r>
        <w:t xml:space="preserve">23.</w:t>
      </w:r>
      <w:r>
        <w:t xml:space="preserve"> </w:t>
      </w:r>
      <w:r>
        <w:t xml:space="preserve">	</w:t>
      </w:r>
      <w:r>
        <w:t xml:space="preserve">Mendelson M, Bailly S, Marillier M, Flore P, Borel JC, Vivodtzev I, Doutreleau S, Verges S, Tamisier R, Pépin J-L.</w:t>
      </w:r>
      <w:r>
        <w:t xml:space="preserve"> </w:t>
      </w:r>
      <w:hyperlink r:id="rId113">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14"/>
    <w:bookmarkStart w:id="116" w:name="ref-rubio-ariasEffectExerciseSleep2017"/>
    <w:p>
      <w:pPr>
        <w:pStyle w:val="Literaturverzeichnis"/>
      </w:pPr>
      <w:r>
        <w:t xml:space="preserve">24.</w:t>
      </w:r>
      <w:r>
        <w:t xml:space="preserve"> </w:t>
      </w:r>
      <w:r>
        <w:t xml:space="preserve">	</w:t>
      </w:r>
      <w:r>
        <w:t xml:space="preserve">Rubio-Arias JÁ, Marín-Cascales E, Ramos-Campo DJ, Hernandez AV, Pérez-López FR.</w:t>
      </w:r>
      <w:r>
        <w:t xml:space="preserve"> </w:t>
      </w:r>
      <w:hyperlink r:id="rId115">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16"/>
    <w:bookmarkStart w:id="118" w:name="ref-stutzEffectsEveningExercise2019"/>
    <w:p>
      <w:pPr>
        <w:pStyle w:val="Literaturverzeichnis"/>
      </w:pPr>
      <w:r>
        <w:t xml:space="preserve">25.</w:t>
      </w:r>
      <w:r>
        <w:t xml:space="preserve"> </w:t>
      </w:r>
      <w:r>
        <w:t xml:space="preserve">	</w:t>
      </w:r>
      <w:r>
        <w:t xml:space="preserve">Stutz J, Eiholzer R, Spengler CM.</w:t>
      </w:r>
      <w:r>
        <w:t xml:space="preserve"> </w:t>
      </w:r>
      <w:hyperlink r:id="rId117">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18"/>
    <w:bookmarkStart w:id="120" w:name="ref-yangEffectsExerciseSleep2020"/>
    <w:p>
      <w:pPr>
        <w:pStyle w:val="Literaturverzeichnis"/>
      </w:pPr>
      <w:r>
        <w:t xml:space="preserve">26.</w:t>
      </w:r>
      <w:r>
        <w:t xml:space="preserve"> </w:t>
      </w:r>
      <w:r>
        <w:t xml:space="preserve">	</w:t>
      </w:r>
      <w:r>
        <w:t xml:space="preserve">Yang S-Y, Lan S-J, Yen Y-Y, Hsieh Y-P, Kung P-T, Lan S-H.</w:t>
      </w:r>
      <w:r>
        <w:t xml:space="preserve"> </w:t>
      </w:r>
      <w:hyperlink r:id="rId119">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 Asian Nursing Research. 2020;14(1):1–10.</w:t>
      </w:r>
      <w:r>
        <w:t xml:space="preserve"> </w:t>
      </w:r>
    </w:p>
    <w:bookmarkEnd w:id="120"/>
    <w:bookmarkStart w:id="122" w:name="ref-yangExerciseTrainingImproves2012"/>
    <w:p>
      <w:pPr>
        <w:pStyle w:val="Literaturverzeichnis"/>
      </w:pPr>
      <w:r>
        <w:t xml:space="preserve">27.</w:t>
      </w:r>
      <w:r>
        <w:t xml:space="preserve"> </w:t>
      </w:r>
      <w:r>
        <w:t xml:space="preserve">	</w:t>
      </w:r>
      <w:r>
        <w:t xml:space="preserve">Yang P-Y, Ho K-H, Chen H-C, Chien M-Y.</w:t>
      </w:r>
      <w:r>
        <w:t xml:space="preserve"> </w:t>
      </w:r>
      <w:hyperlink r:id="rId121">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22"/>
    <w:bookmarkStart w:id="124" w:name="ref-yangSedentaryBehaviorSleep2017"/>
    <w:p>
      <w:pPr>
        <w:pStyle w:val="Literaturverzeichnis"/>
      </w:pPr>
      <w:r>
        <w:t xml:space="preserve">28.</w:t>
      </w:r>
      <w:r>
        <w:t xml:space="preserve"> </w:t>
      </w:r>
      <w:r>
        <w:t xml:space="preserve">	</w:t>
      </w:r>
      <w:r>
        <w:t xml:space="preserve">Yang Y, Shin JC, Li D, An R.</w:t>
      </w:r>
      <w:r>
        <w:t xml:space="preserve"> </w:t>
      </w:r>
      <w:hyperlink r:id="rId123">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24"/>
    <w:bookmarkStart w:id="126" w:name="ref-rileyUsingIndividualParticipant2023"/>
    <w:p>
      <w:pPr>
        <w:pStyle w:val="Literaturverzeichnis"/>
      </w:pPr>
      <w:r>
        <w:t xml:space="preserve">29.</w:t>
      </w:r>
      <w:r>
        <w:t xml:space="preserve"> </w:t>
      </w:r>
      <w:r>
        <w:t xml:space="preserve">	</w:t>
      </w:r>
      <w:r>
        <w:t xml:space="preserve">Riley RD, Dias S, Donegan S, Tierney JF, Stewart LA, Efthimiou O, Phillippo DM.</w:t>
      </w:r>
      <w:r>
        <w:t xml:space="preserve"> </w:t>
      </w:r>
      <w:hyperlink r:id="rId125">
        <w:r>
          <w:rPr>
            <w:rStyle w:val="Hyperlink"/>
          </w:rPr>
          <w:t xml:space="preserve">Using individual participant data to improve network meta-analysis projects</w:t>
        </w:r>
      </w:hyperlink>
      <w:r>
        <w:t xml:space="preserve">. BMJ Evidence-Based Medicine. 2023 Jun;28(3):197–203.</w:t>
      </w:r>
      <w:r>
        <w:t xml:space="preserve"> </w:t>
      </w:r>
    </w:p>
    <w:bookmarkEnd w:id="126"/>
    <w:bookmarkStart w:id="128" w:name="Xa0cbe05eccacccf17bde02d7669b1fb01f31efd"/>
    <w:p>
      <w:pPr>
        <w:pStyle w:val="Literaturverzeichnis"/>
      </w:pPr>
      <w:r>
        <w:t xml:space="preserve">30.</w:t>
      </w:r>
      <w:r>
        <w:t xml:space="preserve"> </w:t>
      </w:r>
      <w:r>
        <w:t xml:space="preserve">	</w:t>
      </w:r>
      <w:r>
        <w:t xml:space="preserve">Ioannidis J.</w:t>
      </w:r>
      <w:r>
        <w:t xml:space="preserve"> </w:t>
      </w:r>
      <w:hyperlink r:id="rId127">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28"/>
    <w:bookmarkStart w:id="130" w:name="X48b2c7764fd235bdd97ded4effee72a4c88fe29"/>
    <w:p>
      <w:pPr>
        <w:pStyle w:val="Literaturverzeichnis"/>
      </w:pPr>
      <w:r>
        <w:t xml:space="preserve">31.</w:t>
      </w:r>
      <w:r>
        <w:t xml:space="preserve"> </w:t>
      </w:r>
      <w:r>
        <w:t xml:space="preserve">	</w:t>
      </w:r>
      <w:r>
        <w:t xml:space="preserve">Hinde S, Spackman E.</w:t>
      </w:r>
      <w:r>
        <w:t xml:space="preserve"> </w:t>
      </w:r>
      <w:hyperlink r:id="rId129">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30"/>
    <w:bookmarkStart w:id="132" w:name="ref-miguelesGGIRResearchCommunity2019"/>
    <w:p>
      <w:pPr>
        <w:pStyle w:val="Literaturverzeichnis"/>
      </w:pPr>
      <w:r>
        <w:t xml:space="preserve">32.</w:t>
      </w:r>
      <w:r>
        <w:t xml:space="preserve"> </w:t>
      </w:r>
      <w:r>
        <w:t xml:space="preserve">	</w:t>
      </w:r>
      <w:r>
        <w:t xml:space="preserve">Migueles JH, Rowlands AV, Huber F, Sabia S, Van Hees VT.</w:t>
      </w:r>
      <w:r>
        <w:t xml:space="preserve"> </w:t>
      </w:r>
      <w:hyperlink r:id="rId131">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Sep;2(3):188–96.</w:t>
      </w:r>
      <w:r>
        <w:t xml:space="preserve"> </w:t>
      </w:r>
    </w:p>
    <w:bookmarkEnd w:id="132"/>
    <w:bookmarkStart w:id="134" w:name="ref-vanheesEstimatingSleepParameters2018"/>
    <w:p>
      <w:pPr>
        <w:pStyle w:val="Literaturverzeichnis"/>
      </w:pPr>
      <w:r>
        <w:t xml:space="preserve">33.</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33">
        <w:r>
          <w:rPr>
            <w:rStyle w:val="Hyperlink"/>
          </w:rPr>
          <w:t xml:space="preserve">Estimating sleep parameters using an accelerometer without sleep diary</w:t>
        </w:r>
      </w:hyperlink>
      <w:r>
        <w:t xml:space="preserve">. Scientific Reports. 2018 Aug;8(1).</w:t>
      </w:r>
      <w:r>
        <w:t xml:space="preserve"> </w:t>
      </w:r>
    </w:p>
    <w:bookmarkEnd w:id="134"/>
    <w:bookmarkStart w:id="136" w:name="Xbe20fa38378946dc0b1773dd99972809ef5fd5a"/>
    <w:p>
      <w:pPr>
        <w:pStyle w:val="Literaturverzeichnis"/>
      </w:pPr>
      <w:r>
        <w:t xml:space="preserve">34.</w:t>
      </w:r>
      <w:r>
        <w:t xml:space="preserve"> </w:t>
      </w:r>
      <w:r>
        <w:t xml:space="preserve">	</w:t>
      </w:r>
      <w:r>
        <w:t xml:space="preserve">Rowlands AV, Plekhanova T, Yates T, Mirkes EM, Davies M, Khunti K, Edwardson CL.</w:t>
      </w:r>
      <w:r>
        <w:t xml:space="preserve"> </w:t>
      </w:r>
      <w:hyperlink r:id="rId135">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Sep;2(3):131–42.</w:t>
      </w:r>
      <w:r>
        <w:t xml:space="preserve"> </w:t>
      </w:r>
    </w:p>
    <w:bookmarkEnd w:id="136"/>
    <w:bookmarkStart w:id="138" w:name="X604bed0f69fd81ef683c99aa873c9b58e271a81"/>
    <w:p>
      <w:pPr>
        <w:pStyle w:val="Literaturverzeichnis"/>
      </w:pPr>
      <w:r>
        <w:t xml:space="preserve">35.</w:t>
      </w:r>
      <w:r>
        <w:t xml:space="preserve"> </w:t>
      </w:r>
      <w:r>
        <w:t xml:space="preserve">	</w:t>
      </w:r>
      <w:r>
        <w:t xml:space="preserve">Rowlands AV.</w:t>
      </w:r>
      <w:r>
        <w:t xml:space="preserve"> </w:t>
      </w:r>
      <w:hyperlink r:id="rId137">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38"/>
    <w:bookmarkStart w:id="140" w:name="X43174f17c57b130f8bcfaa5ce76066a2d121af0"/>
    <w:p>
      <w:pPr>
        <w:pStyle w:val="Literaturverzeichnis"/>
      </w:pPr>
      <w:r>
        <w:t xml:space="preserve">36.</w:t>
      </w:r>
      <w:r>
        <w:t xml:space="preserve"> </w:t>
      </w:r>
      <w:r>
        <w:t xml:space="preserve">	</w:t>
      </w:r>
      <w:r>
        <w:t xml:space="preserve">Rowlands AV, Dawkins NP, Maylor B, Edwardson CL, Fairclough SJ, Davies MJ, Harrington DM, Khunti K, Yates T.</w:t>
      </w:r>
      <w:r>
        <w:t xml:space="preserve"> </w:t>
      </w:r>
      <w:hyperlink r:id="rId139">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40"/>
    <w:bookmarkStart w:id="142" w:name="ref-rowlandsDatadrivenMeaningfulEasy2019"/>
    <w:p>
      <w:pPr>
        <w:pStyle w:val="Literaturverzeichnis"/>
      </w:pPr>
      <w:r>
        <w:t xml:space="preserve">37.</w:t>
      </w:r>
      <w:r>
        <w:t xml:space="preserve"> </w:t>
      </w:r>
      <w:r>
        <w:t xml:space="preserve">	</w:t>
      </w:r>
      <w:r>
        <w:t xml:space="preserve">Rowlands AV, Sherar LB, Fairclough SJ, Yates T, Edwardson CL, Harrington DM, Davies MJ, Munir F, Khunti K, Stiles VH.</w:t>
      </w:r>
      <w:r>
        <w:t xml:space="preserve"> </w:t>
      </w:r>
      <w:hyperlink r:id="rId141">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42"/>
    <w:bookmarkStart w:id="144" w:name="ref-gabaHowShortSleepers2020"/>
    <w:p>
      <w:pPr>
        <w:pStyle w:val="Literaturverzeichnis"/>
      </w:pPr>
      <w:r>
        <w:t xml:space="preserve">38.</w:t>
      </w:r>
      <w:r>
        <w:t xml:space="preserve"> </w:t>
      </w:r>
      <w:r>
        <w:t xml:space="preserve">	</w:t>
      </w:r>
      <w:r>
        <w:t xml:space="preserve">Gába A, Dygrýn J, Štefelová N, Rubín L, Hron K, Jakubec L, Pedišić Ž.</w:t>
      </w:r>
      <w:r>
        <w:t xml:space="preserve"> </w:t>
      </w:r>
      <w:hyperlink r:id="rId143">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44"/>
    <w:bookmarkStart w:id="146" w:name="ref-vanheesSeparatingMovementGravity2013"/>
    <w:p>
      <w:pPr>
        <w:pStyle w:val="Literaturverzeichnis"/>
      </w:pPr>
      <w:r>
        <w:t xml:space="preserve">39.</w:t>
      </w:r>
      <w:r>
        <w:t xml:space="preserve"> </w:t>
      </w:r>
      <w:r>
        <w:t xml:space="preserve">	</w:t>
      </w:r>
      <w:r>
        <w:t xml:space="preserve">Van Hees VT, Gorzelniak L, Dean León EC, Eder M, Pias M, Taherian S, Ekelund U, Renström F, Franks PW, Horsch A, Brage S.</w:t>
      </w:r>
      <w:r>
        <w:t xml:space="preserve"> </w:t>
      </w:r>
      <w:hyperlink r:id="rId145">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46"/>
    <w:bookmarkStart w:id="148" w:name="X022f3831132bc70b1c35b8637c58a02b68d7942"/>
    <w:p>
      <w:pPr>
        <w:pStyle w:val="Literaturverzeichnis"/>
      </w:pPr>
      <w:r>
        <w:t xml:space="preserve">40.</w:t>
      </w:r>
      <w:r>
        <w:t xml:space="preserve"> </w:t>
      </w:r>
      <w:r>
        <w:t xml:space="preserve">	</w:t>
      </w:r>
      <w:r>
        <w:t xml:space="preserve">Weston SJ, Ritchie SJ, Rohrer JM, Przybylski AK.</w:t>
      </w:r>
      <w:r>
        <w:t xml:space="preserve"> </w:t>
      </w:r>
      <w:hyperlink r:id="rId147">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Sep;2(3):214–27.</w:t>
      </w:r>
      <w:r>
        <w:t xml:space="preserve"> </w:t>
      </w:r>
    </w:p>
    <w:bookmarkEnd w:id="148"/>
    <w:bookmarkStart w:id="150" w:name="ref-maccounBlindAnalysisHide2015"/>
    <w:p>
      <w:pPr>
        <w:pStyle w:val="Literaturverzeichnis"/>
      </w:pPr>
      <w:r>
        <w:t xml:space="preserve">41.</w:t>
      </w:r>
      <w:r>
        <w:t xml:space="preserve"> </w:t>
      </w:r>
      <w:r>
        <w:t xml:space="preserve">	</w:t>
      </w:r>
      <w:r>
        <w:t xml:space="preserve">MacCoun R, Perlmutter S.</w:t>
      </w:r>
      <w:r>
        <w:t xml:space="preserve"> </w:t>
      </w:r>
      <w:hyperlink r:id="rId149">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50"/>
    <w:bookmarkStart w:id="152" w:name="ref-buurenMiceMultivariateImputation2011"/>
    <w:p>
      <w:pPr>
        <w:pStyle w:val="Literaturverzeichnis"/>
      </w:pPr>
      <w:r>
        <w:t xml:space="preserve">42.</w:t>
      </w:r>
      <w:r>
        <w:t xml:space="preserve"> </w:t>
      </w:r>
      <w:r>
        <w:t xml:space="preserve">	</w:t>
      </w:r>
      <w:r>
        <w:t xml:space="preserve">Buuren SV, Groothuis-Oudshoorn K.</w:t>
      </w:r>
      <w:r>
        <w:t xml:space="preserve"> </w:t>
      </w:r>
      <w:hyperlink r:id="rId151">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52"/>
    <w:bookmarkStart w:id="154" w:name="ref-curranIntegrativeDataAnalysis2009"/>
    <w:p>
      <w:pPr>
        <w:pStyle w:val="Literaturverzeichnis"/>
      </w:pPr>
      <w:r>
        <w:t xml:space="preserve">43.</w:t>
      </w:r>
      <w:r>
        <w:t xml:space="preserve"> </w:t>
      </w:r>
      <w:r>
        <w:t xml:space="preserve">	</w:t>
      </w:r>
      <w:r>
        <w:t xml:space="preserve">Curran PJ, Hussong AM.</w:t>
      </w:r>
      <w:r>
        <w:t xml:space="preserve"> </w:t>
      </w:r>
      <w:hyperlink r:id="rId153">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54"/>
    <w:bookmarkStart w:id="156" w:name="ref-windredSleepRegularityStronger2024"/>
    <w:p>
      <w:pPr>
        <w:pStyle w:val="Literaturverzeichnis"/>
      </w:pPr>
      <w:r>
        <w:t xml:space="preserve">44.</w:t>
      </w:r>
      <w:r>
        <w:t xml:space="preserve"> </w:t>
      </w:r>
      <w:r>
        <w:t xml:space="preserve">	</w:t>
      </w:r>
      <w:r>
        <w:t xml:space="preserve">Windred DP, Burns AC, Lane JM, Saxena R, Rutter MK, Cain SW, Phillips AJK.</w:t>
      </w:r>
      <w:r>
        <w:t xml:space="preserve"> </w:t>
      </w:r>
      <w:hyperlink r:id="rId155">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56"/>
    <w:bookmarkEnd w:id="157"/>
    <w:p>
      <w:r>
        <w:br w:type="page"/>
      </w:r>
    </w:p>
    <w:bookmarkEnd w:id="15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51" Target="media/rId51.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40" Target="media/rId40.jpg" /><Relationship Type="http://schemas.openxmlformats.org/officeDocument/2006/relationships/image" Id="rId35" Target="media/rId35.jpg" /><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2024-11-19T06:14:46Z</dcterms:created>
  <dcterms:modified xsi:type="dcterms:W3CDTF">2024-11-19T06:14:46Z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