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Video Games, Self-Concept, and the Parent–Child Relationship</w:t>
      </w:r>
    </w:p>
    <w:p>
      <w:pPr>
        <w:pStyle w:val="Subtitle"/>
      </w:pPr>
      <w:r>
        <w:t xml:space="preserve">Analysis report</w:t>
      </w:r>
    </w:p>
    <w:p>
      <w:pPr>
        <w:pStyle w:val="Author"/>
      </w:pPr>
      <w:r>
        <w:t xml:space="preserve">Taren Sanders</w:t>
      </w:r>
    </w:p>
    <w:p>
      <w:pPr>
        <w:pStyle w:val="Date"/>
      </w:pPr>
      <w:r>
        <w:t xml:space="preserve">2026-07-28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methods"/>
    <w:p>
      <w:pPr>
        <w:pStyle w:val="Heading1"/>
      </w:pPr>
      <w:r>
        <w:t xml:space="preserve">1. Methods</w:t>
      </w:r>
    </w:p>
    <w:p>
      <w:pPr>
        <w:pStyle w:val="Compact"/>
        <w:numPr>
          <w:ilvl w:val="0"/>
          <w:numId w:val="1001"/>
        </w:numPr>
      </w:pPr>
      <w:r>
        <w:t xml:space="preserve">Data: LSAC B cohort at ages 10/11, 12/13, and 14/15 (waves 6–8). The K cohort is excluded because its age-14 wave (2012) did not have the video game time item.</w:t>
      </w:r>
    </w:p>
    <w:bookmarkStart w:id="9" w:name="key-variables"/>
    <w:p>
      <w:pPr>
        <w:pStyle w:val="Heading2"/>
      </w:pPr>
      <w:r>
        <w:t xml:space="preserve">1.1 Key Variables</w:t>
      </w:r>
    </w:p>
    <w:p>
      <w:pPr>
        <w:pStyle w:val="Compact"/>
        <w:numPr>
          <w:ilvl w:val="0"/>
          <w:numId w:val="1002"/>
        </w:numPr>
      </w:pPr>
      <w:r>
        <w:t xml:space="preserve">Video game use: reported minutes of electronic games in an average week, converted to hours/week.</w:t>
      </w:r>
    </w:p>
    <w:p>
      <w:pPr>
        <w:pStyle w:val="Compact"/>
        <w:numPr>
          <w:ilvl w:val="0"/>
          <w:numId w:val="1002"/>
        </w:numPr>
      </w:pPr>
      <w:r>
        <w:t xml:space="preserve">Self-concept: self-reported SDQ. The total difficulties score is the primary outcome, and internalising (emotional + peer) and externalising (conduct + hyperactivity) composites are for secondary analyses. The Parent 1-reported SDQ total is also kept for an informant-robustness check.</w:t>
      </w:r>
    </w:p>
    <w:p>
      <w:pPr>
        <w:pStyle w:val="Compact"/>
        <w:numPr>
          <w:ilvl w:val="0"/>
          <w:numId w:val="1002"/>
        </w:numPr>
      </w:pPr>
      <w:r>
        <w:t xml:space="preserve">Parental warmth (the moderator): Parent 1’s score on the 6-item Parental Warmth Scale (1–5). Parent 2’s score is retained for a both-parents sensitivity model. It’s not the primary model because so much of Parent 2’s data is missing.</w:t>
      </w:r>
    </w:p>
    <w:p>
      <w:pPr>
        <w:pStyle w:val="Compact"/>
        <w:numPr>
          <w:ilvl w:val="0"/>
          <w:numId w:val="1002"/>
        </w:numPr>
      </w:pPr>
      <w:r>
        <w:t xml:space="preserve">Covariates: sex, socioeconomic position, and age in months, all at the age 10/11 baseline.</w:t>
      </w:r>
    </w:p>
    <w:p>
      <w:pPr>
        <w:pStyle w:val="Compact"/>
        <w:numPr>
          <w:ilvl w:val="0"/>
          <w:numId w:val="1002"/>
        </w:numPr>
      </w:pPr>
      <w:r>
        <w:t xml:space="preserve">Cleaning: LSAC missing-data codes recoded to missing. Video game hours more than 4 SD above the within-wave mean are winsorised (that is, set to the 4 SD value). That is different from the proposal (which said set to NA), but I think makes more sense. The flagged values look like real heavy gamers overstating, so we keep them but cap their influence. I’ll also test setting them to missing as a sensitivity analysis. SES and warmth are not screened — there are only a few extreme SES values and these seem plausible given the size of LSAC, and low warmth scores are likely to be real given that these are likert scale items.</w:t>
      </w:r>
    </w:p>
    <w:bookmarkEnd w:id="9"/>
    <w:bookmarkEnd w:id="10"/>
    <w:bookmarkStart w:id="22" w:name="data-and-derivations"/>
    <w:p>
      <w:pPr>
        <w:pStyle w:val="Heading1"/>
      </w:pPr>
      <w:r>
        <w:t xml:space="preserve">2. Data and derivations</w:t>
      </w:r>
    </w:p>
    <w:bookmarkStart w:id="12" w:name="sample-and-missingness-per-wave"/>
    <w:p>
      <w:pPr>
        <w:pStyle w:val="Heading2"/>
      </w:pPr>
      <w:r>
        <w:t xml:space="preserve">2.1 Sample and missingness per wave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missingne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Non-missing observations (% of children in the wave file) for each study variable, after cleaning. N is the number of children with any data at that wave.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10/11 (N = 3,764)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12/13 (N = 3,381)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14/15 (N = 3,127)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Video Game Use (hrs/week)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3,154 (93.3%)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3,104 (99.3%)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 (Self-Report)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3,197 (94.6%)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3,000 (95.9%)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Internalising (Emotional + Peer)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3,197 (94.6%)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3,000 (95.9%)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Externalising (Conduct + Hyperactivity)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3,587 (95.3%)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3,197 (94.6%)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3,000 (95.9%)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SDQ Total Difficulties (Parent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3,663 (97.3%)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3,334 (98.6%)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3,085 (98.7%)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1)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3,662 (97.3%)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3,281 (97.0%)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3,086 (98.7%)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Parental Warmth (Parent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2,306 (61.3%)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1,991 (58.9%)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1,851 (59.2%)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Socioeconomic Position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3,707 (98.5%)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3,303 (97.7%)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3,109 (99.4%)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3,764 (100.0%)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3,381 (100.0%)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3,127 (100.0%)</w:t>
                  </w:r>
                </w:p>
              </w:tc>
            </w:tr>
          </w:tbl>
          <w:bookmarkEnd w:id="11"/>
          <w:p/>
        </w:tc>
      </w:tr>
    </w:tbl>
    <w:bookmarkEnd w:id="12"/>
    <w:bookmarkStart w:id="16" w:name="distributions"/>
    <w:p>
      <w:pPr>
        <w:pStyle w:val="Heading2"/>
      </w:pPr>
      <w:r>
        <w:t xml:space="preserve">2.2 Distributions</w:t>
      </w:r>
    </w:p>
    <w:p>
      <w:pPr>
        <w:pStyle w:val="CaptionedFigure"/>
      </w:pPr>
      <w:r>
        <w:drawing>
          <wp:inline>
            <wp:extent cx="5334000" cy="4667250"/>
            <wp:effectExtent b="0" l="0" r="0" t="0"/>
            <wp:docPr descr="Distributions of the three core study variables at each age band (after cleaning)." title="" id="14" name="Picture"/>
            <a:graphic>
              <a:graphicData uri="http://schemas.openxmlformats.org/drawingml/2006/picture">
                <pic:pic>
                  <pic:nvPicPr>
                    <pic:cNvPr descr="report_files/figure-docx/plot-distributions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7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Distributions of the three core study variables at each age band (after cleaning).</w:t>
      </w:r>
    </w:p>
    <w:bookmarkEnd w:id="16"/>
    <w:bookmarkStart w:id="21" w:name="sec-vg-tail"/>
    <w:p>
      <w:pPr>
        <w:pStyle w:val="Heading2"/>
      </w:pPr>
      <w:r>
        <w:t xml:space="preserve">2.3 Video game hours: outlier tail</w:t>
      </w:r>
    </w:p>
    <w:p>
      <w:pPr>
        <w:pStyle w:val="FirstParagraph"/>
      </w:pPr>
      <w:r>
        <w:t xml:space="preserve">Values more than 4 SD above the within-wave mean are winsorised to the</w:t>
      </w:r>
      <w:r>
        <w:t xml:space="preserve"> </w:t>
      </w:r>
      <w:r>
        <w:t xml:space="preserve">threshold (decision made 2026-07-27 after reviewing this table; a</w:t>
      </w:r>
      <w:r>
        <w:t xml:space="preserve"> </w:t>
      </w:r>
      <w:r>
        <w:t xml:space="preserve">set-to-missing version is a planned sensitivity analysis). The flagged</w:t>
      </w:r>
      <w:r>
        <w:t xml:space="preserve"> </w:t>
      </w:r>
      <w:r>
        <w:t xml:space="preserve">values are shown for transparency: the tail is a smooth continuation of</w:t>
      </w:r>
      <w:r>
        <w:t xml:space="preserve"> </w:t>
      </w:r>
      <w:r>
        <w:t xml:space="preserve">the distribution with round-number heaping, consistent with heavy gamers</w:t>
      </w:r>
      <w:r>
        <w:t xml:space="preserve"> </w:t>
      </w:r>
      <w:r>
        <w:t xml:space="preserve">overstating rather than data errors.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" w:name="tbl-vg-tai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Unscreened video game hours per week: within-wave summary and all values above the 4 SD flagging threshold.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26"/>
              <w:gridCol w:w="284"/>
              <w:gridCol w:w="853"/>
              <w:gridCol w:w="711"/>
              <w:gridCol w:w="474"/>
              <w:gridCol w:w="51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band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(SD), hrs/wk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 SD threshold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 flagged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Flagged values (hrs/wk)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10/11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3,586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7.8 (7.3)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95, 70, 70, 70, 62, 62, 62, 54, 48, 46, 44, 41, 41, 40, 40, 40, 40, 39, 39, 38.5, 38, 38, 37, 37, 37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12/13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8.6 (8.9)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90, 73.5, 70, 70, 70, 66, 65, 58, 54, 53.2, 52, 51, 50, 50, 50, 49, 46, 45.5, 45, 45, 45, 45, 45, 45, 45, 45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14/15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3,104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10.2 (11.6)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92, 88, 87, 85, 84, 82, 81, 70, 70, 69, 66.5, 64, 62, 61.8, 61.5, 60.1, 60, 58, 58</w:t>
                  </w:r>
                </w:p>
              </w:tc>
            </w:tr>
          </w:tbl>
          <w:bookmarkEnd w:id="1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Checkpoint decisions (Step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 the derivations (hours/week conversion, SDQ composites, within-wave</w:t>
            </w:r>
            <w:r>
              <w:t xml:space="preserve"> </w:t>
            </w:r>
            <w:r>
              <w:t xml:space="preserve">z-scores) look right?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Decided 2026-07-27: flagged video game hours are winsorised to the 4 SD</w:t>
            </w:r>
            <w:r>
              <w:t xml:space="preserve"> </w:t>
            </w:r>
            <w:r>
              <w:t xml:space="preserve">threshold (set-to-missing kept as a sensitivity analysis); SES and</w:t>
            </w:r>
            <w:r>
              <w:t xml:space="preserve"> </w:t>
            </w:r>
            <w:r>
              <w:t xml:space="preserve">warmth are not outlier-screened.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Decided 2026-07-28: all participants with any study data are included, with models estimated by FIML under MAR.</w:t>
            </w:r>
            <w:r>
              <w:t xml:space="preserve"> </w:t>
            </w:r>
            <w:r>
              <w:t xml:space="preserve">The proposal’s complete-case criterion becomes a sensitivity analysis, and the Step 2 attrition analysis documents the plausibility of MAR.</w:t>
            </w:r>
          </w:p>
          <w:p/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Video Games, Self-Concept, and the Parent–Child Relationship</dc:title>
  <dc:creator>Taren Sanders</dc:creator>
  <cp:keywords/>
  <dcterms:created xsi:type="dcterms:W3CDTF">2026-07-28T00:03:22Z</dcterms:created>
  <dcterms:modified xsi:type="dcterms:W3CDTF">2026-07-28T00:03:22Z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2026-07-28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Analysis report</vt:lpwstr>
  </property>
  <property fmtid="{D5CDD505-2E9C-101B-9397-08002B2CF9AE}" pid="13" name="toc-title">
    <vt:lpwstr>Table of contents</vt:lpwstr>
  </property>
</Properties>
</file>