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Video Games, Self-Concept, and the Parent–Child Relationship</w:t>
      </w:r>
    </w:p>
    <w:p>
      <w:pPr>
        <w:pStyle w:val="Subtitle"/>
      </w:pPr>
      <w:r>
        <w:t xml:space="preserve">Analysis report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ethods"/>
    <w:p>
      <w:pPr>
        <w:pStyle w:val="Heading1"/>
      </w:pPr>
      <w:r>
        <w:t xml:space="preserve">1. Methods</w:t>
      </w:r>
    </w:p>
    <w:p>
      <w:pPr>
        <w:pStyle w:val="Compact"/>
        <w:numPr>
          <w:ilvl w:val="0"/>
          <w:numId w:val="1001"/>
        </w:numPr>
      </w:pPr>
      <w:r>
        <w:t xml:space="preserve">Data: LSAC B cohort at ages 10/11, 12/13, and 14/15 (waves 6–8).</w:t>
      </w:r>
      <w:r>
        <w:t xml:space="preserve"> </w:t>
      </w:r>
      <w:r>
        <w:t xml:space="preserve">The K cohort is excluded because its age-14 wave (2012) did not have the video game time item.</w:t>
      </w:r>
    </w:p>
    <w:bookmarkStart w:id="9" w:name="key-variables"/>
    <w:p>
      <w:pPr>
        <w:pStyle w:val="Heading2"/>
      </w:pPr>
      <w:r>
        <w:t xml:space="preserve">1.1 Key Variables</w:t>
      </w:r>
    </w:p>
    <w:p>
      <w:pPr>
        <w:pStyle w:val="Compact"/>
        <w:numPr>
          <w:ilvl w:val="0"/>
          <w:numId w:val="1002"/>
        </w:numPr>
      </w:pPr>
      <w:r>
        <w:t xml:space="preserve">Video game use: reported minutes of electronic games in an average week, converted to hours/week.</w:t>
      </w:r>
    </w:p>
    <w:p>
      <w:pPr>
        <w:pStyle w:val="Compact"/>
        <w:numPr>
          <w:ilvl w:val="0"/>
          <w:numId w:val="1002"/>
        </w:numPr>
      </w:pPr>
      <w:r>
        <w:t xml:space="preserve">Self-concept: self-reported SDQ.</w:t>
      </w:r>
      <w:r>
        <w:t xml:space="preserve"> </w:t>
      </w:r>
      <w:r>
        <w:t xml:space="preserve">The total difficulties score is the primary outcome, and internalising (emotional + peer) and externalising (conduct + hyperactivity) composites are for secondary analyses.</w:t>
      </w:r>
      <w:r>
        <w:t xml:space="preserve"> </w:t>
      </w:r>
      <w:r>
        <w:t xml:space="preserve">The Parent 1-reported SDQ total is also kept for an informant-robustness check.</w:t>
      </w:r>
    </w:p>
    <w:p>
      <w:pPr>
        <w:pStyle w:val="Compact"/>
        <w:numPr>
          <w:ilvl w:val="0"/>
          <w:numId w:val="1002"/>
        </w:numPr>
      </w:pPr>
      <w:r>
        <w:t xml:space="preserve">Parental warmth (the moderator): Parent 1’s score on the 6-item Parental Warmth Scale (1–5).</w:t>
      </w:r>
      <w:r>
        <w:t xml:space="preserve"> </w:t>
      </w:r>
      <w:r>
        <w:t xml:space="preserve">Parent 2’s score is retained for a both-parents sensitivity model.</w:t>
      </w:r>
      <w:r>
        <w:t xml:space="preserve"> </w:t>
      </w:r>
      <w:r>
        <w:t xml:space="preserve">It’s not the primary model because so much of Parent 2’s data is missing.</w:t>
      </w:r>
    </w:p>
    <w:p>
      <w:pPr>
        <w:pStyle w:val="Compact"/>
        <w:numPr>
          <w:ilvl w:val="0"/>
          <w:numId w:val="1002"/>
        </w:numPr>
      </w:pPr>
      <w:r>
        <w:t xml:space="preserve">Covariates: sex, socioeconomic position, and age in months, all at the age 10/11 baseline.</w:t>
      </w:r>
    </w:p>
    <w:p>
      <w:pPr>
        <w:pStyle w:val="Compact"/>
        <w:numPr>
          <w:ilvl w:val="0"/>
          <w:numId w:val="1002"/>
        </w:numPr>
      </w:pPr>
      <w:r>
        <w:t xml:space="preserve">Cleaning: LSAC missing-data codes recoded to missing.</w:t>
      </w:r>
      <w:r>
        <w:t xml:space="preserve"> </w:t>
      </w:r>
      <w:r>
        <w:t xml:space="preserve">Video game hours more than 4 SD above the within-wave mean are winsorised (that is, set to the 4 SD value).</w:t>
      </w:r>
      <w:r>
        <w:t xml:space="preserve"> </w:t>
      </w:r>
      <w:r>
        <w:t xml:space="preserve">That is different from the proposal (which said set to NA), but I think makes more sense.</w:t>
      </w:r>
      <w:r>
        <w:t xml:space="preserve"> </w:t>
      </w:r>
      <w:r>
        <w:t xml:space="preserve">The flagged values look like real heavy gamers overstating, so we keep them but cap their influence.</w:t>
      </w:r>
      <w:r>
        <w:t xml:space="preserve"> </w:t>
      </w:r>
      <w:r>
        <w:t xml:space="preserve">I’ll also test setting them to missing as a sensitivity analysis.</w:t>
      </w:r>
      <w:r>
        <w:t xml:space="preserve"> </w:t>
      </w:r>
      <w:r>
        <w:t xml:space="preserve">SES and warmth are not screened — there are only a few extreme SES values and these seem plausible given the size of LSAC, and low warmth scores are likely to be real given that these are likert scale items.</w:t>
      </w:r>
    </w:p>
    <w:p>
      <w:pPr>
        <w:pStyle w:val="Compact"/>
        <w:numPr>
          <w:ilvl w:val="0"/>
          <w:numId w:val="1002"/>
        </w:numPr>
      </w:pPr>
      <w:r>
        <w:t xml:space="preserve">Analysis sample: all children with data on at least one study variable (video games, SDQ, or warmth) at one or more waves, with models estimated using full-information maximum likelihood (FIML) under a missing-at-random (MAR) assumption.</w:t>
      </w:r>
      <w:r>
        <w:t xml:space="preserve"> </w:t>
      </w:r>
      <w:r>
        <w:t xml:space="preserve">The proposal’s complete-case (data at all three waves) can be done as a sensitivity analysis.</w:t>
      </w:r>
    </w:p>
    <w:bookmarkEnd w:id="9"/>
    <w:bookmarkEnd w:id="10"/>
    <w:bookmarkStart w:id="19" w:name="data-and-derivations"/>
    <w:p>
      <w:pPr>
        <w:pStyle w:val="Heading1"/>
      </w:pPr>
      <w:r>
        <w:t xml:space="preserve">2. Data and derivations</w:t>
      </w:r>
    </w:p>
    <w:bookmarkStart w:id="12" w:name="sample-and-missingness-per-wave"/>
    <w:p>
      <w:pPr>
        <w:pStyle w:val="Heading2"/>
      </w:pPr>
      <w:r>
        <w:t xml:space="preserve">2.1 Sample and missingness per wave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Non-missing observations (% of children in the wave file) for each study variable, after cleaning. N is the number of children with any data at that wave.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10/11 (N = 3,764)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12/13 (N = 3,381)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14/15 (N = 3,127)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3,154 (93.3%)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3,104 (99.3%)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(Self-Report)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Internalising (Emotional + Peer)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Externalising (Conduct + Hyperactivity)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3,587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(Parent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3,663 (97.3%)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3,334 (98.6%)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3,085 (98.7%)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3,662 (97.3%)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3,281 (97.0%)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3,086 (98.7%)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2,306 (61.3%)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1,991 (58.9%)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1,851 (59.2%)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3,707 (98.5%)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3,303 (97.7%)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3,109 (99.4%)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3,764 (100.0%)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3,381 (100.0%)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3,127 (100.0%)</w:t>
                  </w:r>
                </w:p>
              </w:tc>
            </w:tr>
          </w:tbl>
          <w:bookmarkEnd w:id="11"/>
          <w:p/>
        </w:tc>
      </w:tr>
    </w:tbl>
    <w:bookmarkEnd w:id="12"/>
    <w:bookmarkStart w:id="16" w:name="distributions"/>
    <w:p>
      <w:pPr>
        <w:pStyle w:val="Heading2"/>
      </w:pPr>
      <w:r>
        <w:t xml:space="preserve">2.2 Distributions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Distributions of the three core study variables at each age band (after cleaning)." title="" id="14" name="Picture"/>
            <a:graphic>
              <a:graphicData uri="http://schemas.openxmlformats.org/drawingml/2006/picture">
                <pic:pic>
                  <pic:nvPicPr>
                    <pic:cNvPr descr="report_files/figure-docx/plot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Distributions of the three core study variables at each age band (after cleaning).</w:t>
      </w:r>
    </w:p>
    <w:bookmarkEnd w:id="16"/>
    <w:bookmarkStart w:id="18" w:name="sec-vg-tail"/>
    <w:p>
      <w:pPr>
        <w:pStyle w:val="Heading2"/>
      </w:pPr>
      <w:r>
        <w:t xml:space="preserve">2.3 Video game hours: outlier tail</w:t>
      </w:r>
    </w:p>
    <w:p>
      <w:pPr>
        <w:pStyle w:val="FirstParagraph"/>
      </w:pPr>
      <w:r>
        <w:t xml:space="preserve">Values more than 4 SD above the within-wave mean are winsorised to 4 SD from mean.</w:t>
      </w:r>
      <w:r>
        <w:t xml:space="preserve"> </w:t>
      </w:r>
      <w:r>
        <w:t xml:space="preserve">The flagged values are shown below before windsorising.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vg-tai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Unscreened video game hours per week: within-wave summary and all values above the 4 SD flagging threshold.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6"/>
              <w:gridCol w:w="284"/>
              <w:gridCol w:w="853"/>
              <w:gridCol w:w="711"/>
              <w:gridCol w:w="474"/>
              <w:gridCol w:w="51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(SD), hrs/wk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SD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flagged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Flagged values (hrs/wk)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95, 70, 70, 70, 62, 62, 62, 54, 48, 46, 44, 41, 41, 40, 40, 40, 40, 39, 39, 38.5, 38, 38, 37, 37, 37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 (8.9)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90, 73.5, 70, 70, 70, 66, 65, 58, 54, 53.2, 52, 51, 50, 50, 50, 49, 46, 45.5, 45, 45, 45, 45, 45, 45, 45, 45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10.2 (11.6)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92, 88, 87, 85, 84, 82, 81, 70, 70, 69, 66.5, 64, 62, 61.8, 61.5, 60.1, 60, 58, 58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33" w:name="sample-and-descriptives"/>
    <w:p>
      <w:pPr>
        <w:pStyle w:val="Heading1"/>
      </w:pPr>
      <w:r>
        <w:t xml:space="preserve">3. Sample and descriptives</w:t>
      </w:r>
    </w:p>
    <w:bookmarkStart w:id="25" w:name="sample-flow"/>
    <w:p>
      <w:pPr>
        <w:pStyle w:val="Heading2"/>
      </w:pPr>
      <w:r>
        <w:t xml:space="preserve">3.1 Sample flow</w:t>
      </w:r>
    </w:p>
    <w:p>
      <w:pPr>
        <w:pStyle w:val="FirstParagraph"/>
      </w:pPr>
      <w:r>
        <w:t xml:space="preserve">The three B-cohort wave files contain 3,921 children.</w:t>
      </w:r>
      <w:r>
        <w:t xml:space="preserve"> </w:t>
      </w:r>
      <w:r>
        <w:t xml:space="preserve">The analysis sample (children with data on at least one study variable at one or more waves) is N = 3,879.</w:t>
      </w:r>
      <w:r>
        <w:t xml:space="preserve"> </w:t>
      </w:r>
      <w:r>
        <w:t xml:space="preserve">The proposal’s complete-case criterion would retain N = 2,473 (63.1% of the cohort file).</w:t>
      </w:r>
      <w:r>
        <w:t xml:space="preserve"> </w:t>
      </w:r>
      <w:r>
        <w:t xml:space="preserve">That makes me think that FIML is definitely the way to go.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Sample flow from the wave 6–8 B-cohort files to the analysis samples.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7"/>
              <w:gridCol w:w="888"/>
              <w:gridCol w:w="1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children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cohort file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B-cohort children in any wave 6–8 data file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(video games, SDQ, or warmth) at ≥1 wave [analysis sample]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age 10/11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age 12/13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age 14/15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data at ≥2 waves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86.6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cases: video games and SDQ at all three waves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cases with baseline warmth, sex, and 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62.4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participation-patter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Wave-participation patterns (any study data at each wave) among the analysis sample.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10/11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12/13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14/15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Three-quarters of the analysis sample (74.2%) have study data at all three waves, and 86.6% at two or more.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Complete-case analysis would discard more than a third (36.9%) of the sample.</w:t>
            </w:r>
            <w:r>
              <w:t xml:space="preserve"> </w:t>
            </w:r>
            <w:r>
              <w:t xml:space="preserve">So FIML is a good option.</w:t>
            </w:r>
          </w:p>
          <w:p/>
        </w:tc>
      </w:tr>
    </w:tbl>
    <w:bookmarkEnd w:id="25"/>
    <w:bookmarkStart w:id="26" w:name="descriptive-statistics"/>
    <w:p>
      <w:pPr>
        <w:pStyle w:val="Heading2"/>
      </w:pPr>
      <w:r>
        <w:t xml:space="preserve">3.2 Descriptive statistics</w:t>
      </w:r>
    </w:p>
    <w:p>
      <w:pPr>
        <w:pStyle w:val="TableCaption"/>
      </w:pPr>
      <w:r>
        <w:t xml:space="preserve">Descriptive statistics by age band. N per column is children with any data at that wave; individual variables have additional item-level missingness.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scriptive statistics by age band. N per column is children with any data at that wave; individual variables have additional item-level missingness."/>
      </w:tblPr>
      <w:tblGrid>
        <w:gridCol w:w="4620"/>
        <w:gridCol w:w="1072"/>
        <w:gridCol w:w="1072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 10/11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12/13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14/15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=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1835 (48.8)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1647 (48.7)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1521 (48.6)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 (0.49)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 (0.51)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 (0.47)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Socioeconomic Position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 (1.00)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 Game Use (hrs/week)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 (6.72)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 (8.44)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10.12 (11.18)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Total Difficulties (Self-Report)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 (5.81)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9.26 (5.62)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 (5.81)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Internalising (Emotional + Peer)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 (3.30)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 (3.21)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 (3.48)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Externalising (Conduct + Hyperactivity)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 (3.43)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 (3.39)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5.46 (3.38)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Prosocial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 (1.65)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 (1.74)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 (1.81)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SDQ Total Difficulties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7.55 (5.59)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 (5.49)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 (5.59)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 (0.58)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 (0.68)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 (0.65)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 (0.70)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 (0.75)</w:t>
            </w:r>
          </w:p>
        </w:tc>
      </w:tr>
    </w:tbl>
    <w:bookmarkEnd w:id="26"/>
    <w:bookmarkStart w:id="32" w:name="trajectories"/>
    <w:p>
      <w:pPr>
        <w:pStyle w:val="Heading2"/>
      </w:pPr>
      <w:r>
        <w:t xml:space="preserve">3.3 Trajectories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Video game hours and self-reported SDQ total difficulties by age band: distributions (violins) with means and 95% CIs." title="" id="28" name="Picture"/>
            <a:graphic>
              <a:graphicData uri="http://schemas.openxmlformats.org/drawingml/2006/picture">
                <pic:pic>
                  <pic:nvPicPr>
                    <pic:cNvPr descr="report_files/figure-docx/plot-trajectories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Video game hours and self-reported SDQ total difficulties by age band: distributions (violins) with means and 95% CIs.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Video game use rises with age (7.7 → 8.5 → 10.1 hrs/week on average) and, quite interestingly, spreads out.</w:t>
            </w:r>
            <w:r>
              <w:t xml:space="preserve"> </w:t>
            </w:r>
            <w:r>
              <w:t xml:space="preserve">The SD grows from 6.7 to 11.2, with a lengthening upper tail.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SDQ total difficulties dips at 12/13 (10.1 → 9.3) then returns to baseline at 14/15 (10.3).</w:t>
            </w:r>
            <w:r>
              <w:t xml:space="preserve"> </w:t>
            </w:r>
            <w:r>
              <w:t xml:space="preserve">It’s pretty small, so I wouldn’t overinterpret it.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Parental warmth declines steadily with age (4.35 → 4.08).</w:t>
            </w:r>
            <w:r>
              <w:t xml:space="preserve"> </w:t>
            </w:r>
            <w:r>
              <w:t xml:space="preserve">Again pretty small, and might just be due to dropout?</w:t>
            </w:r>
          </w:p>
          <w:p/>
        </w:tc>
      </w:tr>
    </w:tbl>
    <w:bookmarkEnd w:id="32"/>
    <w:bookmarkEnd w:id="33"/>
    <w:bookmarkStart w:id="37" w:name="sec-attrition"/>
    <w:p>
      <w:pPr>
        <w:pStyle w:val="Heading1"/>
      </w:pPr>
      <w:r>
        <w:t xml:space="preserve">4. Missingness and attrition</w:t>
      </w:r>
    </w:p>
    <w:p>
      <w:pPr>
        <w:pStyle w:val="FirstParagraph"/>
      </w:pPr>
      <w:r>
        <w:t xml:space="preserve">Children with any study data at age 10/11 who also have study data at either follow-up wave (</w:t>
      </w:r>
      <w:r>
        <w:t xml:space="preserve">“retained”</w:t>
      </w:r>
      <w:r>
        <w:t xml:space="preserve">) are compared with those who have none (</w:t>
      </w:r>
      <w:r>
        <w:t xml:space="preserve">“lost”</w:t>
      </w:r>
      <w:r>
        <w:t xml:space="preserve">) on their baseline characteristics.</w:t>
      </w:r>
      <w:r>
        <w:t xml:space="preserve"> </w:t>
      </w:r>
      <w:r>
        <w:t xml:space="preserve">Standardised mean differences (SMD) are the retained-minus-lost difference in pooled-SD units.</w:t>
      </w:r>
      <w:r>
        <w:t xml:space="preserve"> </w:t>
      </w:r>
      <w:r>
        <w:t xml:space="preserve">|SMD| &lt; 0.10 is conventionally negligible.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attri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Baseline (age 10/11) characteristics of children retained at follow-up vs lost to follow-up.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827"/>
              <w:gridCol w:w="1305"/>
              <w:gridCol w:w="522"/>
              <w:gridCol w:w="1305"/>
              <w:gridCol w:w="6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(n = 3,305)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Lost (n = 405)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Female, 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χ²(1) = 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0.887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7.66 (6.63)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(7.41)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t(461) = -1.67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9.99 (5.78)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10.73 (6.02)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t(464) = -2.26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4.34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t(480) = 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= 0.788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t(494) = 6.92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Attrition is clearly not completely at random: lost children are lower-SES (SMD 0.37) and report slightly higher baseline difficulties (SMD −0.12).</w:t>
            </w:r>
            <w:r>
              <w:t xml:space="preserve"> </w:t>
            </w:r>
            <w:r>
              <w:t xml:space="preserve">Sex, warmth, and video game hours show negligible differences.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variables that predict dropout (SES, baseline SDQ) are observed and in the model.</w:t>
            </w:r>
            <w:r>
              <w:t xml:space="preserve"> </w:t>
            </w:r>
            <w:r>
              <w:t xml:space="preserve">This is the MAR pattern FIML adjusts for, whereas complete-case analysis would tilt the sample toward higher-SES, better-functioning children.</w:t>
            </w:r>
          </w:p>
          <w:p/>
        </w:tc>
      </w:tr>
    </w:tbl>
    <w:bookmarkEnd w:id="37"/>
    <w:bookmarkStart w:id="41" w:name="correlations"/>
    <w:p>
      <w:pPr>
        <w:pStyle w:val="Heading1"/>
      </w:pPr>
      <w:r>
        <w:t xml:space="preserve">5. Correlations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orrel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Zero-order correlations among the study variables (pairwise complete). SES is the age-10/11 z-composite; Female sex is coded 1 = female. * p &lt; .05, ** p &lt; .01, *** p &lt; .001.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41"/>
              <w:gridCol w:w="354"/>
              <w:gridCol w:w="354"/>
              <w:gridCol w:w="650"/>
              <w:gridCol w:w="650"/>
              <w:gridCol w:w="650"/>
              <w:gridCol w:w="650"/>
              <w:gridCol w:w="650"/>
              <w:gridCol w:w="650"/>
              <w:gridCol w:w="591"/>
              <w:gridCol w:w="591"/>
              <w:gridCol w:w="472"/>
              <w:gridCol w:w="236"/>
              <w:gridCol w:w="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Video games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Video games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.42***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Video games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.38***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.51***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SDQ total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SDQ total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.13***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.13***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.15***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.57***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SDQ total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.04*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.45***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.61***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Warmth (P1)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-.04*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-.08***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-.06**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-.05*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 Warmth (P1)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-.04*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-.06**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-.05**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 Warmth (P1)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-.06***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-.07***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.62***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.70***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 SES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-.13***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-.15***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-.16***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-.11***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-.10***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 Female sex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-.24***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-.34***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-.48***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-.09***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.14***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.06**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cross-sectional and cross-lagged video-game–SDQ correlations are all small and positive (r = .04–.17).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More gaming goes with slightly more difficulties, before any adjustment.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Rank-order stability is moderate for video games (.42–.51), higher for SDQ (.57–.61) and warmth (.69–.70).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Warmth correlates negatively with both gaming and difficulties (r ≈ −.05 to −.12).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Sex is strongly related to gaming (girls lower, and increasingly so with age: −.24 → −.48) and flips sign for SDQ (−.09 at 10/11 to +.14 at 14/15).</w:t>
            </w:r>
            <w:r>
              <w:t xml:space="preserve"> </w:t>
            </w:r>
            <w:r>
              <w:t xml:space="preserve">— Supports sex as a covariate in all models.</w:t>
            </w:r>
          </w:p>
          <w:p/>
        </w:tc>
      </w:tr>
    </w:tbl>
    <w:bookmarkEnd w:id="41"/>
    <w:bookmarkStart w:id="44" w:name="supplementary-material"/>
    <w:p>
      <w:pPr>
        <w:pStyle w:val="Heading1"/>
      </w:pPr>
      <w:r>
        <w:t xml:space="preserve">6. Supplementary material</w:t>
      </w:r>
    </w:p>
    <w:bookmarkStart w:id="43" w:name="sec-supp-descriptives"/>
    <w:p>
      <w:pPr>
        <w:pStyle w:val="Heading2"/>
      </w:pPr>
      <w:r>
        <w:t xml:space="preserve">6.1 Descriptive statistics by sex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Descriptive statistics by sex within age band.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17"/>
              <w:gridCol w:w="781"/>
              <w:gridCol w:w="885"/>
              <w:gridCol w:w="781"/>
              <w:gridCol w:w="885"/>
              <w:gridCol w:w="781"/>
              <w:gridCol w:w="88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14/15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14.34 (0.47)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9.32 (7.15)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6.02 (5.76)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11.28 (8.95)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5.49 (6.61)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15.38 (11.59)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4.54 (7.39)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(Self-Report)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10.58 (5.94)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9.54 (5.62)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9.41 (5.61)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9.10 (5.64)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9.47 (5.39)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11.14 (6.10)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Internalising (Emotional + Peer)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4.58 (3.32)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4.76 (3.28)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3.88 (3.07)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4.48 (3.33)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 (3.04)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5.78 (3.66)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Externalising (Conduct + Hyperactivity)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6.00 (3.51)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4.78 (3.23)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5.53 (3.44)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4.62 (3.27)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5.55 (3.33)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5.35 (3.42)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Prosocial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7.61 (1.75)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8.40 (1.43)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7.37 (1.82)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8.15 (1.56)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6.96 (1.84)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(1.62)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8.11 (5.78)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6.96 (5.32)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7.70 (5.59)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6.85 (5.36)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7.46 (5.51)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6.99 (5.66)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4.34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4.11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4.02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3.57 (0.74)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3.68 (0.75)</w:t>
                  </w:r>
                </w:p>
              </w:tc>
            </w:tr>
          </w:tbl>
          <w:bookmarkEnd w:id="42"/>
          <w:p/>
        </w:tc>
      </w:tr>
    </w:tbl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 Games, Self-Concept, and the Parent–Child Relationship</dc:title>
  <dc:creator>Taren Sanders</dc:creator>
  <cp:keywords/>
  <dcterms:created xsi:type="dcterms:W3CDTF">2026-07-28T01:06:35Z</dcterms:created>
  <dcterms:modified xsi:type="dcterms:W3CDTF">2026-07-28T01:06:35Z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report</vt:lpwstr>
  </property>
  <property fmtid="{D5CDD505-2E9C-101B-9397-08002B2CF9AE}" pid="12" name="toc-title">
    <vt:lpwstr>Table of contents</vt:lpwstr>
  </property>
</Properties>
</file>