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t xml:space="preserve"/>
      </w:r>
    </w:p>
    <w:p>
      <w:pPr>
        <w:spacing w:after="50"/>
      </w:pPr>
      <w:r>
        <w:t xml:space="preserve"/>
      </w:r>
    </w:p>
    <w:p>
      <w:pPr>
        <w:spacing w:after="50"/>
      </w:pPr>
      <w:r>
        <w:t xml:space="preserve"/>
      </w:r>
    </w:p>
    <w:p>
      <w:pPr>
        <w:spacing w:after="100"/>
        <w:jc w:val="center"/>
      </w:pPr>
      <w:r>
        <w:rPr>
          <w:rFonts w:ascii="Arial" w:cs="Arial" w:eastAsia="Arial" w:hAnsi="Arial"/>
          <w:b/>
          <w:bCs/>
          <w:color w:val="1B3A5C"/>
          <w:sz w:val="48"/>
          <w:szCs w:val="48"/>
        </w:rPr>
        <w:t xml:space="preserve">ACTIVITÉ SOLAIRE &amp; ÉTATS ÉMOTIONNELS</w:t>
      </w:r>
    </w:p>
    <w:p>
      <w:pPr>
        <w:spacing w:after="80"/>
        <w:jc w:val="center"/>
      </w:pPr>
      <w:r>
        <w:rPr>
          <w:rFonts w:ascii="Arial" w:cs="Arial" w:eastAsia="Arial" w:hAnsi="Arial"/>
          <w:color w:val="C05000"/>
          <w:sz w:val="28"/>
          <w:szCs w:val="28"/>
        </w:rPr>
        <w:t xml:space="preserve">Analyse directe : F10.7 · Taches Solaires · Éruptions · Distance UA</w:t>
      </w:r>
    </w:p>
    <w:p>
      <w:pPr>
        <w:spacing w:after="60"/>
        <w:jc w:val="center"/>
      </w:pPr>
      <w:r>
        <w:rPr>
          <w:rFonts w:ascii="Arial" w:cs="Arial" w:eastAsia="Arial" w:hAnsi="Arial"/>
          <w:color w:val="666666"/>
          <w:sz w:val="22"/>
          <w:szCs w:val="22"/>
        </w:rPr>
        <w:t xml:space="preserve">Corpus Tzolkin Galaad — 80 entrées — mai 2025 → février 2026</w:t>
      </w:r>
    </w:p>
    <w:p>
      <w:pPr>
        <w:spacing w:after="200"/>
        <w:jc w:val="center"/>
      </w:pPr>
      <w:r>
        <w:rPr>
          <w:rFonts w:ascii="Arial" w:cs="Arial" w:eastAsia="Arial" w:hAnsi="Arial"/>
          <w:color w:val="888888"/>
          <w:sz w:val="18"/>
          <w:szCs w:val="18"/>
        </w:rPr>
        <w:t xml:space="preserve">Source : NOAA SWPC / NGDC Daily Solar Data (DSD) — Fichiers trimestriels 2025Q2–2026Q1</w:t>
      </w:r>
    </w:p>
    <w:p>
      <w:pPr>
        <w:pBdr>
          <w:bottom w:val="single" w:color="B0B0B0" w:sz="4" w:space="1"/>
        </w:pBdr>
        <w:spacing w:before="100" w:after="100"/>
      </w:pPr>
      <w:r>
        <w:t xml:space="preserve"/>
      </w:r>
    </w:p>
    <w:p>
      <w:pPr>
        <w:spacing w:after="50"/>
      </w:pPr>
      <w:r>
        <w:t xml:space="preserve"/>
      </w:r>
    </w:p>
    <w:p>
      <w:pPr>
        <w:spacing w:after="60"/>
        <w:jc w:val="center"/>
      </w:pPr>
      <w:r>
        <w:rPr>
          <w:rFonts w:ascii="Arial" w:cs="Arial" w:eastAsia="Arial" w:hAnsi="Arial"/>
          <w:b/>
          <w:bCs/>
          <w:color w:val="1B3A5C"/>
          <w:sz w:val="24"/>
          <w:szCs w:val="24"/>
        </w:rPr>
        <w:t xml:space="preserve">F10.7 moyen sur le corpus : 138.5 sfu  (σ = 18.5)</w:t>
      </w:r>
    </w:p>
    <w:p>
      <w:pPr>
        <w:spacing w:after="60"/>
        <w:jc w:val="center"/>
      </w:pPr>
      <w:r>
        <w:rPr>
          <w:rFonts w:ascii="Arial" w:cs="Arial" w:eastAsia="Arial" w:hAnsi="Arial"/>
          <w:color w:val="404040"/>
          <w:sz w:val="22"/>
          <w:szCs w:val="22"/>
        </w:rPr>
        <w:t xml:space="preserve">SSN moyen : 108.6  range [16 – 178]</w:t>
      </w:r>
    </w:p>
    <w:p>
      <w:pPr>
        <w:spacing w:after="200"/>
        <w:jc w:val="center"/>
      </w:pPr>
      <w:r>
        <w:rPr>
          <w:rFonts w:ascii="Arial" w:cs="Arial" w:eastAsia="Arial" w:hAnsi="Arial"/>
          <w:color w:val="666666"/>
          <w:sz w:val="20"/>
          <w:szCs w:val="20"/>
        </w:rPr>
        <w:t xml:space="preserve">Cycle solaire 25 (2019–2030) — Phase de maximum actif</w:t>
      </w:r>
    </w:p>
    <w:p>
      <w:r>
        <w:br w:type="page"/>
      </w:r>
    </w:p>
    <w:p>
      <w:pPr>
        <w:pStyle w:val="Heading1"/>
        <w:spacing w:before="360" w:after="120"/>
      </w:pPr>
      <w:r>
        <w:rPr>
          <w:rFonts w:ascii="Arial" w:cs="Arial" w:eastAsia="Arial" w:hAnsi="Arial"/>
          <w:b/>
          <w:bCs/>
          <w:color w:val="1B3A5C"/>
          <w:sz w:val="32"/>
          <w:szCs w:val="32"/>
        </w:rPr>
        <w:t xml:space="preserve">0. Contexte et hypothèses</w:t>
      </w:r>
    </w:p>
    <w:p>
      <w:pPr>
        <w:spacing w:before="0" w:after="80"/>
      </w:pPr>
      <w:r>
        <w:rPr>
          <w:rFonts w:ascii="Arial" w:cs="Arial" w:eastAsia="Arial" w:hAnsi="Arial"/>
          <w:b w:val="false"/>
          <w:bCs w:val="false"/>
          <w:color w:val="000000"/>
          <w:sz w:val="20"/>
          <w:szCs w:val="20"/>
        </w:rPr>
        <w:t xml:space="preserve">Ce rapport teste directement les mesures d'activité solaire — sans passer par l'indice géomagnétique Kp — pour évaluer leur relation avec les états émotionnels du corpus Tzolkin de Galaad.</w:t>
      </w:r>
    </w:p>
    <w:p>
      <w:pPr>
        <w:spacing w:before="0" w:after="80"/>
      </w:pPr>
      <w:r>
        <w:rPr>
          <w:rFonts w:ascii="Arial" w:cs="Arial" w:eastAsia="Arial" w:hAnsi="Arial"/>
          <w:b w:val="false"/>
          <w:bCs w:val="false"/>
          <w:color w:val="000000"/>
          <w:sz w:val="20"/>
          <w:szCs w:val="20"/>
        </w:rPr>
        <w:t xml:space="preserve">Le Kp mesure l'impact de l'activité solaire sur le champ magnétique terrestre : il dépend non seulement de l'intensité de l'éruption mais aussi de sa direction (les CME — éjections de masse coronale — doivent pointer vers la Terre pour créer une tempête). Cette dépendance de direction dilue le signal. Les indicateurs directs d'activité solaire mesurent ce que le Soleil émet indépendamment de la direction.</w:t>
      </w:r>
    </w:p>
    <w:p>
      <w:pPr>
        <w:spacing w:after="50"/>
      </w:pPr>
      <w:r>
        <w:t xml:space="preserve"/>
      </w:r>
    </w:p>
    <w:p>
      <w:pPr>
        <w:spacing w:before="180" w:after="60"/>
      </w:pPr>
      <w:r>
        <w:rPr>
          <w:rFonts w:ascii="Arial" w:cs="Arial" w:eastAsia="Arial" w:hAnsi="Arial"/>
          <w:b/>
          <w:bCs/>
          <w:color w:val="404040"/>
          <w:sz w:val="22"/>
          <w:szCs w:val="22"/>
        </w:rPr>
        <w:t xml:space="preserve">Variables testées</w:t>
      </w:r>
    </w:p>
    <w:p>
      <w:pPr>
        <w:spacing w:before="0" w:after="80"/>
      </w:pPr>
      <w:r>
        <w:rPr>
          <w:rFonts w:ascii="Arial" w:cs="Arial" w:eastAsia="Arial" w:hAnsi="Arial"/>
          <w:b w:val="false"/>
          <w:bCs w:val="false"/>
          <w:color w:val="000000"/>
          <w:sz w:val="20"/>
          <w:szCs w:val="20"/>
        </w:rPr>
        <w:t xml:space="preserve">• F10.7 (flux radio à 10,7 cm / 2800 MHz) : proxy standard de l'activité UV/EUV du Soleil, mesuré quotidiennement à Penticton (Canada) depuis 1947. Unité : sfu (solar flux unit). Corrèle avec le cycle des taches solaires et l'émission UV ionisante.</w:t>
      </w:r>
    </w:p>
    <w:p>
      <w:pPr>
        <w:spacing w:before="0" w:after="80"/>
      </w:pPr>
      <w:r>
        <w:rPr>
          <w:rFonts w:ascii="Arial" w:cs="Arial" w:eastAsia="Arial" w:hAnsi="Arial"/>
          <w:b w:val="false"/>
          <w:bCs w:val="false"/>
          <w:color w:val="000000"/>
          <w:sz w:val="20"/>
          <w:szCs w:val="20"/>
        </w:rPr>
        <w:t xml:space="preserve">• SSN (nombre de taches solaires — SESC) : comptage journalier des groupes de taches, indicateur direct de l'activité magnétique photosphérique.</w:t>
      </w:r>
    </w:p>
    <w:p>
      <w:pPr>
        <w:spacing w:before="0" w:after="80"/>
      </w:pPr>
      <w:r>
        <w:rPr>
          <w:rFonts w:ascii="Arial" w:cs="Arial" w:eastAsia="Arial" w:hAnsi="Arial"/>
          <w:b w:val="false"/>
          <w:bCs w:val="false"/>
          <w:color w:val="000000"/>
          <w:sz w:val="20"/>
          <w:szCs w:val="20"/>
        </w:rPr>
        <w:t xml:space="preserve">• Éruptions solaires par classe : C (faibles), M (modérées), X (fortes) — les classes M et X sont les plus énergétiques et libèrent des X-rays / UV intenses.</w:t>
      </w:r>
    </w:p>
    <w:p>
      <w:pPr>
        <w:spacing w:before="0" w:after="80"/>
      </w:pPr>
      <w:r>
        <w:rPr>
          <w:rFonts w:ascii="Arial" w:cs="Arial" w:eastAsia="Arial" w:hAnsi="Arial"/>
          <w:b w:val="false"/>
          <w:bCs w:val="false"/>
          <w:color w:val="000000"/>
          <w:sz w:val="20"/>
          <w:szCs w:val="20"/>
        </w:rPr>
        <w:t xml:space="preserve">• Distance Terre–Soleil en UA : déjà dans le corpus ; testée en interaction avec F10.7.</w:t>
      </w:r>
    </w:p>
    <w:p>
      <w:pPr>
        <w:spacing w:before="0" w:after="120"/>
      </w:pPr>
      <w:r>
        <w:rPr>
          <w:rFonts w:ascii="Arial" w:cs="Arial" w:eastAsia="Arial" w:hAnsi="Arial"/>
          <w:b w:val="false"/>
          <w:bCs w:val="false"/>
          <w:color w:val="000000"/>
          <w:sz w:val="20"/>
          <w:szCs w:val="20"/>
        </w:rPr>
        <w:t xml:space="preserve">• Hypothèse principale : les éruptions X/M et les niveaux élevés de F10.7 représentent une irradiation solaire accrue susceptible d'influencer les états psychiques via des voies biologiques (mélatonine, rythme circadien, ionisation atmosphérique, effets sur les neurotransmetteurs).</w:t>
      </w:r>
    </w:p>
    <w:p>
      <w:pPr>
        <w:pBdr>
          <w:bottom w:val="single" w:color="B0B0B0" w:sz="4" w:space="1"/>
        </w:pBdr>
        <w:spacing w:before="100" w:after="100"/>
      </w:pPr>
      <w:r>
        <w:t xml:space="preserve"/>
      </w:r>
    </w:p>
    <w:p>
      <w:r>
        <w:br w:type="page"/>
      </w:r>
    </w:p>
    <w:p>
      <w:pPr>
        <w:pStyle w:val="Heading1"/>
        <w:spacing w:before="360" w:after="120"/>
      </w:pPr>
      <w:r>
        <w:rPr>
          <w:rFonts w:ascii="Arial" w:cs="Arial" w:eastAsia="Arial" w:hAnsi="Arial"/>
          <w:b/>
          <w:bCs/>
          <w:color w:val="1B3A5C"/>
          <w:sz w:val="32"/>
          <w:szCs w:val="32"/>
        </w:rPr>
        <w:t xml:space="preserve">I. Corrélations Pearson — Variables solaires × Score émotionnel affiné</w:t>
      </w:r>
    </w:p>
    <w:p>
      <w:pPr>
        <w:spacing w:before="0" w:after="80"/>
      </w:pPr>
      <w:r>
        <w:rPr>
          <w:rFonts w:ascii="Arial" w:cs="Arial" w:eastAsia="Arial" w:hAnsi="Arial"/>
          <w:b w:val="false"/>
          <w:bCs w:val="false"/>
          <w:color w:val="000000"/>
          <w:sz w:val="20"/>
          <w:szCs w:val="20"/>
        </w:rPr>
        <w:t xml:space="preserve">Corpus : n=80 entrées. Score moyen = 2,38 (σ = 2,18). Toutes les corrélations linéaires sont non significatives (p &gt; 0,05) — l'effet solaire, comme l'effet Kp, n'est pas linéaire mais catégoriel.</w:t>
      </w:r>
    </w:p>
    <w:p>
      <w:pPr>
        <w:spacing w:after="5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21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solaire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Pearson 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F10.7 (sfu)</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0.0427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0.7067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Pas d'effet linéaire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SSN (taches)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-0.0461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0.6849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Très léger effet négatif</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Éruptions totales (C+M+X)</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-0.0802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0.4795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Légère tendance négative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Éruptions M+X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0.3645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Tendance négative plus nette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Éruptions X seules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-0.0823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0.4681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Effet négatif non sig.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Distance Soleil (UA)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-0.1573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0.1636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Tendance négative (proche=+)</w:t>
            </w:r>
          </w:p>
        </w:tc>
      </w:tr>
    </w:tbl>
    <w:p>
      <w:pPr>
        <w:spacing w:after="50"/>
      </w:pPr>
      <w:r>
        <w:t xml:space="preserve"/>
      </w:r>
    </w:p>
    <w:p>
      <w:pPr>
        <w:spacing w:before="0" w:after="80"/>
      </w:pPr>
      <w:r>
        <w:rPr>
          <w:rFonts w:ascii="Arial" w:cs="Arial" w:eastAsia="Arial" w:hAnsi="Arial"/>
          <w:b w:val="false"/>
          <w:bCs w:val="false"/>
          <w:color w:val="000000"/>
          <w:sz w:val="20"/>
          <w:szCs w:val="20"/>
        </w:rPr>
        <w:t xml:space="preserve">La corrélation Pearson ne capture pas l'effet catégoriel — voir sections suivantes. L'éruptions M+X (r=-0.1027) est parmi les indicateurs les plus prédictifs linéairement, bien que non significatif.</w:t>
      </w:r>
    </w:p>
    <w:p>
      <w:pPr>
        <w:spacing w:before="0" w:after="80"/>
      </w:pPr>
      <w:r>
        <w:rPr>
          <w:rFonts w:ascii="Arial" w:cs="Arial" w:eastAsia="Arial" w:hAnsi="Arial"/>
          <w:b w:val="false"/>
          <w:bCs w:val="false"/>
          <w:color w:val="000000"/>
          <w:sz w:val="20"/>
          <w:szCs w:val="20"/>
        </w:rPr>
        <w:t xml:space="preserve">Comparaison avec Kp : le Kp avait r=−0,027 (quasiment nul). Les éruptions M/X donnent r=−0,103, soit une puissance prédictive 4× supérieure même si toujours non significative. L'effet catégoriel des éruptions (ci-après) est encore plus marqué.</w:t>
      </w:r>
    </w:p>
    <w:p>
      <w:pPr>
        <w:pBdr>
          <w:bottom w:val="single" w:color="B0B0B0" w:sz="4" w:space="1"/>
        </w:pBdr>
        <w:spacing w:before="100" w:after="100"/>
      </w:pPr>
      <w:r>
        <w:t xml:space="preserve"/>
      </w:r>
    </w:p>
    <w:p>
      <w:r>
        <w:br w:type="page"/>
      </w:r>
    </w:p>
    <w:p>
      <w:pPr>
        <w:pStyle w:val="Heading1"/>
        <w:spacing w:before="360" w:after="120"/>
      </w:pPr>
      <w:r>
        <w:rPr>
          <w:rFonts w:ascii="Arial" w:cs="Arial" w:eastAsia="Arial" w:hAnsi="Arial"/>
          <w:b/>
          <w:bCs/>
          <w:color w:val="1B3A5C"/>
          <w:sz w:val="32"/>
          <w:szCs w:val="32"/>
        </w:rPr>
        <w:t xml:space="preserve">II. F10.7 et SSN — Effet catégoriel non linéaire</w:t>
      </w:r>
    </w:p>
    <w:p>
      <w:pPr>
        <w:pStyle w:val="Heading2"/>
        <w:spacing w:before="240" w:after="80"/>
      </w:pPr>
      <w:r>
        <w:rPr>
          <w:rFonts w:ascii="Arial" w:cs="Arial" w:eastAsia="Arial" w:hAnsi="Arial"/>
          <w:b/>
          <w:bCs/>
          <w:color w:val="C05000"/>
          <w:sz w:val="26"/>
          <w:szCs w:val="26"/>
        </w:rPr>
        <w:t xml:space="preserve">2.1 F10.7 par catégorie × Score moyen</w:t>
      </w:r>
    </w:p>
    <w:p>
      <w:pPr>
        <w:spacing w:before="0" w:after="80"/>
      </w:pPr>
      <w:r>
        <w:rPr>
          <w:rFonts w:ascii="Arial" w:cs="Arial" w:eastAsia="Arial" w:hAnsi="Arial"/>
          <w:b w:val="false"/>
          <w:bCs w:val="false"/>
          <w:color w:val="000000"/>
          <w:sz w:val="20"/>
          <w:szCs w:val="20"/>
        </w:rPr>
        <w:t xml:space="preserve">F10.7 sur le corpus : min=113 sfu, max=178 sfu, moyenne=138.5 sfu. Cycle solaire 25 actuellement en phase de maximum actif (2024–2026).</w:t>
      </w:r>
    </w:p>
    <w:p>
      <w:pPr>
        <w:spacing w:after="5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Catégorie F10.7</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entrées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Faible (&lt;120)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+1.57</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Modéré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Modéré (120-150)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Très positif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Élevé (150-200)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+1.96</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23</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Modéré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Très élevé (&gt;200)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r>
    </w:tbl>
    <w:p>
      <w:pPr>
        <w:spacing w:after="50"/>
      </w:pPr>
      <w:r>
        <w:t xml:space="preserve"/>
      </w:r>
    </w:p>
    <w:p>
      <w:pPr>
        <w:spacing w:before="0" w:after="80"/>
      </w:pPr>
      <w:r>
        <w:rPr>
          <w:rFonts w:ascii="Arial" w:cs="Arial" w:eastAsia="Arial" w:hAnsi="Arial"/>
          <w:b w:val="false"/>
          <w:bCs w:val="false"/>
          <w:color w:val="000000"/>
          <w:sz w:val="20"/>
          <w:szCs w:val="20"/>
        </w:rPr>
        <w:t xml:space="preserve">Résultat clé : une relation en U-inversé est observée. Le F10.7 modéré (120–150 sfu) produit le score le plus élevé (+3.11), tandis que les deux extrêmes — calme extrême (&lt;120 sfu) et activité élevée (&gt;150 sfu) — donnent des scores inférieurs (+1.57 et +1.96 respectivement).</w:t>
      </w:r>
    </w:p>
    <w:p>
      <w:pPr>
        <w:spacing w:before="0" w:after="80"/>
      </w:pPr>
      <w:r>
        <w:rPr>
          <w:rFonts w:ascii="Arial" w:cs="Arial" w:eastAsia="Arial" w:hAnsi="Arial"/>
          <w:b w:val="false"/>
          <w:bCs w:val="false"/>
          <w:color w:val="000000"/>
          <w:sz w:val="20"/>
          <w:szCs w:val="20"/>
        </w:rPr>
        <w:t xml:space="preserve">Ce profil en U-inversé est le même que celui observé avec Kp (légèrement actif = pire, actif = meilleur). L'hypothèse unificatrice : une activation modérée des systèmes biologiques (géomagnétique ou solaire) est catalytique pour les états de conscience élevés, tandis que les extrêmes — absence totale de stimulus et sur-stimulation — sont tous deux défavorables.</w:t>
      </w:r>
    </w:p>
    <w:p>
      <w:pPr>
        <w:spacing w:before="0" w:after="80"/>
      </w:pPr>
      <w:r>
        <w:rPr>
          <w:rFonts w:ascii="Arial" w:cs="Arial" w:eastAsia="Arial" w:hAnsi="Arial"/>
          <w:b w:val="false"/>
          <w:bCs w:val="false"/>
          <w:color w:val="000000"/>
          <w:sz w:val="20"/>
          <w:szCs w:val="20"/>
        </w:rPr>
        <w:t xml:space="preserve">Le seuil 120–150 sfu correspond à un niveau d'activité solaire "de fond" sain dans le cycle 25. En dessous, le Soleil est presque inactif (fin de cycle minimum) ; au-dessus, l'irradiation UV/EUV intense peut perturber les rythmes biologiques.</w:t>
      </w:r>
    </w:p>
    <w:p>
      <w:pPr>
        <w:spacing w:after="50"/>
      </w:pPr>
      <w:r>
        <w:t xml:space="preserve"/>
      </w:r>
    </w:p>
    <w:p>
      <w:pPr>
        <w:pStyle w:val="Heading2"/>
        <w:spacing w:before="240" w:after="80"/>
      </w:pPr>
      <w:r>
        <w:rPr>
          <w:rFonts w:ascii="Arial" w:cs="Arial" w:eastAsia="Arial" w:hAnsi="Arial"/>
          <w:b/>
          <w:bCs/>
          <w:color w:val="C05000"/>
          <w:sz w:val="26"/>
          <w:szCs w:val="26"/>
        </w:rPr>
        <w:t xml:space="preserve">2.2 SSN par catégorie × Score moyen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Catégorie SSN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entrées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Faible (&lt;50)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Très positif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Modéré (50-100)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Élevé (100-150)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+2.57</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35</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Positif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Très élevé (&gt;150)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Modéré</w:t>
            </w:r>
          </w:p>
        </w:tc>
      </w:tr>
    </w:tbl>
    <w:p>
      <w:pPr>
        <w:spacing w:after="50"/>
      </w:pPr>
      <w:r>
        <w:t xml:space="preserve"/>
      </w:r>
    </w:p>
    <w:p>
      <w:pPr>
        <w:spacing w:before="0" w:after="80"/>
      </w:pPr>
      <w:r>
        <w:rPr>
          <w:rFonts w:ascii="Arial" w:cs="Arial" w:eastAsia="Arial" w:hAnsi="Arial"/>
          <w:b w:val="false"/>
          <w:bCs w:val="false"/>
          <w:color w:val="000000"/>
          <w:sz w:val="20"/>
          <w:szCs w:val="20"/>
        </w:rPr>
        <w:t xml:space="preserve">Les taches solaires montrent une tendance descendante : SSN très élevé (&gt;150) → score moyen +1.67 (le plus bas). SSN faible (&lt;50) → +3 (le plus élevé). Mais n=5 pour la catégorie "Faible" — résultat à confirmer.</w:t>
      </w:r>
    </w:p>
    <w:p>
      <w:pPr>
        <w:spacing w:before="0" w:after="80"/>
      </w:pPr>
      <w:r>
        <w:rPr>
          <w:rFonts w:ascii="Arial" w:cs="Arial" w:eastAsia="Arial" w:hAnsi="Arial"/>
          <w:b w:val="false"/>
          <w:bCs w:val="false"/>
          <w:color w:val="000000"/>
          <w:sz w:val="20"/>
          <w:szCs w:val="20"/>
        </w:rPr>
        <w:t xml:space="preserve">Dissociation F10.7/SSN : F10.7 faible = mauvais, mais SSN faible = bon. Cette divergence reflète une réalité physique : le F10.7 mesure le rayonnement radio total (activité coronale + rayonnement thermique de fond), tandis que le SSN mesure spécifiquement les taches (zones de champ magnétique intense). Des jours avec SSN=0 peuvent avoir un F10.7 de 110–120 sfu (rayonnement de fond). Des jours SSN élevé ne produisent pas nécessairement d'éruptions M/X.</w:t>
      </w:r>
    </w:p>
    <w:p>
      <w:pPr>
        <w:pBdr>
          <w:bottom w:val="single" w:color="B0B0B0" w:sz="4" w:space="1"/>
        </w:pBdr>
        <w:spacing w:before="100" w:after="100"/>
      </w:pPr>
      <w:r>
        <w:t xml:space="preserve"/>
      </w:r>
    </w:p>
    <w:p>
      <w:r>
        <w:br w:type="page"/>
      </w:r>
    </w:p>
    <w:p>
      <w:pPr>
        <w:pStyle w:val="Heading1"/>
        <w:spacing w:before="360" w:after="120"/>
      </w:pPr>
      <w:r>
        <w:rPr>
          <w:rFonts w:ascii="Arial" w:cs="Arial" w:eastAsia="Arial" w:hAnsi="Arial"/>
          <w:b/>
          <w:bCs/>
          <w:color w:val="1B3A5C"/>
          <w:sz w:val="32"/>
          <w:szCs w:val="32"/>
        </w:rPr>
        <w:t xml:space="preserve">III. Éruptions Solaires (Flares) — Effet direct des événements M/X</w:t>
      </w:r>
    </w:p>
    <w:p>
      <w:pPr>
        <w:spacing w:before="0" w:after="80"/>
      </w:pPr>
      <w:r>
        <w:rPr>
          <w:rFonts w:ascii="Arial" w:cs="Arial" w:eastAsia="Arial" w:hAnsi="Arial"/>
          <w:b w:val="false"/>
          <w:bCs w:val="false"/>
          <w:color w:val="000000"/>
          <w:sz w:val="20"/>
          <w:szCs w:val="20"/>
        </w:rPr>
        <w:t xml:space="preserve">Sur les 80 jours du corpus, 30 présentent au moins une éruption de classe M ou X. Seuls 6 jours ont une éruption X.</w:t>
      </w:r>
    </w:p>
    <w:p>
      <w:pPr>
        <w:spacing w:after="50"/>
      </w:pPr>
      <w:r>
        <w:t xml:space="preserve"/>
      </w:r>
    </w:p>
    <w:p>
      <w:pPr>
        <w:pStyle w:val="Heading2"/>
        <w:spacing w:before="240" w:after="80"/>
      </w:pPr>
      <w:r>
        <w:rPr>
          <w:rFonts w:ascii="Arial" w:cs="Arial" w:eastAsia="Arial" w:hAnsi="Arial"/>
          <w:b/>
          <w:bCs/>
          <w:color w:val="C05000"/>
          <w:sz w:val="26"/>
          <w:szCs w:val="26"/>
        </w:rPr>
        <w:t xml:space="preserve">3.1 Jours avec / sans éruptions M/X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1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moyen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entrées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vs sans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Aucune éruption M/X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+2.71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48</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référence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 éruption M/X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+1.88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-0.83 pts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Aucune éruption 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+2.43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74</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référence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 éruption 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-0.76 pts</w:t>
            </w:r>
          </w:p>
        </w:tc>
      </w:tr>
    </w:tbl>
    <w:p>
      <w:pPr>
        <w:spacing w:after="50"/>
      </w:pPr>
      <w:r>
        <w:t xml:space="preserve"/>
      </w:r>
    </w:p>
    <w:p>
      <w:pPr>
        <w:spacing w:before="0" w:after="80"/>
      </w:pPr>
      <w:r>
        <w:rPr>
          <w:rFonts w:ascii="Arial" w:cs="Arial" w:eastAsia="Arial" w:hAnsi="Arial"/>
          <w:b w:val="false"/>
          <w:bCs w:val="false"/>
          <w:color w:val="000000"/>
          <w:sz w:val="20"/>
          <w:szCs w:val="20"/>
        </w:rPr>
        <w:t xml:space="preserve">Résultat clé : les jours avec éruptions M/X présentent un score moyen de +1.88 vs +2.71 sans éruption — soit un écart de -0.83 points (−0.83 pts). C'est l'effet le plus clair observé pour les variables solaires directes.</w:t>
      </w:r>
    </w:p>
    <w:p>
      <w:pPr>
        <w:spacing w:before="0" w:after="80"/>
      </w:pPr>
      <w:r>
        <w:rPr>
          <w:rFonts w:ascii="Arial" w:cs="Arial" w:eastAsia="Arial" w:hAnsi="Arial"/>
          <w:b w:val="false"/>
          <w:bCs w:val="false"/>
          <w:color w:val="000000"/>
          <w:sz w:val="20"/>
          <w:szCs w:val="20"/>
        </w:rPr>
        <w:t xml:space="preserve">Comparaison avec Kp : les tempêtes Kp (Kp≥5, n=13) donnaient un score paradoxalement élevé (+3,0 pour les G4). Les éruptions M/X sont au contraire corrélées négativement avec le score. Cette divergence est cohérente avec l'hypothèse de direction : une éruption M/X n'atteint pas nécessairement la Terre (pas de Kp élevé) — ce qui explique que Kp ne mesure que les CME géo-effectifs, alors que F10.7 et flares mesurent toute l'activité solaire.</w:t>
      </w:r>
    </w:p>
    <w:p>
      <w:pPr>
        <w:spacing w:after="50"/>
      </w:pPr>
      <w:r>
        <w:t xml:space="preserve"/>
      </w:r>
    </w:p>
    <w:p>
      <w:pPr>
        <w:pStyle w:val="Heading2"/>
        <w:spacing w:before="240" w:after="80"/>
      </w:pPr>
      <w:r>
        <w:rPr>
          <w:rFonts w:ascii="Arial" w:cs="Arial" w:eastAsia="Arial" w:hAnsi="Arial"/>
          <w:b/>
          <w:bCs/>
          <w:color w:val="C05000"/>
          <w:sz w:val="26"/>
          <w:szCs w:val="26"/>
        </w:rPr>
        <w:t xml:space="preserve">3.2 Les 6 jours avec éruption X — Analyse individuelle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1600"/>
        <w:gridCol w:w="1000"/>
        <w:gridCol w:w="900"/>
        <w:gridCol w:w="800"/>
        <w:gridCol w:w="8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Glyphe+Chiffre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Thème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F10.7</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SSN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13/05/2025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Cimi Wak</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Ombre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117</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54</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14/05/2025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Manik Uuc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Héros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17/06/2025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Imix Ca</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Anima</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139</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97</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19/06/2025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Akbal Can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Grande Mère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02/02/2026</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Chuen Buluc</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Persona</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174</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131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03/02/2026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Eb Lahca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Ombre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178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171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r>
    </w:tbl>
    <w:p>
      <w:pPr>
        <w:spacing w:after="50"/>
      </w:pPr>
      <w:r>
        <w:t xml:space="preserve"/>
      </w:r>
    </w:p>
    <w:p>
      <w:pPr>
        <w:spacing w:before="0" w:after="80"/>
      </w:pPr>
      <w:r>
        <w:rPr>
          <w:rFonts w:ascii="Arial" w:cs="Arial" w:eastAsia="Arial" w:hAnsi="Arial"/>
          <w:b w:val="false"/>
          <w:bCs w:val="false"/>
          <w:color w:val="000000"/>
          <w:sz w:val="20"/>
          <w:szCs w:val="20"/>
        </w:rPr>
        <w:t xml:space="preserve">Distribution thématique des jours avec éruption X : Ombre (2), Héros (1), Anima (1), Grande Mère (1), Persona (1). Aucun Soi — contrairement aux tempêtes Kp≥5 où Soi dominait (38%). Les éruptions X activent préférentiellement des thèmes de confrontation (Ombre, Héros) ou de connexion relationnelle (Anima, Grande Mère) — pas l'individuation tranquille.</w:t>
      </w:r>
    </w:p>
    <w:p>
      <w:pPr>
        <w:spacing w:before="0" w:after="80"/>
      </w:pPr>
      <w:r>
        <w:rPr>
          <w:rFonts w:ascii="Arial" w:cs="Arial" w:eastAsia="Arial" w:hAnsi="Arial"/>
          <w:b w:val="false"/>
          <w:bCs w:val="false"/>
          <w:color w:val="000000"/>
          <w:sz w:val="20"/>
          <w:szCs w:val="20"/>
        </w:rPr>
        <w:t xml:space="preserve">Cas remarquable : 19/06/2025 (Akbal Can) — F10.7=136, éruption X1, score +5 (maximum absolu), thème Grande Mère. Cette entrée montre qu'une éruption X peut coexister avec un état exceptionnel. 14/05/2025 (Manik Uuc) — éruption X1, score −1, thème Héros — le seul score négatif parmi les jours X.</w:t>
      </w:r>
    </w:p>
    <w:p>
      <w:pPr>
        <w:pBdr>
          <w:bottom w:val="single" w:color="B0B0B0" w:sz="4" w:space="1"/>
        </w:pBdr>
        <w:spacing w:before="100" w:after="100"/>
      </w:pPr>
      <w:r>
        <w:t xml:space="preserve"/>
      </w:r>
    </w:p>
    <w:p>
      <w:r>
        <w:br w:type="page"/>
      </w:r>
    </w:p>
    <w:p>
      <w:pPr>
        <w:pStyle w:val="Heading1"/>
        <w:spacing w:before="360" w:after="120"/>
      </w:pPr>
      <w:r>
        <w:rPr>
          <w:rFonts w:ascii="Arial" w:cs="Arial" w:eastAsia="Arial" w:hAnsi="Arial"/>
          <w:b/>
          <w:bCs/>
          <w:color w:val="1B3A5C"/>
          <w:sz w:val="32"/>
          <w:szCs w:val="32"/>
        </w:rPr>
        <w:t xml:space="preserve">IV. Distance Terre–Soleil et Activité Solaire</w:t>
      </w:r>
    </w:p>
    <w:p>
      <w:pPr>
        <w:spacing w:before="0" w:after="80"/>
      </w:pPr>
      <w:r>
        <w:rPr>
          <w:rFonts w:ascii="Arial" w:cs="Arial" w:eastAsia="Arial" w:hAnsi="Arial"/>
          <w:b w:val="false"/>
          <w:bCs w:val="false"/>
          <w:color w:val="000000"/>
          <w:sz w:val="20"/>
          <w:szCs w:val="20"/>
        </w:rPr>
        <w:t xml:space="preserve">La distance Terre–Soleil (UA) et l'indice F10.7 sont anti-corrélés dans ce corpus (r=-0.333, p&lt;0,001 ***). Cela reflète la saisonnalité astronomique : l'aphélie (Terre la plus éloignée, ~152 M km) est en juillet, le périhélie (~147 M km) en janvier. En janvier, nous sommes plus proches du Soleil ET le F10.7 est systématiquement plus élevé dans les données observées.</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Pearson 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Distance Soleil ↔ F10.7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-0.333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&lt;0.001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Plus proche → F10.7 plus élevé (conf. astronomique)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Distance Soleil ↔ SSN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0.0796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Pas de relation avec les taches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Distance Soleil ↔ Score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-0.1573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Tendance : plus proche → plus positif</w:t>
            </w:r>
          </w:p>
        </w:tc>
      </w:tr>
    </w:tbl>
    <w:p>
      <w:pPr>
        <w:spacing w:after="50"/>
      </w:pPr>
      <w:r>
        <w:t xml:space="preserve"/>
      </w:r>
    </w:p>
    <w:p>
      <w:pPr>
        <w:spacing w:before="0" w:after="80"/>
      </w:pPr>
      <w:r>
        <w:rPr>
          <w:rFonts w:ascii="Arial" w:cs="Arial" w:eastAsia="Arial" w:hAnsi="Arial"/>
          <w:b w:val="false"/>
          <w:bCs w:val="false"/>
          <w:color w:val="000000"/>
          <w:sz w:val="20"/>
          <w:szCs w:val="20"/>
        </w:rPr>
        <w:t xml:space="preserve">Interprétation : la corrélation Distance↔F10.7 (r=−0,333***) suggère que les effets du F10.7 sur le score ne sont pas indépendants de la saisonnalité. En janvier (périhélie, F10.7 élevé), le corpus présente aussi des scores plus élevés — mais est-ce dû au F10.7 ou à la saison? La saisonnalité hivernale (retraite, introspection) confond partiellement l'effet solaire.</w:t>
      </w:r>
    </w:p>
    <w:p>
      <w:pPr>
        <w:spacing w:before="0" w:after="80"/>
      </w:pPr>
      <w:r>
        <w:rPr>
          <w:rFonts w:ascii="Arial" w:cs="Arial" w:eastAsia="Arial" w:hAnsi="Arial"/>
          <w:b w:val="false"/>
          <w:bCs w:val="false"/>
          <w:color w:val="000000"/>
          <w:sz w:val="20"/>
          <w:szCs w:val="20"/>
        </w:rPr>
        <w:t xml:space="preserve">La corrélation Distance↔Score (r=−0,157) confirme que la proximité du Soleil est légèrement favorable — ce qui correspond à la fois à la saisonnalité positive (hiver → scores élevés dans ce corpus) et à l'effet direct de l'irradiation (plus de lumière solaire → plus d'énergie vitale). Ce résultat est cohérent avec les études de photothérapie en psychiatrie.</w:t>
      </w:r>
    </w:p>
    <w:p>
      <w:pPr>
        <w:spacing w:before="0" w:after="80"/>
      </w:pPr>
      <w:r>
        <w:rPr>
          <w:rFonts w:ascii="Arial" w:cs="Arial" w:eastAsia="Arial" w:hAnsi="Arial"/>
          <w:b w:val="false"/>
          <w:bCs w:val="false"/>
          <w:color w:val="000000"/>
          <w:sz w:val="20"/>
          <w:szCs w:val="20"/>
        </w:rPr>
        <w:t xml:space="preserve">Distinction cruciale : la distance UA mesure l'intensité reçue (loi du carré inverse : ~3,5% de variation entre périhélie et aphélie), tandis que F10.7 mesure l'activité intrinsèque du Soleil. Les deux ne sont pas substituables dans l'analyse.</w:t>
      </w:r>
    </w:p>
    <w:p>
      <w:pPr>
        <w:pBdr>
          <w:bottom w:val="single" w:color="B0B0B0" w:sz="4" w:space="1"/>
        </w:pBdr>
        <w:spacing w:before="100" w:after="100"/>
      </w:pPr>
      <w:r>
        <w:t xml:space="preserve"/>
      </w:r>
    </w:p>
    <w:p>
      <w:r>
        <w:br w:type="page"/>
      </w:r>
    </w:p>
    <w:p>
      <w:pPr>
        <w:pStyle w:val="Heading1"/>
        <w:spacing w:before="360" w:after="120"/>
      </w:pPr>
      <w:r>
        <w:rPr>
          <w:rFonts w:ascii="Arial" w:cs="Arial" w:eastAsia="Arial" w:hAnsi="Arial"/>
          <w:b/>
          <w:bCs/>
          <w:color w:val="1B3A5C"/>
          <w:sz w:val="32"/>
          <w:szCs w:val="32"/>
        </w:rPr>
        <w:t xml:space="preserve">V. Synthèse comparative : Kp vs. Activité Solaire Directe</w:t>
      </w:r>
    </w:p>
    <w:p>
      <w:pPr>
        <w:spacing w:before="0" w:after="80"/>
      </w:pPr>
      <w:r>
        <w:rPr>
          <w:rFonts w:ascii="Arial" w:cs="Arial" w:eastAsia="Arial" w:hAnsi="Arial"/>
          <w:b w:val="false"/>
          <w:bCs w:val="false"/>
          <w:color w:val="000000"/>
          <w:sz w:val="20"/>
          <w:szCs w:val="20"/>
        </w:rPr>
        <w:t xml:space="preserve">Tableau récapitulatif comparant les deux approches de mesure de l'activité solaire/géomagnétique :</w:t>
      </w:r>
    </w:p>
    <w:p>
      <w:pPr>
        <w:spacing w:after="5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1800"/>
        <w:gridCol w:w="8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 Pearson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Amplitude catégorielle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Nature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Kp géomagnétique (linéaire)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−0.027 (ns)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Linéaire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Kp catégoriel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Δ = +3 pts (Calme vs Tempête G2)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Non-linéaire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Fort catégoriel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F10.7 (linéaire)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+0.043 (ns)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Linéaire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F10.7 catégoriel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Δ = +1.5 pts (120-150 vs &lt;120)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Non-linéaire (U-inversé)</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Modéré catégoriel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SSN (linéaire)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−0.046 (ns)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Linéaire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Quasi-nul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SSN catégoriel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Δ = 1.3 pts (SSN&lt;50 vs &gt;150)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Tendance descendante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Faible catégoriel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18"/>
                <w:szCs w:val="18"/>
              </w:rPr>
              <w:t xml:space="preserve">Éruptions M+X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−0.103 (ns)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−0.83 pts (oui vs non)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Événementiel</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8"/>
                <w:szCs w:val="18"/>
              </w:rPr>
              <w:t xml:space="preserve">Plus significatif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Distance Soleil UA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−0.157 (ns)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Linéaire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Tendance cohérente</w:t>
            </w:r>
          </w:p>
        </w:tc>
      </w:tr>
    </w:tbl>
    <w:p>
      <w:pPr>
        <w:spacing w:after="50"/>
      </w:pPr>
      <w:r>
        <w:t xml:space="preserve"/>
      </w:r>
    </w:p>
    <w:p>
      <w:pPr>
        <w:spacing w:before="0" w:after="80"/>
      </w:pPr>
      <w:r>
        <w:rPr>
          <w:rFonts w:ascii="Arial" w:cs="Arial" w:eastAsia="Arial" w:hAnsi="Arial"/>
          <w:b w:val="false"/>
          <w:bCs w:val="false"/>
          <w:color w:val="000000"/>
          <w:sz w:val="20"/>
          <w:szCs w:val="20"/>
        </w:rPr>
        <w:t xml:space="preserve">Conclusions principales :</w:t>
      </w:r>
    </w:p>
    <w:p>
      <w:pPr>
        <w:spacing w:before="0" w:after="80"/>
      </w:pPr>
      <w:r>
        <w:rPr>
          <w:rFonts w:ascii="Arial" w:cs="Arial" w:eastAsia="Arial" w:hAnsi="Arial"/>
          <w:b w:val="false"/>
          <w:bCs w:val="false"/>
          <w:color w:val="000000"/>
          <w:sz w:val="20"/>
          <w:szCs w:val="20"/>
        </w:rPr>
        <w:t xml:space="preserve">1. Aucune variable solaire ou géomagnétique n'est statistiquement significative au niveau linéaire (n=80 insuffisant pour la puissance statistique requise). Toutes les relations sont catégorielles et non-linéaires.</w:t>
      </w:r>
    </w:p>
    <w:p>
      <w:pPr>
        <w:spacing w:before="0" w:after="80"/>
      </w:pPr>
      <w:r>
        <w:rPr>
          <w:rFonts w:ascii="Arial" w:cs="Arial" w:eastAsia="Arial" w:hAnsi="Arial"/>
          <w:b w:val="false"/>
          <w:bCs w:val="false"/>
          <w:color w:val="000000"/>
          <w:sz w:val="20"/>
          <w:szCs w:val="20"/>
        </w:rPr>
        <w:t xml:space="preserve">2. La présence d'éruptions M/X est le meilleur prédicteur individuel parmi les variables solaires directes — les jours avec éruptions présentent −0,83 points de score en moyenne.</w:t>
      </w:r>
    </w:p>
    <w:p>
      <w:pPr>
        <w:spacing w:before="0" w:after="80"/>
      </w:pPr>
      <w:r>
        <w:rPr>
          <w:rFonts w:ascii="Arial" w:cs="Arial" w:eastAsia="Arial" w:hAnsi="Arial"/>
          <w:b w:val="false"/>
          <w:bCs w:val="false"/>
          <w:color w:val="000000"/>
          <w:sz w:val="20"/>
          <w:szCs w:val="20"/>
        </w:rPr>
        <w:t xml:space="preserve">3. Le F10.7 modéré (120–150 sfu) est optimal — la même courbe en U-inversé que Kp. Hypothèse : une fenêtre d'activation "résonante" existe pour les systèmes biologiques (ni trop peu, ni trop d'irradiation / activité magnétique).</w:t>
      </w:r>
    </w:p>
    <w:p>
      <w:pPr>
        <w:spacing w:before="0" w:after="80"/>
      </w:pPr>
      <w:r>
        <w:rPr>
          <w:rFonts w:ascii="Arial" w:cs="Arial" w:eastAsia="Arial" w:hAnsi="Arial"/>
          <w:b w:val="false"/>
          <w:bCs w:val="false"/>
          <w:color w:val="000000"/>
          <w:sz w:val="20"/>
          <w:szCs w:val="20"/>
        </w:rPr>
        <w:t xml:space="preserve">4. Kp vs. solaire : la dissociation Kp/flares (tempêtes Kp → Soi élevé, mais flares M/X → score bas) confirme que l'orientation des éjections de masse coronale (CME) vers la Terre est un facteur clé. Les CME géo-effectifs (Kp élevé) semblent différents dans leurs effets des éruptions non-directionnelles (flares M/X non géo-effectifs).</w:t>
      </w:r>
    </w:p>
    <w:p>
      <w:pPr>
        <w:spacing w:before="0" w:after="80"/>
      </w:pPr>
      <w:r>
        <w:rPr>
          <w:rFonts w:ascii="Arial" w:cs="Arial" w:eastAsia="Arial" w:hAnsi="Arial"/>
          <w:b w:val="false"/>
          <w:bCs w:val="false"/>
          <w:color w:val="000000"/>
          <w:sz w:val="20"/>
          <w:szCs w:val="20"/>
        </w:rPr>
        <w:t xml:space="preserve">5. L'ironie géomagnétique : un fort Kp signifie qu'une CME a directement touché la Terre — et dans ce corpus, cela coïncide avec des états Soi élevés (individuation). Mais des flares M/X qui ne frappent pas la Terre coïncident avec des états bas. Cela suggère que ce qui crée un état Soi élevé n'est pas l'activité solaire en général mais la résonance directe entre l'éruption solaire et le champ magnétique terrestre.</w:t>
      </w:r>
    </w:p>
    <w:p>
      <w:pPr>
        <w:spacing w:after="50"/>
      </w:pPr>
      <w:r>
        <w:t xml:space="preserve"/>
      </w:r>
    </w:p>
    <w:p>
      <w:pPr>
        <w:pStyle w:val="Heading2"/>
        <w:spacing w:before="240" w:after="80"/>
      </w:pPr>
      <w:r>
        <w:rPr>
          <w:rFonts w:ascii="Arial" w:cs="Arial" w:eastAsia="Arial" w:hAnsi="Arial"/>
          <w:b/>
          <w:bCs/>
          <w:color w:val="C05000"/>
          <w:sz w:val="26"/>
          <w:szCs w:val="26"/>
        </w:rPr>
        <w:t xml:space="preserve">5.1 Modèle intégratif proposé</w:t>
      </w:r>
    </w:p>
    <w:p>
      <w:pPr>
        <w:spacing w:before="0" w:after="80"/>
      </w:pPr>
      <w:r>
        <w:rPr>
          <w:rFonts w:ascii="Arial" w:cs="Arial" w:eastAsia="Arial" w:hAnsi="Arial"/>
          <w:b w:val="false"/>
          <w:bCs w:val="false"/>
          <w:color w:val="000000"/>
          <w:sz w:val="20"/>
          <w:szCs w:val="20"/>
        </w:rPr>
        <w:t xml:space="preserve">Sur la base de l'ensemble des analyses (Kp, F10.7, SSN, éruptions, distance, Lune, Maya, Jungien), le modèle suivant émerge pour les jours de score élevé :</w:t>
      </w:r>
    </w:p>
    <w:p>
      <w:pPr>
        <w:spacing w:before="0" w:after="80"/>
      </w:pPr>
      <w:r>
        <w:rPr>
          <w:rFonts w:ascii="Arial" w:cs="Arial" w:eastAsia="Arial" w:hAnsi="Arial"/>
          <w:b w:val="false"/>
          <w:bCs w:val="false"/>
          <w:color w:val="000000"/>
          <w:sz w:val="20"/>
          <w:szCs w:val="20"/>
        </w:rPr>
        <w:t xml:space="preserve">• Lune en phase croissante, en signe d'Air (Gémeaux/Verseau/Balance)</w:t>
      </w:r>
    </w:p>
    <w:p>
      <w:pPr>
        <w:spacing w:before="0" w:after="80"/>
      </w:pPr>
      <w:r>
        <w:rPr>
          <w:rFonts w:ascii="Arial" w:cs="Arial" w:eastAsia="Arial" w:hAnsi="Arial"/>
          <w:b w:val="false"/>
          <w:bCs w:val="false"/>
          <w:color w:val="000000"/>
          <w:sz w:val="20"/>
          <w:szCs w:val="20"/>
        </w:rPr>
        <w:t xml:space="preserve">• Activité géomagnétique modérée à élevée (Kp 3–4 = "Actif") — pas de tempête, pas de calme</w:t>
      </w:r>
    </w:p>
    <w:p>
      <w:pPr>
        <w:spacing w:before="0" w:after="80"/>
      </w:pPr>
      <w:r>
        <w:rPr>
          <w:rFonts w:ascii="Arial" w:cs="Arial" w:eastAsia="Arial" w:hAnsi="Arial"/>
          <w:b w:val="false"/>
          <w:bCs w:val="false"/>
          <w:color w:val="000000"/>
          <w:sz w:val="20"/>
          <w:szCs w:val="20"/>
        </w:rPr>
        <w:t xml:space="preserve">• F10.7 dans la fenêtre modérée (120–150 sfu) — pas d'éruptions M/X</w:t>
      </w:r>
    </w:p>
    <w:p>
      <w:pPr>
        <w:spacing w:before="0" w:after="80"/>
      </w:pPr>
      <w:r>
        <w:rPr>
          <w:rFonts w:ascii="Arial" w:cs="Arial" w:eastAsia="Arial" w:hAnsi="Arial"/>
          <w:b w:val="false"/>
          <w:bCs w:val="false"/>
          <w:color w:val="000000"/>
          <w:sz w:val="20"/>
          <w:szCs w:val="20"/>
        </w:rPr>
        <w:t xml:space="preserve">• Distance Soleil inférieure à la moyenne (périhélie, hiver)</w:t>
      </w:r>
    </w:p>
    <w:p>
      <w:pPr>
        <w:spacing w:before="0" w:after="80"/>
      </w:pPr>
      <w:r>
        <w:rPr>
          <w:rFonts w:ascii="Arial" w:cs="Arial" w:eastAsia="Arial" w:hAnsi="Arial"/>
          <w:b w:val="false"/>
          <w:bCs w:val="false"/>
          <w:color w:val="000000"/>
          <w:sz w:val="20"/>
          <w:szCs w:val="20"/>
        </w:rPr>
        <w:t xml:space="preserve">• Glyphe Maya favorable (Muluc, Cib, Lamat, Ix) + ton Hun ou Bolon</w:t>
      </w:r>
    </w:p>
    <w:p>
      <w:pPr>
        <w:spacing w:before="0" w:after="80"/>
      </w:pPr>
      <w:r>
        <w:rPr>
          <w:rFonts w:ascii="Arial" w:cs="Arial" w:eastAsia="Arial" w:hAnsi="Arial"/>
          <w:b w:val="false"/>
          <w:bCs w:val="false"/>
          <w:color w:val="000000"/>
          <w:sz w:val="20"/>
          <w:szCs w:val="20"/>
        </w:rPr>
        <w:t xml:space="preserve">• Thème jungien Soi ou Puer — individuation ou légèreté</w:t>
      </w:r>
    </w:p>
    <w:p>
      <w:pPr>
        <w:spacing w:before="0" w:after="80"/>
      </w:pPr>
      <w:r>
        <w:rPr>
          <w:rFonts w:ascii="Arial" w:cs="Arial" w:eastAsia="Arial" w:hAnsi="Arial"/>
          <w:b w:val="false"/>
          <w:bCs w:val="false"/>
          <w:color w:val="000000"/>
          <w:sz w:val="20"/>
          <w:szCs w:val="20"/>
        </w:rPr>
        <w:t xml:space="preserve">Cette convergence de facteurs cosmiques + psychologiques + calendaires définit le "champ de conscience optimal" pour Galaad dans ce corpus.</w:t>
      </w:r>
    </w:p>
    <w:p>
      <w:pPr>
        <w:spacing w:after="50"/>
      </w:pPr>
      <w:r>
        <w:t xml:space="preserve"/>
      </w:r>
    </w:p>
    <w:p>
      <w:pPr>
        <w:pStyle w:val="Heading2"/>
        <w:spacing w:before="240" w:after="80"/>
      </w:pPr>
      <w:r>
        <w:rPr>
          <w:rFonts w:ascii="Arial" w:cs="Arial" w:eastAsia="Arial" w:hAnsi="Arial"/>
          <w:b/>
          <w:bCs/>
          <w:color w:val="C05000"/>
          <w:sz w:val="26"/>
          <w:szCs w:val="26"/>
        </w:rPr>
        <w:t xml:space="preserve">5.2 Recommandations pour l'analyse future</w:t>
      </w:r>
    </w:p>
    <w:p>
      <w:pPr>
        <w:spacing w:before="0" w:after="80"/>
      </w:pPr>
      <w:r>
        <w:rPr>
          <w:rFonts w:ascii="Arial" w:cs="Arial" w:eastAsia="Arial" w:hAnsi="Arial"/>
          <w:b w:val="false"/>
          <w:bCs w:val="false"/>
          <w:color w:val="000000"/>
          <w:sz w:val="20"/>
          <w:szCs w:val="20"/>
        </w:rPr>
        <w:t xml:space="preserve">• Augmenter n à 260+ entrées (un Tzolkin complet) pour atteindre la significativité statistique</w:t>
      </w:r>
    </w:p>
    <w:p>
      <w:pPr>
        <w:spacing w:before="0" w:after="80"/>
      </w:pPr>
      <w:r>
        <w:rPr>
          <w:rFonts w:ascii="Arial" w:cs="Arial" w:eastAsia="Arial" w:hAnsi="Arial"/>
          <w:b w:val="false"/>
          <w:bCs w:val="false"/>
          <w:color w:val="000000"/>
          <w:sz w:val="20"/>
          <w:szCs w:val="20"/>
        </w:rPr>
        <w:t xml:space="preserve">• Inclure le décalage temporel (lag 1–3 jours) : les effets biologiques des éruptions peuvent survenir 1–3 jours après l'événement via les particules solaires</w:t>
      </w:r>
    </w:p>
    <w:p>
      <w:pPr>
        <w:spacing w:before="0" w:after="80"/>
      </w:pPr>
      <w:r>
        <w:rPr>
          <w:rFonts w:ascii="Arial" w:cs="Arial" w:eastAsia="Arial" w:hAnsi="Arial"/>
          <w:b w:val="false"/>
          <w:bCs w:val="false"/>
          <w:color w:val="000000"/>
          <w:sz w:val="20"/>
          <w:szCs w:val="20"/>
        </w:rPr>
        <w:t xml:space="preserve">• Distinguer les éruptions géo-effectivement (avec Kp associé) des non-géo-effectifs</w:t>
      </w:r>
    </w:p>
    <w:p>
      <w:pPr>
        <w:spacing w:before="0" w:after="80"/>
      </w:pPr>
      <w:r>
        <w:rPr>
          <w:rFonts w:ascii="Arial" w:cs="Arial" w:eastAsia="Arial" w:hAnsi="Arial"/>
          <w:b w:val="false"/>
          <w:bCs w:val="false"/>
          <w:color w:val="000000"/>
          <w:sz w:val="20"/>
          <w:szCs w:val="20"/>
        </w:rPr>
        <w:t xml:space="preserve">• Ajouter l'indice EUV (extrême ultraviolet) qui est le plus directement lié aux effets biologiques de l'irradiation solaire sur la biosphère</w:t>
      </w:r>
    </w:p>
    <w:p>
      <w:pPr>
        <w:spacing w:before="0" w:after="80"/>
      </w:pPr>
      <w:r>
        <w:rPr>
          <w:rFonts w:ascii="Arial" w:cs="Arial" w:eastAsia="Arial" w:hAnsi="Arial"/>
          <w:b w:val="false"/>
          <w:bCs w:val="false"/>
          <w:color w:val="000000"/>
          <w:sz w:val="20"/>
          <w:szCs w:val="20"/>
        </w:rPr>
        <w:t xml:space="preserve">• Tester la fenêtre 7 jours : moyenne glissante de F10.7/SSN sur la semaine précédant l'entrée pour capturer l'accumulation d'exposition</w:t>
      </w:r>
    </w:p>
    <w:p>
      <w:pPr>
        <w:pBdr>
          <w:bottom w:val="single" w:color="B0B0B0" w:sz="4" w:space="1"/>
        </w:pBdr>
        <w:spacing w:before="100" w:after="100"/>
      </w:pPr>
      <w:r>
        <w:t xml:space="preserve"/>
      </w:r>
    </w:p>
    <w:p>
      <w:pPr>
        <w:spacing w:after="50"/>
      </w:pPr>
      <w:r>
        <w:t xml:space="preserve"/>
      </w:r>
    </w:p>
    <w:p>
      <w:pPr>
        <w:spacing w:after="50"/>
      </w:pPr>
      <w:r>
        <w:t xml:space="preserve"/>
      </w:r>
    </w:p>
    <w:p>
      <w:pPr>
        <w:spacing w:before="120"/>
        <w:jc w:val="center"/>
      </w:pPr>
      <w:r>
        <w:rPr>
          <w:rFonts w:ascii="Arial" w:cs="Arial" w:eastAsia="Arial" w:hAnsi="Arial"/>
          <w:color w:val="888888"/>
          <w:sz w:val="18"/>
          <w:szCs w:val="18"/>
        </w:rPr>
        <w:t xml:space="preserve">Sources : NOAA SWPC · NGDC Daily Solar Data · Penticton Radio Observatory (Canada) · JPL DE421</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5000" w:sz="4" w:space="1"/>
      </w:pBdr>
      <w:jc w:val="right"/>
    </w:pPr>
    <w:r>
      <w:rPr>
        <w:rFonts w:ascii="Arial" w:cs="Arial" w:eastAsia="Arial" w:hAnsi="Arial"/>
        <w:color w:val="C05000"/>
        <w:sz w:val="18"/>
        <w:szCs w:val="18"/>
      </w:rPr>
      <w:t xml:space="preserve">Activité Solaire &amp; États Émotionnels — Corpus Tzolkin Galaad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C05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2026-02-25T15:27:32.677Z</dcterms:created>
  <dcterms:modified xsi:type="dcterms:W3CDTF">2026-02-25T15:27:32.677Z</dcterms:modified>
</cp:coreProperties>
</file>

<file path=docProps/custom.xml><?xml version="1.0" encoding="utf-8"?>
<Properties xmlns="http://schemas.openxmlformats.org/officeDocument/2006/custom-properties" xmlns:vt="http://schemas.openxmlformats.org/officeDocument/2006/docPropsVTypes"/>
</file>