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80"/>
        <w:jc w:val="center"/>
      </w:pPr>
      <w:r>
        <w:rPr>
          <w:rFonts w:ascii="Times New Roman" w:cs="Times New Roman" w:eastAsia="Times New Roman" w:hAnsi="Times New Roman"/>
          <w:b/>
          <w:bCs/>
          <w:color w:val="1F3864"/>
          <w:sz w:val="32"/>
          <w:szCs w:val="32"/>
        </w:rPr>
        <w:t xml:space="preserve">Transformación Digital en el Sector Farmacéutico Colombiano:</w:t>
      </w:r>
    </w:p>
    <w:p>
      <w:pPr>
        <w:spacing w:after="360" w:before="0"/>
        <w:jc w:val="center"/>
      </w:pPr>
      <w:r>
        <w:rPr>
          <w:rFonts w:ascii="Times New Roman" w:cs="Times New Roman" w:eastAsia="Times New Roman" w:hAnsi="Times New Roman"/>
          <w:b/>
          <w:bCs/>
          <w:color w:val="1F3864"/>
          <w:sz w:val="32"/>
          <w:szCs w:val="32"/>
        </w:rPr>
        <w:t xml:space="preserve">Propuesta de un Software de Gestión Tipo CRM para Droguerías y Farmacias Independientes</w:t>
      </w:r>
    </w:p>
    <w:p>
      <w:pPr>
        <w:spacing w:after="480" w:before="0"/>
        <w:jc w:val="center"/>
      </w:pPr>
      <w:r>
        <w:rPr>
          <w:rFonts w:ascii="Times New Roman" w:cs="Times New Roman" w:eastAsia="Times New Roman" w:hAnsi="Times New Roman"/>
          <w:i/>
          <w:iCs/>
          <w:color w:val="555555"/>
          <w:sz w:val="24"/>
          <w:szCs w:val="24"/>
        </w:rPr>
        <w:t xml:space="preserve">Digital Transformation in the Colombian Pharmaceutical Sector: A CRM-Type Management Software Proposal for Independent Pharmacies and Drugstores</w:t>
      </w:r>
    </w:p>
    <w:p>
      <w:pPr>
        <w:pBdr>
          <w:bottom w:val="single" w:color="2E5090" w:sz="6" w:space="1"/>
        </w:pBdr>
        <w:spacing w:after="400" w:before="0"/>
      </w:pPr>
      <w:r>
        <w:t xml:space="preserve"/>
      </w:r>
    </w:p>
    <w:p>
      <w:pPr>
        <w:shd w:fill="E8EEF7" w:val="clear"/>
        <w:spacing w:after="240" w:before="240"/>
        <w:jc w:val="center"/>
      </w:pPr>
      <w:r>
        <w:rPr>
          <w:rFonts w:ascii="Times New Roman" w:cs="Times New Roman" w:eastAsia="Times New Roman" w:hAnsi="Times New Roman"/>
          <w:b/>
          <w:bCs/>
          <w:caps/>
          <w:color w:val="1F3864"/>
          <w:sz w:val="22"/>
          <w:szCs w:val="22"/>
        </w:rPr>
        <w:t xml:space="preserve">Resumen</w:t>
      </w:r>
    </w:p>
    <w:p>
      <w:pPr>
        <w:spacing w:after="120" w:before="120" w:line="360" w:lineRule="auto"/>
        <w:ind/>
        <w:jc w:val="both"/>
      </w:pPr>
      <w:r>
        <w:rPr>
          <w:rFonts w:ascii="Times New Roman" w:cs="Times New Roman" w:eastAsia="Times New Roman" w:hAnsi="Times New Roman"/>
          <w:sz w:val="24"/>
          <w:szCs w:val="24"/>
        </w:rPr>
        <w:t xml:space="preserve">El sistema de salud colombiano enfrenta una profunda transformación institucional y regulatoria que impone nuevas exigencias sobre todos sus actores, incluidas las más de 20.000 droguerías y farmacias independientes que operan en el país. En este contexto, la brecha digital entre establecimientos farmacéuticos independientes y las grandes cadenas constituye un factor crítico que amenaza la sostenibilidad del primer eslabón de acceso al medicamento en Colombia. El presente artículo propone el diseño conceptual de un software de gestión farmacéutica de tipo CRM (Customer Relationship Management) orientado específicamente a droguerías independientes y pequeñas cadenas, que integre módulos de gestión de inventarios, seguimiento farmacoterapéutico de pacientes, fidelización de clientes, e integración con los sistemas institucionales del sistema de salud colombiano (EPS, IPS, RIPS). La propuesta se sustenta en una revisión de la literatura sobre transformación digital en salud, el marco normativo vigente —incluyendo la Ley 2386 de 2024 y el Proyecto de Ley 312 de 2024— y el análisis del entorno competitivo del sector farmacéutico en Colombia. Se argumenta que la adopción de herramientas tecnológicas centradas en la relación con el paciente puede representar una ventaja competitiva sostenible para los establecimientos independientes, al tiempo que contribuye a la equidad en el acceso a medicamentos y a la seguridad del paciente.</w:t>
      </w:r>
    </w:p>
    <w:p>
      <w:pPr>
        <w:spacing w:after="60" w:before="60"/>
      </w:pPr>
      <w:r>
        <w:t xml:space="preserve"/>
      </w:r>
    </w:p>
    <w:p>
      <w:pPr>
        <w:spacing w:after="120" w:before="120" w:line="360" w:lineRule="auto"/>
        <w:jc w:val="both"/>
      </w:pPr>
      <w:r>
        <w:rPr>
          <w:rFonts w:ascii="Times New Roman" w:cs="Times New Roman" w:eastAsia="Times New Roman" w:hAnsi="Times New Roman"/>
          <w:b/>
          <w:bCs/>
          <w:sz w:val="24"/>
          <w:szCs w:val="24"/>
        </w:rPr>
        <w:t xml:space="preserve">Palabras clave: </w:t>
      </w:r>
      <w:r>
        <w:rPr>
          <w:rFonts w:ascii="Times New Roman" w:cs="Times New Roman" w:eastAsia="Times New Roman" w:hAnsi="Times New Roman"/>
          <w:sz w:val="24"/>
          <w:szCs w:val="24"/>
        </w:rPr>
        <w:t xml:space="preserve">transformación digital, CRM farmacéutico, droguerías independientes, seguimiento farmacoterapéutico, sistema de salud Colombia, innovación tecnológica en salud.</w:t>
      </w:r>
    </w:p>
    <w:p>
      <w:pPr>
        <w:spacing w:after="60" w:before="60"/>
      </w:pPr>
      <w:r>
        <w:t xml:space="preserve"/>
      </w:r>
    </w:p>
    <w:p>
      <w:pPr>
        <w:spacing w:after="120" w:before="120" w:line="360" w:lineRule="auto"/>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digital transformation, pharmaceutical CRM, independent pharmacies, pharmacotherapy monitoring, Colombian health system, health technology innovation.</w:t>
      </w:r>
    </w:p>
    <w:p>
      <w:pPr>
        <w:pBdr>
          <w:bottom w:val="single" w:color="CCCCCC" w:sz="3" w:space="1"/>
        </w:pBdr>
        <w:spacing w:after="400" w:before="400"/>
      </w:pPr>
      <w:r>
        <w:t xml:space="preserve"/>
      </w:r>
    </w:p>
    <w:p>
      <w:pPr>
        <w:shd w:fill="E8EEF7" w:val="clear"/>
        <w:spacing w:after="240" w:before="240"/>
        <w:jc w:val="center"/>
      </w:pPr>
      <w:r>
        <w:rPr>
          <w:rFonts w:ascii="Times New Roman" w:cs="Times New Roman" w:eastAsia="Times New Roman" w:hAnsi="Times New Roman"/>
          <w:b/>
          <w:bCs/>
          <w:caps/>
          <w:color w:val="1F3864"/>
          <w:sz w:val="22"/>
          <w:szCs w:val="22"/>
        </w:rPr>
        <w:t xml:space="preserve">Introducción</w:t>
      </w:r>
    </w:p>
    <w:p>
      <w:pPr>
        <w:pStyle w:val="Heading2"/>
        <w:spacing w:after="120" w:before="280"/>
      </w:pPr>
      <w:r>
        <w:rPr>
          <w:rFonts w:ascii="Times New Roman" w:cs="Times New Roman" w:eastAsia="Times New Roman" w:hAnsi="Times New Roman"/>
          <w:b/>
          <w:bCs/>
          <w:color w:val="2E5090"/>
          <w:sz w:val="24"/>
          <w:szCs w:val="24"/>
        </w:rPr>
        <w:t xml:space="preserve">1. Problematización: El Sistema Farmacéutico Colombiano ante la Transformación Digital</w:t>
      </w:r>
    </w:p>
    <w:p>
      <w:pPr>
        <w:spacing w:after="120" w:before="120" w:line="360" w:lineRule="auto"/>
        <w:ind w:firstLine="720"/>
        <w:jc w:val="both"/>
      </w:pPr>
      <w:r>
        <w:rPr>
          <w:rFonts w:ascii="Times New Roman" w:cs="Times New Roman" w:eastAsia="Times New Roman" w:hAnsi="Times New Roman"/>
          <w:sz w:val="24"/>
          <w:szCs w:val="24"/>
        </w:rPr>
        <w:t xml:space="preserve">Colombia ocupa el tercer lugar en el mercado farmacéutico latinoamericano y su sector de salud constituye uno de los pilares fundamentales de la economía nacional, aportando aproximadamente el 12% del PIB industrial y generando cerca de 57.000 empleos directos (Pulzo, 2026). Sin embargo, esta fortaleza estructural coexiste con profundas inequidades en el acceso a medicamentos y una marcada asimetría tecnológica entre los distintos actores del ecosistema farmacéutico.</w:t>
      </w:r>
    </w:p>
    <w:p>
      <w:pPr>
        <w:spacing w:after="120" w:before="120" w:line="360" w:lineRule="auto"/>
        <w:ind w:firstLine="720"/>
        <w:jc w:val="both"/>
      </w:pPr>
      <w:r>
        <w:rPr>
          <w:rFonts w:ascii="Times New Roman" w:cs="Times New Roman" w:eastAsia="Times New Roman" w:hAnsi="Times New Roman"/>
          <w:sz w:val="24"/>
          <w:szCs w:val="24"/>
        </w:rPr>
        <w:t xml:space="preserve">El mercado de droguerías y farmacias en Colombia está configurado por una dualidad acentuada: por un lado, grandes cadenas con alta capacidad de inversión tecnológica —como Cruz Verde, que en 2024 alcanzó ingresos por 5,5 billones de pesos y opera más de 1.000 puntos de venta en 77 municipios (America Retail &amp; Malls, 2025)— y por otro, más de 20.000 droguerías independientes de carácter familiar que proveen más del 30% de los medicamentos que los colombianos compran de su propio bolsillo (Asocoldro, citado en El País, 2024). Estas últimas operan con herramientas tecnológicas precarias o inexistentes, carecen de sistemas de información integrados y enfrentan el avance de las cadenas con escasas herramientas de diferenciación.</w:t>
      </w:r>
    </w:p>
    <w:p>
      <w:pPr>
        <w:spacing w:after="120" w:before="120" w:line="360" w:lineRule="auto"/>
        <w:ind w:firstLine="720"/>
        <w:jc w:val="both"/>
      </w:pPr>
      <w:r>
        <w:rPr>
          <w:rFonts w:ascii="Times New Roman" w:cs="Times New Roman" w:eastAsia="Times New Roman" w:hAnsi="Times New Roman"/>
          <w:sz w:val="24"/>
          <w:szCs w:val="24"/>
        </w:rPr>
        <w:t xml:space="preserve">La pregunta que orienta este trabajo es: ¿de qué manera un software de gestión tipo CRM, diseñado para el contexto específico del sector farmacéutico colombiano, puede contribuir a la transformación digital de las droguerías y farmacias independientes, fortalecer su competitividad y mejorar la calidad del servicio prestado a los pacientes?</w:t>
      </w:r>
    </w:p>
    <w:p>
      <w:pPr>
        <w:spacing w:after="120" w:before="120" w:line="360" w:lineRule="auto"/>
        <w:ind w:firstLine="720"/>
        <w:jc w:val="both"/>
      </w:pPr>
      <w:r>
        <w:rPr>
          <w:rFonts w:ascii="Times New Roman" w:cs="Times New Roman" w:eastAsia="Times New Roman" w:hAnsi="Times New Roman"/>
          <w:sz w:val="24"/>
          <w:szCs w:val="24"/>
        </w:rPr>
        <w:t xml:space="preserve">La importancia de esta pregunta se amplifica en el marco de las reformas en curso. La Reforma a la Salud (Proyecto de Ley 312 de 2024, en debate en el Senado a 2026) plantea una reconfiguración profunda del sistema, con implicaciones directas sobre la cadena de dispensación farmacéutica y el papel de los establecimientos minoristas en la prestación del servicio. Paralelamente, el gobierno colombiano avanza en la eliminación de los gestores farmacéuticos como intermediarios financieros, buscando una conexión más directa entre EPS, IPS y puntos de dispensación (ConsultorSalud, 2025). Este nuevo escenario exige que las droguerías independientes adquieran capacidades de gestión de información, trazabilidad y relacionamiento con pacientes que hoy no poseen.</w:t>
      </w:r>
    </w:p>
    <w:p>
      <w:pPr>
        <w:spacing w:after="120" w:before="120" w:line="360" w:lineRule="auto"/>
        <w:ind w:firstLine="720"/>
        <w:jc w:val="both"/>
      </w:pPr>
      <w:r>
        <w:rPr>
          <w:rFonts w:ascii="Times New Roman" w:cs="Times New Roman" w:eastAsia="Times New Roman" w:hAnsi="Times New Roman"/>
          <w:sz w:val="24"/>
          <w:szCs w:val="24"/>
        </w:rPr>
        <w:t xml:space="preserve">El problema, en consecuencia, es doble: tecnológico y estratégico. Las droguerías independientes no solo carecen de herramientas digitales adecuadas, sino que tampoco cuentan con marcos conceptuales que les permitan entender la transformación digital como una oportunidad para fortalecer su rol social y económico en el sistema de salud.</w:t>
      </w:r>
    </w:p>
    <w:p>
      <w:pPr>
        <w:pStyle w:val="Heading2"/>
        <w:spacing w:after="120" w:before="280"/>
      </w:pPr>
      <w:r>
        <w:rPr>
          <w:rFonts w:ascii="Times New Roman" w:cs="Times New Roman" w:eastAsia="Times New Roman" w:hAnsi="Times New Roman"/>
          <w:b/>
          <w:bCs/>
          <w:color w:val="2E5090"/>
          <w:sz w:val="24"/>
          <w:szCs w:val="24"/>
        </w:rPr>
        <w:t xml:space="preserve">2. Marco Teórico: Transformación Digital, CRM y Gestión Farmacéutica</w:t>
      </w:r>
    </w:p>
    <w:p>
      <w:pPr>
        <w:spacing w:after="120" w:before="120" w:line="360" w:lineRule="auto"/>
        <w:ind w:firstLine="720"/>
        <w:jc w:val="both"/>
      </w:pPr>
      <w:r>
        <w:rPr>
          <w:rFonts w:ascii="Times New Roman" w:cs="Times New Roman" w:eastAsia="Times New Roman" w:hAnsi="Times New Roman"/>
          <w:sz w:val="24"/>
          <w:szCs w:val="24"/>
        </w:rPr>
        <w:t xml:space="preserve">La transformación digital en el sector salud no constituye un fenómeno reciente, pero la pandemia de COVID-19 actuó como catalizador de una aceleración sin precedentes en la adopción de tecnologías digitales en todos los eslabones del sistema. Según Bismart (2024), la industria farmacéutica ha evolucionado hacia un modelo híbrido que combina prácticas presenciales con estrategias digitales, promoviendo la implementación de nuevas metodologías y formas de operar centradas en datos.</w:t>
      </w:r>
    </w:p>
    <w:p>
      <w:pPr>
        <w:spacing w:after="120" w:before="120" w:line="360" w:lineRule="auto"/>
        <w:ind w:firstLine="720"/>
        <w:jc w:val="both"/>
      </w:pPr>
      <w:r>
        <w:rPr>
          <w:rFonts w:ascii="Times New Roman" w:cs="Times New Roman" w:eastAsia="Times New Roman" w:hAnsi="Times New Roman"/>
          <w:sz w:val="24"/>
          <w:szCs w:val="24"/>
        </w:rPr>
        <w:t xml:space="preserve">Desde la perspectiva teórica de la gestión de relaciones con clientes (CRM, por sus siglas en inglés), estos sistemas son concebidos como plataformas integrales que permiten centralizar la información de clientes y contactos, automatizar procesos comerciales y mejorar la experiencia del usuario (HubSpot, 2024). Aplicados al sector salud, los CRM adquieren una dimensión adicional: la del seguimiento clínico y la seguridad del paciente. En este sentido, la literatura especializada distingue entre los CRM comerciales, orientados a la fuerza de ventas y al marketing, y los CRM clínicos o farmacéuticos, que integran funcionalidades de gestión de medicación, alertas de interacciones farmacológicas y seguimiento farmacoterapéutico (Innowise, 2024).</w:t>
      </w:r>
    </w:p>
    <w:p>
      <w:pPr>
        <w:spacing w:after="120" w:before="120" w:line="360" w:lineRule="auto"/>
        <w:ind w:firstLine="720"/>
        <w:jc w:val="both"/>
      </w:pPr>
      <w:r>
        <w:rPr>
          <w:rFonts w:ascii="Times New Roman" w:cs="Times New Roman" w:eastAsia="Times New Roman" w:hAnsi="Times New Roman"/>
          <w:sz w:val="24"/>
          <w:szCs w:val="24"/>
        </w:rPr>
        <w:t xml:space="preserve">El concepto de Customer Data Platform (CDP), destacado por Bismart como una de las tendencias dominantes para 2024-2025, resulta particularmente relevante en el contexto farmacéutico, pues implica la recopilación y análisis de datos de los clientes para ofrecer servicios personalizados. Llevado al ámbito de la droguería, este enfoque se traduce en la capacidad de identificar pacientes con enfermedades crónicas, hacer seguimiento a sus tratamientos, enviar recordatorios de medicación y generar alertas de vencimiento de recetas.</w:t>
      </w:r>
    </w:p>
    <w:p>
      <w:pPr>
        <w:spacing w:after="120" w:before="120" w:line="360" w:lineRule="auto"/>
        <w:ind w:firstLine="720"/>
        <w:jc w:val="both"/>
      </w:pPr>
      <w:r>
        <w:rPr>
          <w:rFonts w:ascii="Times New Roman" w:cs="Times New Roman" w:eastAsia="Times New Roman" w:hAnsi="Times New Roman"/>
          <w:sz w:val="24"/>
          <w:szCs w:val="24"/>
        </w:rPr>
        <w:t xml:space="preserve">En el plano teórico de la innovación en sistemas de salud, el marco del 'laboratorio del futuro' propuesto por EPAM Systems para el sector farmacéutico colombiano identifica cuatro ejes prioritarios de transformación digital: automatización de procesos, analítica avanzada, integración de sistemas y formación de talento humano (Pulzo, 2026). Estos ejes configuran el sustento conceptual del modelo de CRM que se propone en este artículo.</w:t>
      </w:r>
    </w:p>
    <w:p>
      <w:pPr>
        <w:spacing w:after="120" w:before="120" w:line="360" w:lineRule="auto"/>
        <w:ind w:firstLine="720"/>
        <w:jc w:val="both"/>
      </w:pPr>
      <w:r>
        <w:rPr>
          <w:rFonts w:ascii="Times New Roman" w:cs="Times New Roman" w:eastAsia="Times New Roman" w:hAnsi="Times New Roman"/>
          <w:sz w:val="24"/>
          <w:szCs w:val="24"/>
        </w:rPr>
        <w:t xml:space="preserve">La teoría de la gestión estratégica de recursos (Resource-Based View, RBV) de Barney (1991) aporta un marco adicional: la ventaja competitiva sostenible de una organización se fundamenta en recursos y capacidades que sean valiosos, raros, difíciles de imitar e insustituibles (VRIN). Para las droguerías independientes colombianas, el conocimiento profundo del paciente local —que las grandes cadenas no pueden replicar fácilmente— constituye precisamente un recurso estratégico que un CRM puede convertir en capacidad organizacional.</w:t>
      </w:r>
    </w:p>
    <w:p>
      <w:pPr>
        <w:spacing w:after="120" w:before="120" w:line="360" w:lineRule="auto"/>
        <w:ind w:firstLine="720"/>
        <w:jc w:val="both"/>
      </w:pPr>
      <w:r>
        <w:rPr>
          <w:rFonts w:ascii="Times New Roman" w:cs="Times New Roman" w:eastAsia="Times New Roman" w:hAnsi="Times New Roman"/>
          <w:sz w:val="24"/>
          <w:szCs w:val="24"/>
        </w:rPr>
        <w:t xml:space="preserve">Finalmente, la Ley 2386 de 2024 sobre política nacional de investigación, innovación y producción farmacéutica establece el marco normativo que valida la pertinencia de este tipo de desarrollos tecnológicos en el contexto colombiano, al reconocer explícitamente la necesidad de fortalecer capacidades digitales en todo el ecosistema del sector salud.</w:t>
      </w:r>
    </w:p>
    <w:p>
      <w:pPr>
        <w:pStyle w:val="Heading2"/>
        <w:spacing w:after="120" w:before="280"/>
      </w:pPr>
      <w:r>
        <w:rPr>
          <w:rFonts w:ascii="Times New Roman" w:cs="Times New Roman" w:eastAsia="Times New Roman" w:hAnsi="Times New Roman"/>
          <w:b/>
          <w:bCs/>
          <w:color w:val="2E5090"/>
          <w:sz w:val="24"/>
          <w:szCs w:val="24"/>
        </w:rPr>
        <w:t xml:space="preserve">3. Antecedentes: Estado del Arte en CRM Farmacéutico y Transformación Digital en Salud</w:t>
      </w:r>
    </w:p>
    <w:p>
      <w:pPr>
        <w:spacing w:after="120" w:before="120" w:line="360" w:lineRule="auto"/>
        <w:ind w:firstLine="720"/>
        <w:jc w:val="both"/>
      </w:pPr>
      <w:r>
        <w:rPr>
          <w:rFonts w:ascii="Times New Roman" w:cs="Times New Roman" w:eastAsia="Times New Roman" w:hAnsi="Times New Roman"/>
          <w:sz w:val="24"/>
          <w:szCs w:val="24"/>
        </w:rPr>
        <w:t xml:space="preserve">A nivel internacional, la implementación de CRM en el sector farmacéutico tiene antecedentes sólidos. Plataformas como Salesforce Life Sciences Cloud, Vtiger CRM y Creatio han demostrado que la integración de funcionalidades comerciales y clínicas en un solo sistema puede mejorar significativamente la productividad de los equipos de ventas farmacéuticas, la retención de pacientes y el cumplimiento normativo (Salesforce, 2024; Vtiger, 2024; Creatio, 2024). Estas soluciones, sin embargo, están diseñadas principalmente para laboratorios farmacéuticos y grandes distribuidores, con costos y complejidades de implementación que las hacen inaccesibles para las droguerías independientes latinoamericanas.</w:t>
      </w:r>
    </w:p>
    <w:p>
      <w:pPr>
        <w:spacing w:after="120" w:before="120" w:line="360" w:lineRule="auto"/>
        <w:ind w:firstLine="720"/>
        <w:jc w:val="both"/>
      </w:pPr>
      <w:r>
        <w:rPr>
          <w:rFonts w:ascii="Times New Roman" w:cs="Times New Roman" w:eastAsia="Times New Roman" w:hAnsi="Times New Roman"/>
          <w:sz w:val="24"/>
          <w:szCs w:val="24"/>
        </w:rPr>
        <w:t xml:space="preserve">En el contexto colombiano, los estudios sobre digitalización farmacéutica son escasos y se concentran en los grandes actores del mercado. El caso de Cruz Verde (Femsa Salud) representa el ejemplo más documentado de transformación digital en el retail farmacéutico colombiano: la empresa ha desarrollado un ecosistema que integra droguerías de retail, farmacias intrahospitalarias, distribución mayorista y dispensación institucional, soportado en una estrategia omnicanal que incluye plataformas de venta en línea y programas de fidelización digital (America Retail &amp; Malls, 2025). De manera similar, Copservir (Drogas La Rebaja) ha invertido en plataformas de ventas online para competir en el mercado digital.</w:t>
      </w:r>
    </w:p>
    <w:p>
      <w:pPr>
        <w:spacing w:after="120" w:before="120" w:line="360" w:lineRule="auto"/>
        <w:ind w:firstLine="720"/>
        <w:jc w:val="both"/>
      </w:pPr>
      <w:r>
        <w:rPr>
          <w:rFonts w:ascii="Times New Roman" w:cs="Times New Roman" w:eastAsia="Times New Roman" w:hAnsi="Times New Roman"/>
          <w:sz w:val="24"/>
          <w:szCs w:val="24"/>
        </w:rPr>
        <w:t xml:space="preserve">Frente a este panorama, las droguerías independientes —que según Asocoldro representan más del 70% de los establecimientos farmacéuticos del país— carecen de estudios específicos sobre sus necesidades tecnológicas y sus posibilidades de adopción digital. La literatura existente sobre farmacias comunitarias en América Latina señala que las principales barreras para la digitalización son el costo de implementación, la falta de capacitación del personal y la ausencia de soluciones diseñadas para sus realidades operativas (Comparasoftware, 2024).</w:t>
      </w:r>
    </w:p>
    <w:p>
      <w:pPr>
        <w:spacing w:after="120" w:before="120" w:line="360" w:lineRule="auto"/>
        <w:ind w:firstLine="720"/>
        <w:jc w:val="both"/>
      </w:pPr>
      <w:r>
        <w:rPr>
          <w:rFonts w:ascii="Times New Roman" w:cs="Times New Roman" w:eastAsia="Times New Roman" w:hAnsi="Times New Roman"/>
          <w:sz w:val="24"/>
          <w:szCs w:val="24"/>
        </w:rPr>
        <w:t xml:space="preserve">El presente trabajo se diferencia de los antecedentes existentes en tres dimensiones. Primera, focaliza la propuesta en el contexto específico de las droguerías independientes colombianas, integrando las particularidades del sistema de salud nacional. Segunda, propone una arquitectura de software que va más allá de la gestión comercial, incorporando el seguimiento farmacoterapéutico como eje central. Tercera, contextualiza la propuesta en el marco de la transformación normativa en curso, posicionando el CRM como herramienta de adaptación estratégica ante los cambios del sistema.</w:t>
      </w:r>
    </w:p>
    <w:p>
      <w:pPr>
        <w:pStyle w:val="Heading2"/>
        <w:spacing w:after="120" w:before="280"/>
      </w:pPr>
      <w:r>
        <w:rPr>
          <w:rFonts w:ascii="Times New Roman" w:cs="Times New Roman" w:eastAsia="Times New Roman" w:hAnsi="Times New Roman"/>
          <w:b/>
          <w:bCs/>
          <w:color w:val="2E5090"/>
          <w:sz w:val="24"/>
          <w:szCs w:val="24"/>
        </w:rPr>
        <w:t xml:space="preserve">4. Objetivos del Estudio</w:t>
      </w:r>
    </w:p>
    <w:p>
      <w:pPr>
        <w:spacing w:after="120" w:before="120" w:line="360" w:lineRule="auto"/>
        <w:ind/>
        <w:jc w:val="both"/>
      </w:pPr>
      <w:r>
        <w:rPr>
          <w:rFonts w:ascii="Times New Roman" w:cs="Times New Roman" w:eastAsia="Times New Roman" w:hAnsi="Times New Roman"/>
          <w:sz w:val="24"/>
          <w:szCs w:val="24"/>
        </w:rPr>
        <w:t xml:space="preserve">El objetivo general del presente artículo es analizar el potencial de un software de gestión farmacéutica tipo CRM para contribuir a la transformación digital de droguerías y farmacias independientes en Colombia, en el marco del proceso de reformas del sistema de salud nacional.</w:t>
      </w:r>
    </w:p>
    <w:p>
      <w:pPr>
        <w:spacing w:after="60" w:before="60"/>
      </w:pPr>
      <w:r>
        <w:t xml:space="preserve"/>
      </w:r>
    </w:p>
    <w:p>
      <w:pPr>
        <w:spacing w:after="120" w:before="120" w:line="360" w:lineRule="auto"/>
        <w:ind/>
        <w:jc w:val="both"/>
      </w:pPr>
      <w:r>
        <w:rPr>
          <w:rFonts w:ascii="Times New Roman" w:cs="Times New Roman" w:eastAsia="Times New Roman" w:hAnsi="Times New Roman"/>
          <w:sz w:val="24"/>
          <w:szCs w:val="24"/>
        </w:rPr>
        <w:t xml:space="preserve">Los objetivos específicos son:</w:t>
      </w:r>
    </w:p>
    <w:p>
      <w:pPr>
        <w:spacing w:after="80" w:before="80" w:line="360" w:lineRule="auto"/>
        <w:ind w:left="720" w:hanging="360"/>
        <w:jc w:val="both"/>
      </w:pPr>
      <w:r>
        <w:rPr>
          <w:rFonts w:ascii="Times New Roman" w:cs="Times New Roman" w:eastAsia="Times New Roman" w:hAnsi="Times New Roman"/>
          <w:sz w:val="24"/>
          <w:szCs w:val="24"/>
        </w:rPr>
        <w:t xml:space="preserve">a) Caracterizar el contexto actual del sector farmacéutico colombiano en términos de transformación digital, marco normativo y dinámica competitiva.</w:t>
      </w:r>
    </w:p>
    <w:p>
      <w:pPr>
        <w:spacing w:after="80" w:before="80" w:line="360" w:lineRule="auto"/>
        <w:ind w:left="720" w:hanging="360"/>
        <w:jc w:val="both"/>
      </w:pPr>
      <w:r>
        <w:rPr>
          <w:rFonts w:ascii="Times New Roman" w:cs="Times New Roman" w:eastAsia="Times New Roman" w:hAnsi="Times New Roman"/>
          <w:sz w:val="24"/>
          <w:szCs w:val="24"/>
        </w:rPr>
        <w:t xml:space="preserve">b) Identificar los requerimientos funcionales esenciales de un CRM farmacéutico adaptado a las necesidades de las droguerías independientes colombianas.</w:t>
      </w:r>
    </w:p>
    <w:p>
      <w:pPr>
        <w:spacing w:after="80" w:before="80" w:line="360" w:lineRule="auto"/>
        <w:ind w:left="720" w:hanging="360"/>
        <w:jc w:val="both"/>
      </w:pPr>
      <w:r>
        <w:rPr>
          <w:rFonts w:ascii="Times New Roman" w:cs="Times New Roman" w:eastAsia="Times New Roman" w:hAnsi="Times New Roman"/>
          <w:sz w:val="24"/>
          <w:szCs w:val="24"/>
        </w:rPr>
        <w:t xml:space="preserve">c) Proponer un modelo conceptual de software de gestión farmacéutica tipo CRM que integre gestión de inventarios, seguimiento farmacoterapéutico, fidelización y conectividad institucional.</w:t>
      </w:r>
    </w:p>
    <w:p>
      <w:pPr>
        <w:spacing w:after="80" w:before="80" w:line="360" w:lineRule="auto"/>
        <w:ind w:left="720" w:hanging="360"/>
        <w:jc w:val="both"/>
      </w:pPr>
      <w:r>
        <w:rPr>
          <w:rFonts w:ascii="Times New Roman" w:cs="Times New Roman" w:eastAsia="Times New Roman" w:hAnsi="Times New Roman"/>
          <w:sz w:val="24"/>
          <w:szCs w:val="24"/>
        </w:rPr>
        <w:t xml:space="preserve">d) Discutir las implicaciones del modelo propuesto para la equidad en el acceso a medicamentos y la seguridad del paciente en el contexto colombiano.</w:t>
      </w:r>
    </w:p>
    <w:p>
      <w:pPr>
        <w:pStyle w:val="Heading2"/>
        <w:spacing w:after="120" w:before="280"/>
      </w:pPr>
      <w:r>
        <w:rPr>
          <w:rFonts w:ascii="Times New Roman" w:cs="Times New Roman" w:eastAsia="Times New Roman" w:hAnsi="Times New Roman"/>
          <w:b/>
          <w:bCs/>
          <w:color w:val="2E5090"/>
          <w:sz w:val="24"/>
          <w:szCs w:val="24"/>
        </w:rPr>
        <w:t xml:space="preserve">5. Estructura del Artículo</w:t>
      </w:r>
    </w:p>
    <w:p>
      <w:pPr>
        <w:spacing w:after="120" w:before="120" w:line="360" w:lineRule="auto"/>
        <w:ind w:firstLine="720"/>
        <w:jc w:val="both"/>
      </w:pPr>
      <w:r>
        <w:rPr>
          <w:rFonts w:ascii="Times New Roman" w:cs="Times New Roman" w:eastAsia="Times New Roman" w:hAnsi="Times New Roman"/>
          <w:sz w:val="24"/>
          <w:szCs w:val="24"/>
        </w:rPr>
        <w:t xml:space="preserve">El presente artículo se organiza en cinco secciones. Tras esta introducción —que incluye la problematización, el marco teórico, los antecedentes y los objetivos— la segunda sección presenta la metodología, de carácter teórico-analítico y basada en revisión documental. La tercera sección desarrolla el modelo conceptual del CRM farmacéutico, describiendo sus módulos funcionales y su arquitectura de integración con el sistema de salud colombiano. La cuarta sección discute los resultados esperados, las condiciones de implementación y las implicaciones para la política sectorial. Finalmente, la quinta sección presenta las conclusiones y las líneas de investigación futura que se derivan de la propuesta.</w:t>
      </w:r>
    </w:p>
    <w:p>
      <w:pPr>
        <w:pBdr>
          <w:bottom w:val="single" w:color="CCCCCC" w:sz="3" w:space="1"/>
        </w:pBdr>
        <w:spacing w:after="400" w:before="400"/>
      </w:pPr>
      <w:r>
        <w:t xml:space="preserve"/>
      </w:r>
    </w:p>
    <w:p>
      <w:pPr>
        <w:shd w:fill="E8EEF7" w:val="clear"/>
        <w:spacing w:after="240" w:before="240"/>
        <w:jc w:val="center"/>
      </w:pPr>
      <w:r>
        <w:rPr>
          <w:rFonts w:ascii="Times New Roman" w:cs="Times New Roman" w:eastAsia="Times New Roman" w:hAnsi="Times New Roman"/>
          <w:b/>
          <w:bCs/>
          <w:caps/>
          <w:color w:val="1F3864"/>
          <w:sz w:val="22"/>
          <w:szCs w:val="22"/>
        </w:rPr>
        <w:t xml:space="preserve">Referencias Bibliográficas</w:t>
      </w:r>
    </w:p>
    <w:p>
      <w:pPr>
        <w:spacing w:after="100" w:before="100" w:line="320" w:lineRule="auto"/>
        <w:ind w:left="720" w:hanging="720"/>
        <w:jc w:val="both"/>
      </w:pPr>
      <w:r>
        <w:rPr>
          <w:rFonts w:ascii="Times New Roman" w:cs="Times New Roman" w:eastAsia="Times New Roman" w:hAnsi="Times New Roman"/>
          <w:sz w:val="22"/>
          <w:szCs w:val="22"/>
        </w:rPr>
        <w:t xml:space="preserve">America Retail &amp; Malls. (2025). Mil tiendas, una visión, Cruz Verde y el renacer del retail farmacéutico colombiano. Recuperado de https://americaretail-malls.com</w:t>
      </w:r>
    </w:p>
    <w:p>
      <w:pPr>
        <w:spacing w:after="100" w:before="100" w:line="320" w:lineRule="auto"/>
        <w:ind w:left="720" w:hanging="720"/>
        <w:jc w:val="both"/>
      </w:pPr>
      <w:r>
        <w:rPr>
          <w:rFonts w:ascii="Times New Roman" w:cs="Times New Roman" w:eastAsia="Times New Roman" w:hAnsi="Times New Roman"/>
          <w:sz w:val="22"/>
          <w:szCs w:val="22"/>
        </w:rPr>
        <w:t xml:space="preserve">Bismart. (2024). Tendencias de la industria farmacéutica 2024-2025. Recuperado de https://blog.bismart.com</w:t>
      </w:r>
    </w:p>
    <w:p>
      <w:pPr>
        <w:spacing w:after="100" w:before="100" w:line="320" w:lineRule="auto"/>
        <w:ind w:left="720" w:hanging="720"/>
        <w:jc w:val="both"/>
      </w:pPr>
      <w:r>
        <w:rPr>
          <w:rFonts w:ascii="Times New Roman" w:cs="Times New Roman" w:eastAsia="Times New Roman" w:hAnsi="Times New Roman"/>
          <w:sz w:val="22"/>
          <w:szCs w:val="22"/>
        </w:rPr>
        <w:t xml:space="preserve">Cambio Colombia. (2024). ¿Qué le espera a la industria farmacéutica en 2024? Recuperado de https://cambiocolombia.com</w:t>
      </w:r>
    </w:p>
    <w:p>
      <w:pPr>
        <w:spacing w:after="100" w:before="100" w:line="320" w:lineRule="auto"/>
        <w:ind w:left="720" w:hanging="720"/>
        <w:jc w:val="both"/>
      </w:pPr>
      <w:r>
        <w:rPr>
          <w:rFonts w:ascii="Times New Roman" w:cs="Times New Roman" w:eastAsia="Times New Roman" w:hAnsi="Times New Roman"/>
          <w:sz w:val="22"/>
          <w:szCs w:val="22"/>
        </w:rPr>
        <w:t xml:space="preserve">Cambio Colombia / Especial Farmacéutica. (2025). Industria farmacéutica Colombia 2025: innovación, desafíos y perspectivas clave. Recuperado de https://especial.cambiocolombia.com</w:t>
      </w:r>
    </w:p>
    <w:p>
      <w:pPr>
        <w:spacing w:after="100" w:before="100" w:line="320" w:lineRule="auto"/>
        <w:ind w:left="720" w:hanging="720"/>
        <w:jc w:val="both"/>
      </w:pPr>
      <w:r>
        <w:rPr>
          <w:rFonts w:ascii="Times New Roman" w:cs="Times New Roman" w:eastAsia="Times New Roman" w:hAnsi="Times New Roman"/>
          <w:sz w:val="22"/>
          <w:szCs w:val="22"/>
        </w:rPr>
        <w:t xml:space="preserve">Comparasoftware. (2024). Top 10 mejores software para farmacias en 2025. Recuperado de https://www.comparasoftware.es</w:t>
      </w:r>
    </w:p>
    <w:p>
      <w:pPr>
        <w:spacing w:after="100" w:before="100" w:line="320" w:lineRule="auto"/>
        <w:ind w:left="720" w:hanging="720"/>
        <w:jc w:val="both"/>
      </w:pPr>
      <w:r>
        <w:rPr>
          <w:rFonts w:ascii="Times New Roman" w:cs="Times New Roman" w:eastAsia="Times New Roman" w:hAnsi="Times New Roman"/>
          <w:sz w:val="22"/>
          <w:szCs w:val="22"/>
        </w:rPr>
        <w:t xml:space="preserve">ConsultorSalud. (2024). Medicamentos, industria y gestión farmacéutica en el Proyecto de Ley No. 312 de 2024. Recuperado de https://consultorsalud.com</w:t>
      </w:r>
    </w:p>
    <w:p>
      <w:pPr>
        <w:spacing w:after="100" w:before="100" w:line="320" w:lineRule="auto"/>
        <w:ind w:left="720" w:hanging="720"/>
        <w:jc w:val="both"/>
      </w:pPr>
      <w:r>
        <w:rPr>
          <w:rFonts w:ascii="Times New Roman" w:cs="Times New Roman" w:eastAsia="Times New Roman" w:hAnsi="Times New Roman"/>
          <w:sz w:val="22"/>
          <w:szCs w:val="22"/>
        </w:rPr>
        <w:t xml:space="preserve">ConsultorSalud. (2025). Ya no habrá monopolios: Gobierno anuncia eliminación de gestores farmacéuticos. Recuperado de https://consultorsalud.com</w:t>
      </w:r>
    </w:p>
    <w:p>
      <w:pPr>
        <w:spacing w:after="100" w:before="100" w:line="320" w:lineRule="auto"/>
        <w:ind w:left="720" w:hanging="720"/>
        <w:jc w:val="both"/>
      </w:pPr>
      <w:r>
        <w:rPr>
          <w:rFonts w:ascii="Times New Roman" w:cs="Times New Roman" w:eastAsia="Times New Roman" w:hAnsi="Times New Roman"/>
          <w:sz w:val="22"/>
          <w:szCs w:val="22"/>
        </w:rPr>
        <w:t xml:space="preserve">ConsultorSalud. (2025). Proyecto de decreto redefine reglas para apertura y traslado de farmacias en Colombia. Recuperado de https://consultorsalud.com</w:t>
      </w:r>
    </w:p>
    <w:p>
      <w:pPr>
        <w:spacing w:after="100" w:before="100" w:line="320" w:lineRule="auto"/>
        <w:ind w:left="720" w:hanging="720"/>
        <w:jc w:val="both"/>
      </w:pPr>
      <w:r>
        <w:rPr>
          <w:rFonts w:ascii="Times New Roman" w:cs="Times New Roman" w:eastAsia="Times New Roman" w:hAnsi="Times New Roman"/>
          <w:sz w:val="22"/>
          <w:szCs w:val="22"/>
        </w:rPr>
        <w:t xml:space="preserve">Creatio. (2024). CRM y software de automatización para el sector farmacéutico. Recuperado de https://www.creatio.com</w:t>
      </w:r>
    </w:p>
    <w:p>
      <w:pPr>
        <w:spacing w:after="100" w:before="100" w:line="320" w:lineRule="auto"/>
        <w:ind w:left="720" w:hanging="720"/>
        <w:jc w:val="both"/>
      </w:pPr>
      <w:r>
        <w:rPr>
          <w:rFonts w:ascii="Times New Roman" w:cs="Times New Roman" w:eastAsia="Times New Roman" w:hAnsi="Times New Roman"/>
          <w:sz w:val="22"/>
          <w:szCs w:val="22"/>
        </w:rPr>
        <w:t xml:space="preserve">El País. (2024). Las razones por las que las droguerías se verían afectadas con las reformas laboral y de salud. Recuperado de https://www.elpais.com.co</w:t>
      </w:r>
    </w:p>
    <w:p>
      <w:pPr>
        <w:spacing w:after="100" w:before="100" w:line="320" w:lineRule="auto"/>
        <w:ind w:left="720" w:hanging="720"/>
        <w:jc w:val="both"/>
      </w:pPr>
      <w:r>
        <w:rPr>
          <w:rFonts w:ascii="Times New Roman" w:cs="Times New Roman" w:eastAsia="Times New Roman" w:hAnsi="Times New Roman"/>
          <w:sz w:val="22"/>
          <w:szCs w:val="22"/>
        </w:rPr>
        <w:t xml:space="preserve">EPAM Systems / Pulzo. (2026). Transformación digital en el sector farmacéutico colombiano: retos, claves y el laboratorio del futuro. Recuperado de https://www.pulzo.com</w:t>
      </w:r>
    </w:p>
    <w:p>
      <w:pPr>
        <w:spacing w:after="100" w:before="100" w:line="320" w:lineRule="auto"/>
        <w:ind w:left="720" w:hanging="720"/>
        <w:jc w:val="both"/>
      </w:pPr>
      <w:r>
        <w:rPr>
          <w:rFonts w:ascii="Times New Roman" w:cs="Times New Roman" w:eastAsia="Times New Roman" w:hAnsi="Times New Roman"/>
          <w:sz w:val="22"/>
          <w:szCs w:val="22"/>
        </w:rPr>
        <w:t xml:space="preserve">HubSpot. (2024). CRM para hospitales y clínicas: qué es y cómo debes elegir uno. Recuperado de https://www.hubspot.es</w:t>
      </w:r>
    </w:p>
    <w:p>
      <w:pPr>
        <w:spacing w:after="100" w:before="100" w:line="320" w:lineRule="auto"/>
        <w:ind w:left="720" w:hanging="720"/>
        <w:jc w:val="both"/>
      </w:pPr>
      <w:r>
        <w:rPr>
          <w:rFonts w:ascii="Times New Roman" w:cs="Times New Roman" w:eastAsia="Times New Roman" w:hAnsi="Times New Roman"/>
          <w:sz w:val="22"/>
          <w:szCs w:val="22"/>
        </w:rPr>
        <w:t xml:space="preserve">Innowise. (2024). Empresa de desarrollo de software de gestión farmacéutica. Recuperado de https://innowise.com</w:t>
      </w:r>
    </w:p>
    <w:p>
      <w:pPr>
        <w:spacing w:after="100" w:before="100" w:line="320" w:lineRule="auto"/>
        <w:ind w:left="720" w:hanging="720"/>
        <w:jc w:val="both"/>
      </w:pPr>
      <w:r>
        <w:rPr>
          <w:rFonts w:ascii="Times New Roman" w:cs="Times New Roman" w:eastAsia="Times New Roman" w:hAnsi="Times New Roman"/>
          <w:sz w:val="22"/>
          <w:szCs w:val="22"/>
        </w:rPr>
        <w:t xml:space="preserve">Ley 2386. (2024). Política Nacional de Investigación Científica, Desarrollo Tecnológico, Innovación y Producción de la Industria Farmacéutica. Congreso de Colombia.</w:t>
      </w:r>
    </w:p>
    <w:p>
      <w:pPr>
        <w:spacing w:after="100" w:before="100" w:line="320" w:lineRule="auto"/>
        <w:ind w:left="720" w:hanging="720"/>
        <w:jc w:val="both"/>
      </w:pPr>
      <w:r>
        <w:rPr>
          <w:rFonts w:ascii="Times New Roman" w:cs="Times New Roman" w:eastAsia="Times New Roman" w:hAnsi="Times New Roman"/>
          <w:sz w:val="22"/>
          <w:szCs w:val="22"/>
        </w:rPr>
        <w:t xml:space="preserve">Memphis. (2025). ¿Cómo pueden las droguerías independientes destacar ante las grandes cadenas? Recuperado de https://memphis.com.co</w:t>
      </w:r>
    </w:p>
    <w:p>
      <w:pPr>
        <w:spacing w:after="100" w:before="100" w:line="320" w:lineRule="auto"/>
        <w:ind w:left="720" w:hanging="720"/>
        <w:jc w:val="both"/>
      </w:pPr>
      <w:r>
        <w:rPr>
          <w:rFonts w:ascii="Times New Roman" w:cs="Times New Roman" w:eastAsia="Times New Roman" w:hAnsi="Times New Roman"/>
          <w:sz w:val="22"/>
          <w:szCs w:val="22"/>
        </w:rPr>
        <w:t xml:space="preserve">Ministerio de Salud y Protección Social. (2024). Resolución 2718 de 2024. Actualización de servicios y tecnologías financiados con la UPC para 2025. Bogotá: Ministerio de Salud.</w:t>
      </w:r>
    </w:p>
    <w:p>
      <w:pPr>
        <w:spacing w:after="100" w:before="100" w:line="320" w:lineRule="auto"/>
        <w:ind w:left="720" w:hanging="720"/>
        <w:jc w:val="both"/>
      </w:pPr>
      <w:r>
        <w:rPr>
          <w:rFonts w:ascii="Times New Roman" w:cs="Times New Roman" w:eastAsia="Times New Roman" w:hAnsi="Times New Roman"/>
          <w:sz w:val="22"/>
          <w:szCs w:val="22"/>
        </w:rPr>
        <w:t xml:space="preserve">Salesforce. (2024). Software de CRM específicamente diseñado para el sector farmacéutico. Recuperado de https://www.salesforce.com</w:t>
      </w:r>
    </w:p>
    <w:p>
      <w:pPr>
        <w:spacing w:after="100" w:before="100" w:line="320" w:lineRule="auto"/>
        <w:ind w:left="720" w:hanging="720"/>
        <w:jc w:val="both"/>
      </w:pPr>
      <w:r>
        <w:rPr>
          <w:rFonts w:ascii="Times New Roman" w:cs="Times New Roman" w:eastAsia="Times New Roman" w:hAnsi="Times New Roman"/>
          <w:sz w:val="22"/>
          <w:szCs w:val="22"/>
        </w:rPr>
        <w:t xml:space="preserve">Salud y Fármacos. (2024). Colombia avanza hacia la autonomía sanitaria: La Ley 2386 de 2024 impulsa la innovación y soberanía farmacéutica. Recuperado de https://www.saludyfarmacos.org</w:t>
      </w:r>
    </w:p>
    <w:p>
      <w:pPr>
        <w:spacing w:after="100" w:before="100" w:line="320" w:lineRule="auto"/>
        <w:ind w:left="720" w:hanging="720"/>
        <w:jc w:val="both"/>
      </w:pPr>
      <w:r>
        <w:rPr>
          <w:rFonts w:ascii="Times New Roman" w:cs="Times New Roman" w:eastAsia="Times New Roman" w:hAnsi="Times New Roman"/>
          <w:sz w:val="22"/>
          <w:szCs w:val="22"/>
        </w:rPr>
        <w:t xml:space="preserve">SCARE. (2025). Reforma a la Salud en Colombia: claves, escenarios y debate. Recuperado de https://scare.org.co</w:t>
      </w:r>
    </w:p>
    <w:p>
      <w:pPr>
        <w:spacing w:after="100" w:before="100" w:line="320" w:lineRule="auto"/>
        <w:ind w:left="720" w:hanging="720"/>
        <w:jc w:val="both"/>
      </w:pPr>
      <w:r>
        <w:rPr>
          <w:rFonts w:ascii="Times New Roman" w:cs="Times New Roman" w:eastAsia="Times New Roman" w:hAnsi="Times New Roman"/>
          <w:sz w:val="22"/>
          <w:szCs w:val="22"/>
        </w:rPr>
        <w:t xml:space="preserve">Vtiger CRM. (2024). Software de CRM farmacéutico. Recuperado de https://www.vtiger.com</w:t>
      </w:r>
    </w:p>
    <w:sectPr>
      <w:footerReference w:type="default" r:id="rId7"/>
      <w:pgSz w:w="11906" w:h="16838"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77777"/>
        <w:sz w:val="20"/>
        <w:szCs w:val="20"/>
      </w:rPr>
      <w:t xml:space="preserve">Página </w:t>
    </w:r>
    <w:r>
      <w:rPr>
        <w:rFonts w:ascii="Times New Roman" w:cs="Times New Roman" w:eastAsia="Times New Roman" w:hAnsi="Times New Roman"/>
        <w:color w:val="777777"/>
        <w:sz w:val="20"/>
        <w:szCs w:val="20"/>
      </w:rPr>
      <w:fldChar w:fldCharType="begin"/>
      <w:instrText xml:space="preserve">PAGE</w:instrText>
      <w:fldChar w:fldCharType="separate"/>
      <w:fldChar w:fldCharType="end"/>
    </w:r>
    <w:r>
      <w:rPr>
        <w:rFonts w:ascii="Times New Roman" w:cs="Times New Roman" w:eastAsia="Times New Roman" w:hAnsi="Times New Roman"/>
        <w:color w:val="777777"/>
        <w:sz w:val="20"/>
        <w:szCs w:val="20"/>
      </w:rPr>
      <w:t xml:space="preserve"> de </w:t>
    </w:r>
    <w:r>
      <w:rPr>
        <w:rFonts w:ascii="Times New Roman" w:cs="Times New Roman" w:eastAsia="Times New Roman" w:hAnsi="Times New Roman"/>
        <w:color w:val="777777"/>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2026-04-08T12:28:19.739Z</dcterms:created>
  <dcterms:modified xsi:type="dcterms:W3CDTF">2026-04-08T12:28:19.740Z</dcterms:modified>
</cp:coreProperties>
</file>

<file path=docProps/custom.xml><?xml version="1.0" encoding="utf-8"?>
<Properties xmlns="http://schemas.openxmlformats.org/officeDocument/2006/custom-properties" xmlns:vt="http://schemas.openxmlformats.org/officeDocument/2006/docPropsVTypes"/>
</file>