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78F6A" w14:textId="77777777" w:rsidR="004E0D55" w:rsidRPr="004E0D55" w:rsidRDefault="004E0D55" w:rsidP="004E0D55">
      <w:pPr>
        <w:rPr>
          <w:b/>
          <w:bCs/>
        </w:rPr>
      </w:pPr>
      <w:r w:rsidRPr="004E0D55">
        <w:rPr>
          <w:b/>
          <w:bCs/>
        </w:rPr>
        <w:t>Pesquisa Integrada — Rotulagem, Identificação, Validade e Rastreabilidade de Produtos</w:t>
      </w:r>
    </w:p>
    <w:p w14:paraId="5FE5C620" w14:textId="77777777" w:rsidR="004E0D55" w:rsidRPr="004E0D55" w:rsidRDefault="004E0D55" w:rsidP="004E0D55">
      <w:pPr>
        <w:rPr>
          <w:b/>
          <w:bCs/>
        </w:rPr>
      </w:pPr>
      <w:r w:rsidRPr="004E0D55">
        <w:rPr>
          <w:b/>
          <w:bCs/>
        </w:rPr>
        <w:t>Pergunta de pesquisa</w:t>
      </w:r>
    </w:p>
    <w:p w14:paraId="0CEE93B1" w14:textId="77777777" w:rsidR="004E0D55" w:rsidRPr="004E0D55" w:rsidRDefault="004E0D55" w:rsidP="004E0D55">
      <w:r w:rsidRPr="004E0D55">
        <w:rPr>
          <w:b/>
          <w:bCs/>
        </w:rPr>
        <w:t>Como informações de validade, identificação e lote presentes na rotulagem e em códigos padronizados podem contribuir para a rastreabilidade e o controle de estoque de produtos perecíveis no varejo?</w:t>
      </w:r>
    </w:p>
    <w:p w14:paraId="37A4AD84" w14:textId="77777777" w:rsidR="004E0D55" w:rsidRPr="004E0D55" w:rsidRDefault="004E0D55" w:rsidP="004E0D55">
      <w:r w:rsidRPr="004E0D55">
        <w:pict w14:anchorId="363ADC3F">
          <v:rect id="_x0000_i1025" style="width:0;height:1.5pt" o:hralign="center" o:hrstd="t" o:hr="t" fillcolor="#a0a0a0" stroked="f"/>
        </w:pict>
      </w:r>
    </w:p>
    <w:p w14:paraId="43A16DFB" w14:textId="77777777" w:rsidR="004E0D55" w:rsidRPr="004E0D55" w:rsidRDefault="004E0D55" w:rsidP="004E0D55">
      <w:pPr>
        <w:rPr>
          <w:b/>
          <w:bCs/>
        </w:rPr>
      </w:pPr>
      <w:r w:rsidRPr="004E0D55">
        <w:rPr>
          <w:b/>
          <w:bCs/>
        </w:rPr>
        <w:t>Fontes analisadas</w:t>
      </w:r>
    </w:p>
    <w:p w14:paraId="23050589" w14:textId="77777777" w:rsidR="004E0D55" w:rsidRPr="004E0D55" w:rsidRDefault="004E0D55" w:rsidP="004E0D55">
      <w:pPr>
        <w:rPr>
          <w:b/>
          <w:bCs/>
        </w:rPr>
      </w:pPr>
      <w:r w:rsidRPr="004E0D55">
        <w:rPr>
          <w:b/>
          <w:bCs/>
        </w:rPr>
        <w:t>Fonte 7 — Anvisa: Rotulagem de alimentos</w:t>
      </w:r>
    </w:p>
    <w:p w14:paraId="12B219F6" w14:textId="77777777" w:rsidR="004E0D55" w:rsidRPr="004E0D55" w:rsidRDefault="004E0D55" w:rsidP="004E0D55">
      <w:pPr>
        <w:numPr>
          <w:ilvl w:val="0"/>
          <w:numId w:val="1"/>
        </w:numPr>
      </w:pPr>
      <w:r w:rsidRPr="004E0D55">
        <w:rPr>
          <w:b/>
          <w:bCs/>
        </w:rPr>
        <w:t>Instituição:</w:t>
      </w:r>
      <w:r w:rsidRPr="004E0D55">
        <w:t xml:space="preserve"> Agência Nacional de Vigilância Sanitária (Anvisa).</w:t>
      </w:r>
    </w:p>
    <w:p w14:paraId="559AA6E4" w14:textId="77777777" w:rsidR="004E0D55" w:rsidRPr="004E0D55" w:rsidRDefault="004E0D55" w:rsidP="004E0D55">
      <w:pPr>
        <w:numPr>
          <w:ilvl w:val="0"/>
          <w:numId w:val="1"/>
        </w:numPr>
      </w:pPr>
      <w:r w:rsidRPr="004E0D55">
        <w:rPr>
          <w:b/>
          <w:bCs/>
        </w:rPr>
        <w:t>Tipo:</w:t>
      </w:r>
      <w:r w:rsidRPr="004E0D55">
        <w:t xml:space="preserve"> fonte oficial/institucional e regulatória.</w:t>
      </w:r>
    </w:p>
    <w:p w14:paraId="29015F55" w14:textId="77777777" w:rsidR="004E0D55" w:rsidRPr="004E0D55" w:rsidRDefault="004E0D55" w:rsidP="004E0D55">
      <w:pPr>
        <w:numPr>
          <w:ilvl w:val="0"/>
          <w:numId w:val="1"/>
        </w:numPr>
      </w:pPr>
      <w:r w:rsidRPr="004E0D55">
        <w:rPr>
          <w:b/>
          <w:bCs/>
        </w:rPr>
        <w:t>Tema:</w:t>
      </w:r>
      <w:r w:rsidRPr="004E0D55">
        <w:t xml:space="preserve"> rotulagem de alimentos e informações obrigatórias.</w:t>
      </w:r>
    </w:p>
    <w:p w14:paraId="34B305F0" w14:textId="77777777" w:rsidR="004E0D55" w:rsidRPr="004E0D55" w:rsidRDefault="004E0D55" w:rsidP="004E0D55">
      <w:pPr>
        <w:numPr>
          <w:ilvl w:val="0"/>
          <w:numId w:val="1"/>
        </w:numPr>
      </w:pPr>
      <w:r w:rsidRPr="004E0D55">
        <w:rPr>
          <w:b/>
          <w:bCs/>
        </w:rPr>
        <w:t>Abrangência:</w:t>
      </w:r>
      <w:r w:rsidRPr="004E0D55">
        <w:t xml:space="preserve"> produtos alimentícios comercializados no Brasil.</w:t>
      </w:r>
    </w:p>
    <w:p w14:paraId="52F79BA8" w14:textId="77777777" w:rsidR="004E0D55" w:rsidRPr="004E0D55" w:rsidRDefault="004E0D55" w:rsidP="004E0D55">
      <w:r w:rsidRPr="004E0D55">
        <w:t xml:space="preserve">A fonte apresenta informações que devem constar na rotulagem dos alimentos, incluindo a </w:t>
      </w:r>
      <w:r w:rsidRPr="004E0D55">
        <w:rPr>
          <w:b/>
          <w:bCs/>
        </w:rPr>
        <w:t>data de validade</w:t>
      </w:r>
      <w:r w:rsidRPr="004E0D55">
        <w:t>, permitindo que o consumidor e os agentes da cadeia tenham acesso a informações relevantes sobre o produto.</w:t>
      </w:r>
    </w:p>
    <w:p w14:paraId="001B6336" w14:textId="77777777" w:rsidR="004E0D55" w:rsidRPr="004E0D55" w:rsidRDefault="004E0D55" w:rsidP="004E0D55">
      <w:pPr>
        <w:rPr>
          <w:b/>
          <w:bCs/>
        </w:rPr>
      </w:pPr>
      <w:r w:rsidRPr="004E0D55">
        <w:rPr>
          <w:b/>
          <w:bCs/>
        </w:rPr>
        <w:t xml:space="preserve">Fonte 8 — GS1 Brasil: GS1 </w:t>
      </w:r>
      <w:proofErr w:type="spellStart"/>
      <w:r w:rsidRPr="004E0D55">
        <w:rPr>
          <w:b/>
          <w:bCs/>
        </w:rPr>
        <w:t>DataMatrix</w:t>
      </w:r>
      <w:proofErr w:type="spellEnd"/>
    </w:p>
    <w:p w14:paraId="35B9C6AA" w14:textId="77777777" w:rsidR="004E0D55" w:rsidRPr="004E0D55" w:rsidRDefault="004E0D55" w:rsidP="004E0D55">
      <w:pPr>
        <w:numPr>
          <w:ilvl w:val="0"/>
          <w:numId w:val="2"/>
        </w:numPr>
      </w:pPr>
      <w:r w:rsidRPr="004E0D55">
        <w:rPr>
          <w:b/>
          <w:bCs/>
        </w:rPr>
        <w:t>Instituição:</w:t>
      </w:r>
      <w:r w:rsidRPr="004E0D55">
        <w:t xml:space="preserve"> GS1 Brasil.</w:t>
      </w:r>
    </w:p>
    <w:p w14:paraId="33073C81" w14:textId="77777777" w:rsidR="004E0D55" w:rsidRPr="004E0D55" w:rsidRDefault="004E0D55" w:rsidP="004E0D55">
      <w:pPr>
        <w:numPr>
          <w:ilvl w:val="0"/>
          <w:numId w:val="2"/>
        </w:numPr>
      </w:pPr>
      <w:r w:rsidRPr="004E0D55">
        <w:rPr>
          <w:b/>
          <w:bCs/>
        </w:rPr>
        <w:t>Tipo:</w:t>
      </w:r>
      <w:r w:rsidRPr="004E0D55">
        <w:t xml:space="preserve"> conteúdo técnico-institucional sobre identificação e rastreabilidade.</w:t>
      </w:r>
    </w:p>
    <w:p w14:paraId="37A8F36F" w14:textId="77777777" w:rsidR="004E0D55" w:rsidRPr="004E0D55" w:rsidRDefault="004E0D55" w:rsidP="004E0D55">
      <w:pPr>
        <w:numPr>
          <w:ilvl w:val="0"/>
          <w:numId w:val="2"/>
        </w:numPr>
      </w:pPr>
      <w:r w:rsidRPr="004E0D55">
        <w:rPr>
          <w:b/>
          <w:bCs/>
        </w:rPr>
        <w:t>Tema:</w:t>
      </w:r>
      <w:r w:rsidRPr="004E0D55">
        <w:t xml:space="preserve"> código 2D, GTIN, lote, validade, rastreabilidade e gestão de estoque.</w:t>
      </w:r>
    </w:p>
    <w:p w14:paraId="678FC99B" w14:textId="77777777" w:rsidR="004E0D55" w:rsidRPr="004E0D55" w:rsidRDefault="004E0D55" w:rsidP="004E0D55">
      <w:pPr>
        <w:numPr>
          <w:ilvl w:val="0"/>
          <w:numId w:val="2"/>
        </w:numPr>
      </w:pPr>
      <w:r w:rsidRPr="004E0D55">
        <w:rPr>
          <w:b/>
          <w:bCs/>
        </w:rPr>
        <w:t>Abrangência:</w:t>
      </w:r>
      <w:r w:rsidRPr="004E0D55">
        <w:t xml:space="preserve"> aplicação dos padrões GS1 em diferentes setores, incluindo alimentos e logística.</w:t>
      </w:r>
    </w:p>
    <w:p w14:paraId="123628D0" w14:textId="77777777" w:rsidR="004E0D55" w:rsidRPr="004E0D55" w:rsidRDefault="004E0D55" w:rsidP="004E0D55">
      <w:r w:rsidRPr="004E0D55">
        <w:t xml:space="preserve">A GS1 Brasil explica que o </w:t>
      </w:r>
      <w:r w:rsidRPr="004E0D55">
        <w:rPr>
          <w:b/>
          <w:bCs/>
        </w:rPr>
        <w:t xml:space="preserve">GS1 </w:t>
      </w:r>
      <w:proofErr w:type="spellStart"/>
      <w:r w:rsidRPr="004E0D55">
        <w:rPr>
          <w:b/>
          <w:bCs/>
        </w:rPr>
        <w:t>DataMatrix</w:t>
      </w:r>
      <w:proofErr w:type="spellEnd"/>
      <w:r w:rsidRPr="004E0D55">
        <w:t xml:space="preserve"> é um código bidimensional capaz de armazenar diferentes informações estruturadas, como:</w:t>
      </w:r>
    </w:p>
    <w:p w14:paraId="42C85D73" w14:textId="77777777" w:rsidR="004E0D55" w:rsidRPr="004E0D55" w:rsidRDefault="004E0D55" w:rsidP="004E0D55">
      <w:pPr>
        <w:numPr>
          <w:ilvl w:val="0"/>
          <w:numId w:val="3"/>
        </w:numPr>
      </w:pPr>
      <w:r w:rsidRPr="004E0D55">
        <w:t>GTIN;</w:t>
      </w:r>
    </w:p>
    <w:p w14:paraId="1BB5CCDC" w14:textId="77777777" w:rsidR="004E0D55" w:rsidRPr="004E0D55" w:rsidRDefault="004E0D55" w:rsidP="004E0D55">
      <w:pPr>
        <w:numPr>
          <w:ilvl w:val="0"/>
          <w:numId w:val="3"/>
        </w:numPr>
      </w:pPr>
      <w:r w:rsidRPr="004E0D55">
        <w:t>lote;</w:t>
      </w:r>
    </w:p>
    <w:p w14:paraId="2880E3B9" w14:textId="77777777" w:rsidR="004E0D55" w:rsidRPr="004E0D55" w:rsidRDefault="004E0D55" w:rsidP="004E0D55">
      <w:pPr>
        <w:numPr>
          <w:ilvl w:val="0"/>
          <w:numId w:val="3"/>
        </w:numPr>
      </w:pPr>
      <w:r w:rsidRPr="004E0D55">
        <w:t>data de validade;</w:t>
      </w:r>
    </w:p>
    <w:p w14:paraId="73ACF4D7" w14:textId="77777777" w:rsidR="004E0D55" w:rsidRPr="004E0D55" w:rsidRDefault="004E0D55" w:rsidP="004E0D55">
      <w:pPr>
        <w:numPr>
          <w:ilvl w:val="0"/>
          <w:numId w:val="3"/>
        </w:numPr>
      </w:pPr>
      <w:r w:rsidRPr="004E0D55">
        <w:t>número de série, quando aplicável.</w:t>
      </w:r>
    </w:p>
    <w:p w14:paraId="4D39C4A1" w14:textId="77777777" w:rsidR="004E0D55" w:rsidRPr="004E0D55" w:rsidRDefault="004E0D55" w:rsidP="004E0D55">
      <w:r w:rsidRPr="004E0D55">
        <w:t xml:space="preserve">O código utiliza </w:t>
      </w:r>
      <w:r w:rsidRPr="004E0D55">
        <w:rPr>
          <w:b/>
          <w:bCs/>
        </w:rPr>
        <w:t>Identificadores de Aplicação (</w:t>
      </w:r>
      <w:proofErr w:type="spellStart"/>
      <w:r w:rsidRPr="004E0D55">
        <w:rPr>
          <w:b/>
          <w:bCs/>
        </w:rPr>
        <w:t>AIs</w:t>
      </w:r>
      <w:proofErr w:type="spellEnd"/>
      <w:r w:rsidRPr="004E0D55">
        <w:rPr>
          <w:b/>
          <w:bCs/>
        </w:rPr>
        <w:t>)</w:t>
      </w:r>
      <w:r w:rsidRPr="004E0D55">
        <w:t xml:space="preserve"> para indicar o significado de cada informação, permitindo que sistemas compatíveis interpretem os dados de maneira padronizada.</w:t>
      </w:r>
    </w:p>
    <w:p w14:paraId="3C393D50" w14:textId="77777777" w:rsidR="004E0D55" w:rsidRPr="004E0D55" w:rsidRDefault="004E0D55" w:rsidP="004E0D55">
      <w:r w:rsidRPr="004E0D55">
        <w:pict w14:anchorId="0B203C59">
          <v:rect id="_x0000_i1026" style="width:0;height:1.5pt" o:hralign="center" o:hrstd="t" o:hr="t" fillcolor="#a0a0a0" stroked="f"/>
        </w:pict>
      </w:r>
    </w:p>
    <w:p w14:paraId="7AF20452" w14:textId="77777777" w:rsidR="004E0D55" w:rsidRPr="004E0D55" w:rsidRDefault="004E0D55" w:rsidP="004E0D55">
      <w:pPr>
        <w:rPr>
          <w:b/>
          <w:bCs/>
        </w:rPr>
      </w:pPr>
      <w:r w:rsidRPr="004E0D55">
        <w:rPr>
          <w:b/>
          <w:bCs/>
        </w:rPr>
        <w:lastRenderedPageBreak/>
        <w:t>Evidências combinadas</w:t>
      </w:r>
    </w:p>
    <w:p w14:paraId="319CAAF6" w14:textId="77777777" w:rsidR="004E0D55" w:rsidRPr="004E0D55" w:rsidRDefault="004E0D55" w:rsidP="004E0D55">
      <w:r w:rsidRPr="004E0D55">
        <w:t>As duas fontes se complementam porque tratam de diferentes etapas da informação sobre o produto.</w:t>
      </w:r>
    </w:p>
    <w:p w14:paraId="62576BDE" w14:textId="77777777" w:rsidR="004E0D55" w:rsidRPr="004E0D55" w:rsidRDefault="004E0D55" w:rsidP="004E0D55">
      <w:r w:rsidRPr="004E0D55">
        <w:t xml:space="preserve">A </w:t>
      </w:r>
      <w:r w:rsidRPr="004E0D55">
        <w:rPr>
          <w:b/>
          <w:bCs/>
        </w:rPr>
        <w:t>Anvisa</w:t>
      </w:r>
      <w:r w:rsidRPr="004E0D55">
        <w:t xml:space="preserve"> estabelece a importância das informações presentes na rotulagem dos alimentos, incluindo a data de validade.</w:t>
      </w:r>
    </w:p>
    <w:p w14:paraId="4ED20EF2" w14:textId="77777777" w:rsidR="004E0D55" w:rsidRPr="004E0D55" w:rsidRDefault="004E0D55" w:rsidP="004E0D55">
      <w:r w:rsidRPr="004E0D55">
        <w:t xml:space="preserve">A </w:t>
      </w:r>
      <w:r w:rsidRPr="004E0D55">
        <w:rPr>
          <w:b/>
          <w:bCs/>
        </w:rPr>
        <w:t>GS1 Brasil</w:t>
      </w:r>
      <w:r w:rsidRPr="004E0D55">
        <w:t>, por sua vez, apresenta uma forma padronizada de estruturar informações do produto em códigos 2D, possibilitando que dados como GTIN, lote e validade sejam capturados por sistemas compatíveis.</w:t>
      </w:r>
    </w:p>
    <w:p w14:paraId="6B9437F2" w14:textId="77777777" w:rsidR="004E0D55" w:rsidRPr="004E0D55" w:rsidRDefault="004E0D55" w:rsidP="004E0D55">
      <w:r w:rsidRPr="004E0D55">
        <w:t>Assim, existe uma diferença importante entre:</w:t>
      </w:r>
    </w:p>
    <w:p w14:paraId="30333D8B" w14:textId="77777777" w:rsidR="004E0D55" w:rsidRPr="004E0D55" w:rsidRDefault="004E0D55" w:rsidP="004E0D55">
      <w:r w:rsidRPr="004E0D55">
        <w:rPr>
          <w:b/>
          <w:bCs/>
        </w:rPr>
        <w:t>informação que deve estar disponível na identificação/rotulagem do produto</w:t>
      </w:r>
    </w:p>
    <w:p w14:paraId="38CCD670" w14:textId="77777777" w:rsidR="004E0D55" w:rsidRPr="004E0D55" w:rsidRDefault="004E0D55" w:rsidP="004E0D55">
      <w:r w:rsidRPr="004E0D55">
        <w:t>e</w:t>
      </w:r>
    </w:p>
    <w:p w14:paraId="254B5178" w14:textId="77777777" w:rsidR="004E0D55" w:rsidRPr="004E0D55" w:rsidRDefault="004E0D55" w:rsidP="004E0D55">
      <w:r w:rsidRPr="004E0D55">
        <w:rPr>
          <w:b/>
          <w:bCs/>
        </w:rPr>
        <w:t>informação que está efetivamente codificada em um código que pode ser lido automaticamente.</w:t>
      </w:r>
    </w:p>
    <w:p w14:paraId="558126B5" w14:textId="77777777" w:rsidR="004E0D55" w:rsidRPr="004E0D55" w:rsidRDefault="004E0D55" w:rsidP="004E0D55">
      <w:r w:rsidRPr="004E0D55">
        <w:t xml:space="preserve">A existência da data de validade na rotulagem </w:t>
      </w:r>
      <w:r w:rsidRPr="004E0D55">
        <w:rPr>
          <w:b/>
          <w:bCs/>
        </w:rPr>
        <w:t>não significa necessariamente que ela estará disponível por uma bipagem convencional</w:t>
      </w:r>
      <w:r w:rsidRPr="004E0D55">
        <w:t>.</w:t>
      </w:r>
    </w:p>
    <w:p w14:paraId="56B6DDD8" w14:textId="77777777" w:rsidR="004E0D55" w:rsidRPr="004E0D55" w:rsidRDefault="004E0D55" w:rsidP="004E0D55">
      <w:r w:rsidRPr="004E0D55">
        <w:t xml:space="preserve">Da mesma forma, o fato de o GS1 </w:t>
      </w:r>
      <w:proofErr w:type="spellStart"/>
      <w:r w:rsidRPr="004E0D55">
        <w:t>DataMatrix</w:t>
      </w:r>
      <w:proofErr w:type="spellEnd"/>
      <w:r w:rsidRPr="004E0D55">
        <w:t xml:space="preserve"> ser capaz de armazenar lote e validade </w:t>
      </w:r>
      <w:r w:rsidRPr="004E0D55">
        <w:rPr>
          <w:b/>
          <w:bCs/>
        </w:rPr>
        <w:t>não significa que todos os produtos estejam utilizando esse padrão ou que todos os códigos contenham essas informações</w:t>
      </w:r>
      <w:r w:rsidRPr="004E0D55">
        <w:t>.</w:t>
      </w:r>
    </w:p>
    <w:p w14:paraId="40699D7B" w14:textId="77777777" w:rsidR="004E0D55" w:rsidRPr="004E0D55" w:rsidRDefault="004E0D55" w:rsidP="004E0D55">
      <w:r w:rsidRPr="004E0D55">
        <w:pict w14:anchorId="6EB7E58A">
          <v:rect id="_x0000_i1027" style="width:0;height:1.5pt" o:hralign="center" o:hrstd="t" o:hr="t" fillcolor="#a0a0a0" stroked="f"/>
        </w:pict>
      </w:r>
    </w:p>
    <w:p w14:paraId="2ECB54BF" w14:textId="77777777" w:rsidR="004E0D55" w:rsidRPr="004E0D55" w:rsidRDefault="004E0D55" w:rsidP="004E0D55">
      <w:pPr>
        <w:rPr>
          <w:b/>
          <w:bCs/>
        </w:rPr>
      </w:pPr>
      <w:r w:rsidRPr="004E0D55">
        <w:rPr>
          <w:b/>
          <w:bCs/>
        </w:rPr>
        <w:t>Relação com a dúvida sobre a bipagem</w:t>
      </w:r>
    </w:p>
    <w:p w14:paraId="497EEDCA" w14:textId="77777777" w:rsidR="004E0D55" w:rsidRPr="004E0D55" w:rsidRDefault="004E0D55" w:rsidP="004E0D55">
      <w:r w:rsidRPr="004E0D55">
        <w:t>A combinação das duas fontes ajuda a responder à pergunta:</w:t>
      </w:r>
    </w:p>
    <w:p w14:paraId="25754663" w14:textId="77777777" w:rsidR="004E0D55" w:rsidRPr="004E0D55" w:rsidRDefault="004E0D55" w:rsidP="004E0D55">
      <w:r w:rsidRPr="004E0D55">
        <w:rPr>
          <w:b/>
          <w:bCs/>
        </w:rPr>
        <w:t>A bipagem já retorna a data de validade?</w:t>
      </w:r>
    </w:p>
    <w:p w14:paraId="1F19FBF0" w14:textId="77777777" w:rsidR="004E0D55" w:rsidRPr="004E0D55" w:rsidRDefault="004E0D55" w:rsidP="004E0D55">
      <w:r w:rsidRPr="004E0D55">
        <w:t>A resposta deve ser tratada com cautela:</w:t>
      </w:r>
    </w:p>
    <w:p w14:paraId="42E2F3F7" w14:textId="77777777" w:rsidR="004E0D55" w:rsidRPr="004E0D55" w:rsidRDefault="004E0D55" w:rsidP="004E0D55">
      <w:r w:rsidRPr="004E0D55">
        <w:rPr>
          <w:b/>
          <w:bCs/>
        </w:rPr>
        <w:t>Depende do código utilizado no produto e da forma como os dados foram codificados e interpretados pelo sistema de leitura.</w:t>
      </w:r>
    </w:p>
    <w:p w14:paraId="17B6130A" w14:textId="77777777" w:rsidR="004E0D55" w:rsidRPr="004E0D55" w:rsidRDefault="004E0D55" w:rsidP="004E0D55">
      <w:r w:rsidRPr="004E0D55">
        <w:t>A informação de validade pode estar presente na rotulagem, mas uma leitura automática só poderá recuperar essa informação quando ela estiver disponível no código utilizado e quando o sistema for capaz de interpretá-la.</w:t>
      </w:r>
    </w:p>
    <w:p w14:paraId="3F0524F9" w14:textId="77777777" w:rsidR="004E0D55" w:rsidRPr="004E0D55" w:rsidRDefault="004E0D55" w:rsidP="004E0D55">
      <w:r w:rsidRPr="004E0D55">
        <w:t>Portanto:</w:t>
      </w:r>
    </w:p>
    <w:p w14:paraId="43684317" w14:textId="77777777" w:rsidR="004E0D55" w:rsidRPr="004E0D55" w:rsidRDefault="004E0D55" w:rsidP="004E0D55">
      <w:r w:rsidRPr="004E0D55">
        <w:rPr>
          <w:b/>
          <w:bCs/>
        </w:rPr>
        <w:t>Rotulagem com validade ≠ validade necessariamente disponível por bipagem.</w:t>
      </w:r>
    </w:p>
    <w:p w14:paraId="11E2B302" w14:textId="77777777" w:rsidR="004E0D55" w:rsidRPr="004E0D55" w:rsidRDefault="004E0D55" w:rsidP="004E0D55">
      <w:r w:rsidRPr="004E0D55">
        <w:t>E:</w:t>
      </w:r>
    </w:p>
    <w:p w14:paraId="40FA0B8C" w14:textId="77777777" w:rsidR="004E0D55" w:rsidRPr="004E0D55" w:rsidRDefault="004E0D55" w:rsidP="004E0D55">
      <w:r w:rsidRPr="004E0D55">
        <w:rPr>
          <w:b/>
          <w:bCs/>
        </w:rPr>
        <w:lastRenderedPageBreak/>
        <w:t>Código 2D capaz de armazenar validade ≠ todo produto possui validade codificada nesse formato.</w:t>
      </w:r>
    </w:p>
    <w:p w14:paraId="5399E010" w14:textId="77777777" w:rsidR="004E0D55" w:rsidRPr="004E0D55" w:rsidRDefault="004E0D55" w:rsidP="004E0D55">
      <w:r w:rsidRPr="004E0D55">
        <w:pict w14:anchorId="1FEDDCB7">
          <v:rect id="_x0000_i1028" style="width:0;height:1.5pt" o:hralign="center" o:hrstd="t" o:hr="t" fillcolor="#a0a0a0" stroked="f"/>
        </w:pict>
      </w:r>
    </w:p>
    <w:p w14:paraId="5135965C" w14:textId="77777777" w:rsidR="004E0D55" w:rsidRPr="004E0D55" w:rsidRDefault="004E0D55" w:rsidP="004E0D55">
      <w:pPr>
        <w:rPr>
          <w:b/>
          <w:bCs/>
        </w:rPr>
      </w:pPr>
      <w:r w:rsidRPr="004E0D55">
        <w:rPr>
          <w:b/>
          <w:bCs/>
        </w:rPr>
        <w:t>Relação entre GTIN, SKU, lote e validade</w:t>
      </w:r>
    </w:p>
    <w:p w14:paraId="0FD62B61" w14:textId="77777777" w:rsidR="004E0D55" w:rsidRPr="004E0D55" w:rsidRDefault="004E0D55" w:rsidP="004E0D55">
      <w:r w:rsidRPr="004E0D55">
        <w:t>As fontes também ajudam a diferenciar informações que podem cumprir funções diferentes no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5726"/>
      </w:tblGrid>
      <w:tr w:rsidR="004E0D55" w:rsidRPr="004E0D55" w14:paraId="3ACF85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AE78E" w14:textId="77777777" w:rsidR="004E0D55" w:rsidRPr="004E0D55" w:rsidRDefault="004E0D55" w:rsidP="004E0D55">
            <w:pPr>
              <w:rPr>
                <w:b/>
                <w:bCs/>
              </w:rPr>
            </w:pPr>
            <w:r w:rsidRPr="004E0D55">
              <w:rPr>
                <w:b/>
                <w:bCs/>
              </w:rPr>
              <w:t>Informação</w:t>
            </w:r>
          </w:p>
        </w:tc>
        <w:tc>
          <w:tcPr>
            <w:tcW w:w="0" w:type="auto"/>
            <w:vAlign w:val="center"/>
            <w:hideMark/>
          </w:tcPr>
          <w:p w14:paraId="22A1F8B9" w14:textId="77777777" w:rsidR="004E0D55" w:rsidRPr="004E0D55" w:rsidRDefault="004E0D55" w:rsidP="004E0D55">
            <w:pPr>
              <w:rPr>
                <w:b/>
                <w:bCs/>
              </w:rPr>
            </w:pPr>
            <w:r w:rsidRPr="004E0D55">
              <w:rPr>
                <w:b/>
                <w:bCs/>
              </w:rPr>
              <w:t xml:space="preserve">Possível função no </w:t>
            </w:r>
            <w:proofErr w:type="spellStart"/>
            <w:r w:rsidRPr="004E0D55">
              <w:rPr>
                <w:b/>
                <w:bCs/>
              </w:rPr>
              <w:t>Mottainai</w:t>
            </w:r>
            <w:proofErr w:type="spellEnd"/>
          </w:p>
        </w:tc>
      </w:tr>
      <w:tr w:rsidR="004E0D55" w:rsidRPr="004E0D55" w14:paraId="46830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FE36" w14:textId="77777777" w:rsidR="004E0D55" w:rsidRPr="004E0D55" w:rsidRDefault="004E0D55" w:rsidP="004E0D55">
            <w:r w:rsidRPr="004E0D55">
              <w:t>GTIN</w:t>
            </w:r>
          </w:p>
        </w:tc>
        <w:tc>
          <w:tcPr>
            <w:tcW w:w="0" w:type="auto"/>
            <w:vAlign w:val="center"/>
            <w:hideMark/>
          </w:tcPr>
          <w:p w14:paraId="137D3C68" w14:textId="77777777" w:rsidR="004E0D55" w:rsidRPr="004E0D55" w:rsidRDefault="004E0D55" w:rsidP="004E0D55">
            <w:r w:rsidRPr="004E0D55">
              <w:t>Identificação padronizada do produto</w:t>
            </w:r>
          </w:p>
        </w:tc>
      </w:tr>
      <w:tr w:rsidR="004E0D55" w:rsidRPr="004E0D55" w14:paraId="41762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8C586" w14:textId="77777777" w:rsidR="004E0D55" w:rsidRPr="004E0D55" w:rsidRDefault="004E0D55" w:rsidP="004E0D55">
            <w:r w:rsidRPr="004E0D55">
              <w:t>SKU</w:t>
            </w:r>
          </w:p>
        </w:tc>
        <w:tc>
          <w:tcPr>
            <w:tcW w:w="0" w:type="auto"/>
            <w:vAlign w:val="center"/>
            <w:hideMark/>
          </w:tcPr>
          <w:p w14:paraId="160E6645" w14:textId="77777777" w:rsidR="004E0D55" w:rsidRPr="004E0D55" w:rsidRDefault="004E0D55" w:rsidP="004E0D55">
            <w:r w:rsidRPr="004E0D55">
              <w:t>Identificação utilizada internamente no estoque</w:t>
            </w:r>
          </w:p>
        </w:tc>
      </w:tr>
      <w:tr w:rsidR="004E0D55" w:rsidRPr="004E0D55" w14:paraId="68DD6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57825" w14:textId="77777777" w:rsidR="004E0D55" w:rsidRPr="004E0D55" w:rsidRDefault="004E0D55" w:rsidP="004E0D55">
            <w:r w:rsidRPr="004E0D55">
              <w:t>Lote</w:t>
            </w:r>
          </w:p>
        </w:tc>
        <w:tc>
          <w:tcPr>
            <w:tcW w:w="0" w:type="auto"/>
            <w:vAlign w:val="center"/>
            <w:hideMark/>
          </w:tcPr>
          <w:p w14:paraId="173F0CDE" w14:textId="77777777" w:rsidR="004E0D55" w:rsidRPr="004E0D55" w:rsidRDefault="004E0D55" w:rsidP="004E0D55">
            <w:r w:rsidRPr="004E0D55">
              <w:t>Diferenciação de grupos de produtos</w:t>
            </w:r>
          </w:p>
        </w:tc>
      </w:tr>
      <w:tr w:rsidR="004E0D55" w:rsidRPr="004E0D55" w14:paraId="65A45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87B89" w14:textId="77777777" w:rsidR="004E0D55" w:rsidRPr="004E0D55" w:rsidRDefault="004E0D55" w:rsidP="004E0D55">
            <w:r w:rsidRPr="004E0D55">
              <w:t>Validade</w:t>
            </w:r>
          </w:p>
        </w:tc>
        <w:tc>
          <w:tcPr>
            <w:tcW w:w="0" w:type="auto"/>
            <w:vAlign w:val="center"/>
            <w:hideMark/>
          </w:tcPr>
          <w:p w14:paraId="3EE80213" w14:textId="77777777" w:rsidR="004E0D55" w:rsidRPr="004E0D55" w:rsidRDefault="004E0D55" w:rsidP="004E0D55">
            <w:r w:rsidRPr="004E0D55">
              <w:t>Controle do prazo restante</w:t>
            </w:r>
          </w:p>
        </w:tc>
      </w:tr>
      <w:tr w:rsidR="004E0D55" w:rsidRPr="004E0D55" w14:paraId="56156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8491" w14:textId="77777777" w:rsidR="004E0D55" w:rsidRPr="004E0D55" w:rsidRDefault="004E0D55" w:rsidP="004E0D55">
            <w:r w:rsidRPr="004E0D55">
              <w:t>Número de série</w:t>
            </w:r>
          </w:p>
        </w:tc>
        <w:tc>
          <w:tcPr>
            <w:tcW w:w="0" w:type="auto"/>
            <w:vAlign w:val="center"/>
            <w:hideMark/>
          </w:tcPr>
          <w:p w14:paraId="5E6EA74F" w14:textId="77777777" w:rsidR="004E0D55" w:rsidRPr="004E0D55" w:rsidRDefault="004E0D55" w:rsidP="004E0D55">
            <w:r w:rsidRPr="004E0D55">
              <w:t>Identificação individual, quando aplicável</w:t>
            </w:r>
          </w:p>
        </w:tc>
      </w:tr>
    </w:tbl>
    <w:p w14:paraId="0EF4F152" w14:textId="77777777" w:rsidR="004E0D55" w:rsidRPr="004E0D55" w:rsidRDefault="004E0D55" w:rsidP="004E0D55">
      <w:r w:rsidRPr="004E0D55">
        <w:t xml:space="preserve">Essa distinção é importante porque um mesmo produto identificado por determinado SKU ou GTIN pode possuir </w:t>
      </w:r>
      <w:r w:rsidRPr="004E0D55">
        <w:rPr>
          <w:b/>
          <w:bCs/>
        </w:rPr>
        <w:t>diferentes lotes e diferentes datas de validade</w:t>
      </w:r>
      <w:r w:rsidRPr="004E0D55">
        <w:t>.</w:t>
      </w:r>
    </w:p>
    <w:p w14:paraId="65DA9D4B" w14:textId="77777777" w:rsidR="004E0D55" w:rsidRPr="004E0D55" w:rsidRDefault="004E0D55" w:rsidP="004E0D55">
      <w:r w:rsidRPr="004E0D55">
        <w:t>Consequentemente, controlar somente o identificador do produto pode não ser suficiente para controlar corretamente o risco de vencimento.</w:t>
      </w:r>
    </w:p>
    <w:p w14:paraId="0ED14388" w14:textId="77777777" w:rsidR="004E0D55" w:rsidRPr="004E0D55" w:rsidRDefault="004E0D55" w:rsidP="004E0D55">
      <w:r w:rsidRPr="004E0D55">
        <w:pict w14:anchorId="03391C72">
          <v:rect id="_x0000_i1029" style="width:0;height:1.5pt" o:hralign="center" o:hrstd="t" o:hr="t" fillcolor="#a0a0a0" stroked="f"/>
        </w:pict>
      </w:r>
    </w:p>
    <w:p w14:paraId="0D18607F" w14:textId="77777777" w:rsidR="004E0D55" w:rsidRPr="004E0D55" w:rsidRDefault="004E0D55" w:rsidP="004E0D55">
      <w:pPr>
        <w:rPr>
          <w:b/>
          <w:bCs/>
        </w:rPr>
      </w:pPr>
      <w:r w:rsidRPr="004E0D55">
        <w:rPr>
          <w:b/>
          <w:bCs/>
        </w:rPr>
        <w:t xml:space="preserve">Relação com o </w:t>
      </w:r>
      <w:proofErr w:type="spellStart"/>
      <w:r w:rsidRPr="004E0D55">
        <w:rPr>
          <w:b/>
          <w:bCs/>
        </w:rPr>
        <w:t>Mottainai</w:t>
      </w:r>
      <w:proofErr w:type="spellEnd"/>
    </w:p>
    <w:p w14:paraId="7B3AA26D" w14:textId="77777777" w:rsidR="004E0D55" w:rsidRPr="004E0D55" w:rsidRDefault="004E0D55" w:rsidP="004E0D55">
      <w:r w:rsidRPr="004E0D55">
        <w:t xml:space="preserve">As fontes fornecem uma base para a ideia de que o </w:t>
      </w:r>
      <w:proofErr w:type="spellStart"/>
      <w:r w:rsidRPr="004E0D55">
        <w:t>Mottainai</w:t>
      </w:r>
      <w:proofErr w:type="spellEnd"/>
      <w:r w:rsidRPr="004E0D55">
        <w:t xml:space="preserve"> poderia trabalhar com informações estruturadas de identificação e validade quando elas estiverem disponíveis.</w:t>
      </w:r>
    </w:p>
    <w:p w14:paraId="13763BF1" w14:textId="77777777" w:rsidR="004E0D55" w:rsidRPr="004E0D55" w:rsidRDefault="004E0D55" w:rsidP="004E0D55">
      <w:r w:rsidRPr="004E0D55">
        <w:t>Uma possível estrutura conceitual seria:</w:t>
      </w:r>
    </w:p>
    <w:p w14:paraId="39E64845" w14:textId="77777777" w:rsidR="004E0D55" w:rsidRPr="004E0D55" w:rsidRDefault="004E0D55" w:rsidP="004E0D55">
      <w:r w:rsidRPr="004E0D55">
        <w:t>GTIN/SKU</w:t>
      </w:r>
    </w:p>
    <w:p w14:paraId="526F4FFD" w14:textId="77777777" w:rsidR="004E0D55" w:rsidRPr="004E0D55" w:rsidRDefault="004E0D55" w:rsidP="004E0D55">
      <w:r w:rsidRPr="004E0D55">
        <w:t xml:space="preserve">      ↓</w:t>
      </w:r>
    </w:p>
    <w:p w14:paraId="135C7D59" w14:textId="77777777" w:rsidR="004E0D55" w:rsidRPr="004E0D55" w:rsidRDefault="004E0D55" w:rsidP="004E0D55">
      <w:r w:rsidRPr="004E0D55">
        <w:t>Lote</w:t>
      </w:r>
    </w:p>
    <w:p w14:paraId="5E416A0A" w14:textId="77777777" w:rsidR="004E0D55" w:rsidRPr="004E0D55" w:rsidRDefault="004E0D55" w:rsidP="004E0D55">
      <w:r w:rsidRPr="004E0D55">
        <w:t xml:space="preserve">      ↓</w:t>
      </w:r>
    </w:p>
    <w:p w14:paraId="0E8DF001" w14:textId="77777777" w:rsidR="004E0D55" w:rsidRPr="004E0D55" w:rsidRDefault="004E0D55" w:rsidP="004E0D55">
      <w:r w:rsidRPr="004E0D55">
        <w:t>Validade</w:t>
      </w:r>
    </w:p>
    <w:p w14:paraId="763D1F31" w14:textId="77777777" w:rsidR="004E0D55" w:rsidRPr="004E0D55" w:rsidRDefault="004E0D55" w:rsidP="004E0D55">
      <w:r w:rsidRPr="004E0D55">
        <w:t xml:space="preserve">      ↓</w:t>
      </w:r>
    </w:p>
    <w:p w14:paraId="21E289EC" w14:textId="77777777" w:rsidR="004E0D55" w:rsidRPr="004E0D55" w:rsidRDefault="004E0D55" w:rsidP="004E0D55">
      <w:r w:rsidRPr="004E0D55">
        <w:t>Quantidade em estoque</w:t>
      </w:r>
    </w:p>
    <w:p w14:paraId="0AD1E49A" w14:textId="77777777" w:rsidR="004E0D55" w:rsidRPr="004E0D55" w:rsidRDefault="004E0D55" w:rsidP="004E0D55">
      <w:r w:rsidRPr="004E0D55">
        <w:t xml:space="preserve">      ↓</w:t>
      </w:r>
    </w:p>
    <w:p w14:paraId="313B8E76" w14:textId="77777777" w:rsidR="004E0D55" w:rsidRPr="004E0D55" w:rsidRDefault="004E0D55" w:rsidP="004E0D55">
      <w:r w:rsidRPr="004E0D55">
        <w:lastRenderedPageBreak/>
        <w:t>Quantidade na gôndola</w:t>
      </w:r>
    </w:p>
    <w:p w14:paraId="54D50647" w14:textId="77777777" w:rsidR="004E0D55" w:rsidRPr="004E0D55" w:rsidRDefault="004E0D55" w:rsidP="004E0D55">
      <w:r w:rsidRPr="004E0D55">
        <w:t xml:space="preserve">      ↓</w:t>
      </w:r>
    </w:p>
    <w:p w14:paraId="0B5EC197" w14:textId="77777777" w:rsidR="004E0D55" w:rsidRPr="004E0D55" w:rsidRDefault="004E0D55" w:rsidP="004E0D55">
      <w:r w:rsidRPr="004E0D55">
        <w:t>Fluxo de saída</w:t>
      </w:r>
    </w:p>
    <w:p w14:paraId="4D3571A1" w14:textId="77777777" w:rsidR="004E0D55" w:rsidRPr="004E0D55" w:rsidRDefault="004E0D55" w:rsidP="004E0D55">
      <w:r w:rsidRPr="004E0D55">
        <w:t xml:space="preserve">      ↓</w:t>
      </w:r>
    </w:p>
    <w:p w14:paraId="16551B09" w14:textId="77777777" w:rsidR="004E0D55" w:rsidRPr="004E0D55" w:rsidRDefault="004E0D55" w:rsidP="004E0D55">
      <w:r w:rsidRPr="004E0D55">
        <w:t>Identificação de risco</w:t>
      </w:r>
    </w:p>
    <w:p w14:paraId="59FAF12C" w14:textId="77777777" w:rsidR="004E0D55" w:rsidRPr="004E0D55" w:rsidRDefault="004E0D55" w:rsidP="004E0D55">
      <w:r w:rsidRPr="004E0D55">
        <w:t xml:space="preserve">Essa estrutura representa uma </w:t>
      </w:r>
      <w:r w:rsidRPr="004E0D55">
        <w:rPr>
          <w:b/>
          <w:bCs/>
        </w:rPr>
        <w:t>hipótese de utilização no projeto</w:t>
      </w:r>
      <w:r w:rsidRPr="004E0D55">
        <w:t>, e não uma funcionalidade comprovada.</w:t>
      </w:r>
    </w:p>
    <w:p w14:paraId="0B031B13" w14:textId="77777777" w:rsidR="004E0D55" w:rsidRPr="004E0D55" w:rsidRDefault="004E0D55" w:rsidP="004E0D55">
      <w:r w:rsidRPr="004E0D55">
        <w:t xml:space="preserve">O </w:t>
      </w:r>
      <w:proofErr w:type="spellStart"/>
      <w:r w:rsidRPr="004E0D55">
        <w:t>Mottainai</w:t>
      </w:r>
      <w:proofErr w:type="spellEnd"/>
      <w:r w:rsidRPr="004E0D55">
        <w:t xml:space="preserve"> poderia utilizar essas informações para:</w:t>
      </w:r>
    </w:p>
    <w:p w14:paraId="11326592" w14:textId="77777777" w:rsidR="004E0D55" w:rsidRPr="004E0D55" w:rsidRDefault="004E0D55" w:rsidP="004E0D55">
      <w:pPr>
        <w:numPr>
          <w:ilvl w:val="0"/>
          <w:numId w:val="4"/>
        </w:numPr>
      </w:pPr>
      <w:r w:rsidRPr="004E0D55">
        <w:t>identificar produtos;</w:t>
      </w:r>
    </w:p>
    <w:p w14:paraId="556F5852" w14:textId="77777777" w:rsidR="004E0D55" w:rsidRPr="004E0D55" w:rsidRDefault="004E0D55" w:rsidP="004E0D55">
      <w:pPr>
        <w:numPr>
          <w:ilvl w:val="0"/>
          <w:numId w:val="4"/>
        </w:numPr>
      </w:pPr>
      <w:r w:rsidRPr="004E0D55">
        <w:t>diferenciar lotes;</w:t>
      </w:r>
    </w:p>
    <w:p w14:paraId="2B9C2A2A" w14:textId="77777777" w:rsidR="004E0D55" w:rsidRPr="004E0D55" w:rsidRDefault="004E0D55" w:rsidP="004E0D55">
      <w:pPr>
        <w:numPr>
          <w:ilvl w:val="0"/>
          <w:numId w:val="4"/>
        </w:numPr>
      </w:pPr>
      <w:r w:rsidRPr="004E0D55">
        <w:t>acompanhar validade;</w:t>
      </w:r>
    </w:p>
    <w:p w14:paraId="210A6813" w14:textId="77777777" w:rsidR="004E0D55" w:rsidRPr="004E0D55" w:rsidRDefault="004E0D55" w:rsidP="004E0D55">
      <w:pPr>
        <w:numPr>
          <w:ilvl w:val="0"/>
          <w:numId w:val="4"/>
        </w:numPr>
      </w:pPr>
      <w:r w:rsidRPr="004E0D55">
        <w:t>apoiar a rastreabilidade;</w:t>
      </w:r>
    </w:p>
    <w:p w14:paraId="27475A13" w14:textId="77777777" w:rsidR="004E0D55" w:rsidRPr="004E0D55" w:rsidRDefault="004E0D55" w:rsidP="004E0D55">
      <w:pPr>
        <w:numPr>
          <w:ilvl w:val="0"/>
          <w:numId w:val="4"/>
        </w:numPr>
      </w:pPr>
      <w:r w:rsidRPr="004E0D55">
        <w:t>relacionar validade com estoque e fluxo de saída;</w:t>
      </w:r>
    </w:p>
    <w:p w14:paraId="77575514" w14:textId="77777777" w:rsidR="004E0D55" w:rsidRPr="004E0D55" w:rsidRDefault="004E0D55" w:rsidP="004E0D55">
      <w:pPr>
        <w:numPr>
          <w:ilvl w:val="0"/>
          <w:numId w:val="4"/>
        </w:numPr>
      </w:pPr>
      <w:r w:rsidRPr="004E0D55">
        <w:t>gerar alertas para produtos que exigem atenção.</w:t>
      </w:r>
    </w:p>
    <w:p w14:paraId="6C67D9B9" w14:textId="77777777" w:rsidR="004E0D55" w:rsidRPr="004E0D55" w:rsidRDefault="004E0D55" w:rsidP="004E0D55">
      <w:r w:rsidRPr="004E0D55">
        <w:t>Entretanto, as fontes não comprovam que todos esses dados estarão disponíveis automaticamente no ambiente real do projeto.</w:t>
      </w:r>
    </w:p>
    <w:p w14:paraId="671878FA" w14:textId="77777777" w:rsidR="004E0D55" w:rsidRPr="004E0D55" w:rsidRDefault="004E0D55" w:rsidP="004E0D55">
      <w:r w:rsidRPr="004E0D55">
        <w:pict w14:anchorId="4104EB39">
          <v:rect id="_x0000_i1030" style="width:0;height:1.5pt" o:hralign="center" o:hrstd="t" o:hr="t" fillcolor="#a0a0a0" stroked="f"/>
        </w:pict>
      </w:r>
    </w:p>
    <w:p w14:paraId="30E608E1" w14:textId="77777777" w:rsidR="004E0D55" w:rsidRPr="004E0D55" w:rsidRDefault="004E0D55" w:rsidP="004E0D55">
      <w:pPr>
        <w:rPr>
          <w:b/>
          <w:bCs/>
        </w:rPr>
      </w:pPr>
      <w:r w:rsidRPr="004E0D55">
        <w:rPr>
          <w:b/>
          <w:bCs/>
        </w:rPr>
        <w:t>Relação com rastreabilidade</w:t>
      </w:r>
    </w:p>
    <w:p w14:paraId="03EF7576" w14:textId="77777777" w:rsidR="004E0D55" w:rsidRPr="004E0D55" w:rsidRDefault="004E0D55" w:rsidP="004E0D55">
      <w:r w:rsidRPr="004E0D55">
        <w:t>A GS1 Brasil aponta que a utilização de dados estruturados em códigos padronizados pode favorecer a interoperabilidade entre sistemas e apoiar processos de rastreabilidade.</w:t>
      </w:r>
    </w:p>
    <w:p w14:paraId="1479DB8E" w14:textId="77777777" w:rsidR="004E0D55" w:rsidRPr="004E0D55" w:rsidRDefault="004E0D55" w:rsidP="004E0D55">
      <w:r w:rsidRPr="004E0D55">
        <w:t xml:space="preserve">No contexto do </w:t>
      </w:r>
      <w:proofErr w:type="spellStart"/>
      <w:r w:rsidRPr="004E0D55">
        <w:t>Mottainai</w:t>
      </w:r>
      <w:proofErr w:type="spellEnd"/>
      <w:r w:rsidRPr="004E0D55">
        <w:t>, isso poderia contribuir para acompanhar produtos durante etapas como:</w:t>
      </w:r>
    </w:p>
    <w:p w14:paraId="21E88618" w14:textId="77777777" w:rsidR="004E0D55" w:rsidRPr="004E0D55" w:rsidRDefault="004E0D55" w:rsidP="004E0D55">
      <w:pPr>
        <w:numPr>
          <w:ilvl w:val="0"/>
          <w:numId w:val="5"/>
        </w:numPr>
      </w:pPr>
      <w:r w:rsidRPr="004E0D55">
        <w:t>recebimento;</w:t>
      </w:r>
    </w:p>
    <w:p w14:paraId="706D0056" w14:textId="77777777" w:rsidR="004E0D55" w:rsidRPr="004E0D55" w:rsidRDefault="004E0D55" w:rsidP="004E0D55">
      <w:pPr>
        <w:numPr>
          <w:ilvl w:val="0"/>
          <w:numId w:val="5"/>
        </w:numPr>
      </w:pPr>
      <w:r w:rsidRPr="004E0D55">
        <w:t>armazenamento;</w:t>
      </w:r>
    </w:p>
    <w:p w14:paraId="20B2D73C" w14:textId="77777777" w:rsidR="004E0D55" w:rsidRPr="004E0D55" w:rsidRDefault="004E0D55" w:rsidP="004E0D55">
      <w:pPr>
        <w:numPr>
          <w:ilvl w:val="0"/>
          <w:numId w:val="5"/>
        </w:numPr>
      </w:pPr>
      <w:r w:rsidRPr="004E0D55">
        <w:t>movimentação;</w:t>
      </w:r>
    </w:p>
    <w:p w14:paraId="07F7D32B" w14:textId="77777777" w:rsidR="004E0D55" w:rsidRPr="004E0D55" w:rsidRDefault="004E0D55" w:rsidP="004E0D55">
      <w:pPr>
        <w:numPr>
          <w:ilvl w:val="0"/>
          <w:numId w:val="5"/>
        </w:numPr>
      </w:pPr>
      <w:r w:rsidRPr="004E0D55">
        <w:t>exposição;</w:t>
      </w:r>
    </w:p>
    <w:p w14:paraId="496CDF34" w14:textId="77777777" w:rsidR="004E0D55" w:rsidRPr="004E0D55" w:rsidRDefault="004E0D55" w:rsidP="004E0D55">
      <w:pPr>
        <w:numPr>
          <w:ilvl w:val="0"/>
          <w:numId w:val="5"/>
        </w:numPr>
      </w:pPr>
      <w:r w:rsidRPr="004E0D55">
        <w:t>venda;</w:t>
      </w:r>
    </w:p>
    <w:p w14:paraId="70BBABC6" w14:textId="77777777" w:rsidR="004E0D55" w:rsidRPr="004E0D55" w:rsidRDefault="004E0D55" w:rsidP="004E0D55">
      <w:pPr>
        <w:numPr>
          <w:ilvl w:val="0"/>
          <w:numId w:val="5"/>
        </w:numPr>
      </w:pPr>
      <w:r w:rsidRPr="004E0D55">
        <w:t>recolhimento ou descarte.</w:t>
      </w:r>
    </w:p>
    <w:p w14:paraId="6AB9BB9F" w14:textId="77777777" w:rsidR="004E0D55" w:rsidRPr="004E0D55" w:rsidRDefault="004E0D55" w:rsidP="004E0D55">
      <w:r w:rsidRPr="004E0D55">
        <w:t>Porém, essa aplicação depende da infraestrutura disponível, dos códigos utilizados pelos produtos e da integração entre os sistemas envolvidos.</w:t>
      </w:r>
    </w:p>
    <w:p w14:paraId="725FA3CB" w14:textId="77777777" w:rsidR="004E0D55" w:rsidRPr="004E0D55" w:rsidRDefault="004E0D55" w:rsidP="004E0D55">
      <w:r w:rsidRPr="004E0D55">
        <w:lastRenderedPageBreak/>
        <w:t xml:space="preserve">A fonte da GS1 </w:t>
      </w:r>
      <w:r w:rsidRPr="004E0D55">
        <w:rPr>
          <w:b/>
          <w:bCs/>
        </w:rPr>
        <w:t xml:space="preserve">não comprova que o </w:t>
      </w:r>
      <w:proofErr w:type="spellStart"/>
      <w:r w:rsidRPr="004E0D55">
        <w:rPr>
          <w:b/>
          <w:bCs/>
        </w:rPr>
        <w:t>Mottainai</w:t>
      </w:r>
      <w:proofErr w:type="spellEnd"/>
      <w:r w:rsidRPr="004E0D55">
        <w:rPr>
          <w:b/>
          <w:bCs/>
        </w:rPr>
        <w:t xml:space="preserve"> terá integração automática com um ERP específico ou que uma única leitura será registrada simultaneamente em dois sistemas</w:t>
      </w:r>
      <w:r w:rsidRPr="004E0D55">
        <w:t>.</w:t>
      </w:r>
    </w:p>
    <w:p w14:paraId="5A1B8533" w14:textId="77777777" w:rsidR="004E0D55" w:rsidRPr="004E0D55" w:rsidRDefault="004E0D55" w:rsidP="004E0D55">
      <w:r w:rsidRPr="004E0D55">
        <w:pict w14:anchorId="74C0D12F">
          <v:rect id="_x0000_i1031" style="width:0;height:1.5pt" o:hralign="center" o:hrstd="t" o:hr="t" fillcolor="#a0a0a0" stroked="f"/>
        </w:pict>
      </w:r>
    </w:p>
    <w:p w14:paraId="6CD1E970" w14:textId="77777777" w:rsidR="004E0D55" w:rsidRPr="004E0D55" w:rsidRDefault="004E0D55" w:rsidP="004E0D55">
      <w:pPr>
        <w:rPr>
          <w:b/>
          <w:bCs/>
        </w:rPr>
      </w:pPr>
      <w:r w:rsidRPr="004E0D55">
        <w:rPr>
          <w:b/>
          <w:bCs/>
        </w:rPr>
        <w:t>Relação com a dúvida sobre dois sistemas</w:t>
      </w:r>
    </w:p>
    <w:p w14:paraId="4BF56DD1" w14:textId="77777777" w:rsidR="004E0D55" w:rsidRPr="004E0D55" w:rsidRDefault="004E0D55" w:rsidP="004E0D55">
      <w:r w:rsidRPr="004E0D55">
        <w:t>As fontes permitem afirmar que padrões de identificação podem favorecer a interoperabilidade.</w:t>
      </w:r>
    </w:p>
    <w:p w14:paraId="2182B5C8" w14:textId="77777777" w:rsidR="004E0D55" w:rsidRPr="004E0D55" w:rsidRDefault="004E0D55" w:rsidP="004E0D55">
      <w:r w:rsidRPr="004E0D55">
        <w:t xml:space="preserve">Entretanto, elas </w:t>
      </w:r>
      <w:r w:rsidRPr="004E0D55">
        <w:rPr>
          <w:b/>
          <w:bCs/>
        </w:rPr>
        <w:t>não permitem concluir</w:t>
      </w:r>
      <w:r w:rsidRPr="004E0D55">
        <w:t xml:space="preserve"> que uma única bipagem será automaticamente registrada em dois sistemas.</w:t>
      </w:r>
    </w:p>
    <w:p w14:paraId="2E847EBE" w14:textId="77777777" w:rsidR="004E0D55" w:rsidRPr="004E0D55" w:rsidRDefault="004E0D55" w:rsidP="004E0D55">
      <w:r w:rsidRPr="004E0D55">
        <w:t>Para isso, seriam necessários mecanismos de integração, como:</w:t>
      </w:r>
    </w:p>
    <w:p w14:paraId="2BFF04A2" w14:textId="77777777" w:rsidR="004E0D55" w:rsidRPr="004E0D55" w:rsidRDefault="004E0D55" w:rsidP="004E0D55">
      <w:pPr>
        <w:numPr>
          <w:ilvl w:val="0"/>
          <w:numId w:val="6"/>
        </w:numPr>
      </w:pPr>
      <w:r w:rsidRPr="004E0D55">
        <w:t>comunicação entre sistemas;</w:t>
      </w:r>
    </w:p>
    <w:p w14:paraId="71618ADF" w14:textId="77777777" w:rsidR="004E0D55" w:rsidRPr="004E0D55" w:rsidRDefault="004E0D55" w:rsidP="004E0D55">
      <w:pPr>
        <w:numPr>
          <w:ilvl w:val="0"/>
          <w:numId w:val="6"/>
        </w:numPr>
      </w:pPr>
      <w:r w:rsidRPr="004E0D55">
        <w:t>configuração dos leitores;</w:t>
      </w:r>
    </w:p>
    <w:p w14:paraId="46198CEA" w14:textId="77777777" w:rsidR="004E0D55" w:rsidRPr="004E0D55" w:rsidRDefault="004E0D55" w:rsidP="004E0D55">
      <w:pPr>
        <w:numPr>
          <w:ilvl w:val="0"/>
          <w:numId w:val="6"/>
        </w:numPr>
      </w:pPr>
      <w:r w:rsidRPr="004E0D55">
        <w:t>APIs;</w:t>
      </w:r>
    </w:p>
    <w:p w14:paraId="5D3FC93E" w14:textId="77777777" w:rsidR="004E0D55" w:rsidRPr="004E0D55" w:rsidRDefault="004E0D55" w:rsidP="004E0D55">
      <w:pPr>
        <w:numPr>
          <w:ilvl w:val="0"/>
          <w:numId w:val="6"/>
        </w:numPr>
      </w:pPr>
      <w:r w:rsidRPr="004E0D55">
        <w:t>middleware;</w:t>
      </w:r>
    </w:p>
    <w:p w14:paraId="7318405D" w14:textId="77777777" w:rsidR="004E0D55" w:rsidRPr="004E0D55" w:rsidRDefault="004E0D55" w:rsidP="004E0D55">
      <w:pPr>
        <w:numPr>
          <w:ilvl w:val="0"/>
          <w:numId w:val="6"/>
        </w:numPr>
      </w:pPr>
      <w:r w:rsidRPr="004E0D55">
        <w:t>regras de sincronização;</w:t>
      </w:r>
    </w:p>
    <w:p w14:paraId="046A1EC2" w14:textId="77777777" w:rsidR="004E0D55" w:rsidRPr="004E0D55" w:rsidRDefault="004E0D55" w:rsidP="004E0D55">
      <w:pPr>
        <w:numPr>
          <w:ilvl w:val="0"/>
          <w:numId w:val="6"/>
        </w:numPr>
      </w:pPr>
      <w:r w:rsidRPr="004E0D55">
        <w:t>tratamento de erros;</w:t>
      </w:r>
    </w:p>
    <w:p w14:paraId="762AAC66" w14:textId="77777777" w:rsidR="004E0D55" w:rsidRPr="004E0D55" w:rsidRDefault="004E0D55" w:rsidP="004E0D55">
      <w:pPr>
        <w:numPr>
          <w:ilvl w:val="0"/>
          <w:numId w:val="6"/>
        </w:numPr>
      </w:pPr>
      <w:r w:rsidRPr="004E0D55">
        <w:t>definição da fonte principal dos dados.</w:t>
      </w:r>
    </w:p>
    <w:p w14:paraId="5E24C089" w14:textId="77777777" w:rsidR="004E0D55" w:rsidRPr="004E0D55" w:rsidRDefault="004E0D55" w:rsidP="004E0D55">
      <w:r w:rsidRPr="004E0D55">
        <w:t xml:space="preserve">Essa parte continua sendo uma </w:t>
      </w:r>
      <w:r w:rsidRPr="004E0D55">
        <w:rPr>
          <w:b/>
          <w:bCs/>
        </w:rPr>
        <w:t>questão técnica do projeto que exige fontes específicas sobre integração de sistemas e ERP</w:t>
      </w:r>
      <w:r w:rsidRPr="004E0D55">
        <w:t>.</w:t>
      </w:r>
    </w:p>
    <w:p w14:paraId="42FB2ECC" w14:textId="77777777" w:rsidR="004E0D55" w:rsidRPr="004E0D55" w:rsidRDefault="004E0D55" w:rsidP="004E0D55">
      <w:r w:rsidRPr="004E0D55">
        <w:pict w14:anchorId="2425E300">
          <v:rect id="_x0000_i1032" style="width:0;height:1.5pt" o:hralign="center" o:hrstd="t" o:hr="t" fillcolor="#a0a0a0" stroked="f"/>
        </w:pict>
      </w:r>
    </w:p>
    <w:p w14:paraId="393F1895" w14:textId="77777777" w:rsidR="004E0D55" w:rsidRPr="004E0D55" w:rsidRDefault="004E0D55" w:rsidP="004E0D55">
      <w:pPr>
        <w:rPr>
          <w:b/>
          <w:bCs/>
        </w:rPr>
      </w:pPr>
      <w:r w:rsidRPr="004E0D55">
        <w:rPr>
          <w:b/>
          <w:bCs/>
        </w:rPr>
        <w:t>Redução de erros</w:t>
      </w:r>
    </w:p>
    <w:p w14:paraId="449EE91D" w14:textId="77777777" w:rsidR="004E0D55" w:rsidRPr="004E0D55" w:rsidRDefault="004E0D55" w:rsidP="004E0D55">
      <w:r w:rsidRPr="004E0D55">
        <w:t>A utilização de códigos padronizados pode reduzir a necessidade de digitação manual quando os dados necessários estiverem corretamente codificados e o sistema for compatível com sua leitura.</w:t>
      </w:r>
    </w:p>
    <w:p w14:paraId="1F61E756" w14:textId="77777777" w:rsidR="004E0D55" w:rsidRPr="004E0D55" w:rsidRDefault="004E0D55" w:rsidP="004E0D55">
      <w:r w:rsidRPr="004E0D55">
        <w:t>Entretanto, isso não significa que a utilização do código elimine erros.</w:t>
      </w:r>
    </w:p>
    <w:p w14:paraId="09F49401" w14:textId="77777777" w:rsidR="004E0D55" w:rsidRPr="004E0D55" w:rsidRDefault="004E0D55" w:rsidP="004E0D55">
      <w:r w:rsidRPr="004E0D55">
        <w:t>A confiabilidade da informação dependerá de fatores como:</w:t>
      </w:r>
    </w:p>
    <w:p w14:paraId="06DEA1F7" w14:textId="77777777" w:rsidR="004E0D55" w:rsidRPr="004E0D55" w:rsidRDefault="004E0D55" w:rsidP="004E0D55">
      <w:pPr>
        <w:numPr>
          <w:ilvl w:val="0"/>
          <w:numId w:val="7"/>
        </w:numPr>
      </w:pPr>
      <w:r w:rsidRPr="004E0D55">
        <w:t>correta codificação dos dados;</w:t>
      </w:r>
    </w:p>
    <w:p w14:paraId="25F82BAB" w14:textId="77777777" w:rsidR="004E0D55" w:rsidRPr="004E0D55" w:rsidRDefault="004E0D55" w:rsidP="004E0D55">
      <w:pPr>
        <w:numPr>
          <w:ilvl w:val="0"/>
          <w:numId w:val="7"/>
        </w:numPr>
      </w:pPr>
      <w:r w:rsidRPr="004E0D55">
        <w:t>legibilidade do código;</w:t>
      </w:r>
    </w:p>
    <w:p w14:paraId="3CAFF5AB" w14:textId="77777777" w:rsidR="004E0D55" w:rsidRPr="004E0D55" w:rsidRDefault="004E0D55" w:rsidP="004E0D55">
      <w:pPr>
        <w:numPr>
          <w:ilvl w:val="0"/>
          <w:numId w:val="7"/>
        </w:numPr>
      </w:pPr>
      <w:r w:rsidRPr="004E0D55">
        <w:t>compatibilidade do leitor;</w:t>
      </w:r>
    </w:p>
    <w:p w14:paraId="457083F4" w14:textId="77777777" w:rsidR="004E0D55" w:rsidRPr="004E0D55" w:rsidRDefault="004E0D55" w:rsidP="004E0D55">
      <w:pPr>
        <w:numPr>
          <w:ilvl w:val="0"/>
          <w:numId w:val="7"/>
        </w:numPr>
      </w:pPr>
      <w:r w:rsidRPr="004E0D55">
        <w:t>interpretação correta dos campos;</w:t>
      </w:r>
    </w:p>
    <w:p w14:paraId="0882F186" w14:textId="77777777" w:rsidR="004E0D55" w:rsidRPr="004E0D55" w:rsidRDefault="004E0D55" w:rsidP="004E0D55">
      <w:pPr>
        <w:numPr>
          <w:ilvl w:val="0"/>
          <w:numId w:val="7"/>
        </w:numPr>
      </w:pPr>
      <w:r w:rsidRPr="004E0D55">
        <w:t>integração adequada;</w:t>
      </w:r>
    </w:p>
    <w:p w14:paraId="227858E7" w14:textId="77777777" w:rsidR="004E0D55" w:rsidRPr="004E0D55" w:rsidRDefault="004E0D55" w:rsidP="004E0D55">
      <w:pPr>
        <w:numPr>
          <w:ilvl w:val="0"/>
          <w:numId w:val="7"/>
        </w:numPr>
      </w:pPr>
      <w:r w:rsidRPr="004E0D55">
        <w:t>procedimento operacional utilizado.</w:t>
      </w:r>
    </w:p>
    <w:p w14:paraId="7DF76ABC" w14:textId="77777777" w:rsidR="004E0D55" w:rsidRPr="004E0D55" w:rsidRDefault="004E0D55" w:rsidP="004E0D55">
      <w:r w:rsidRPr="004E0D55">
        <w:lastRenderedPageBreak/>
        <w:pict w14:anchorId="5C823244">
          <v:rect id="_x0000_i1033" style="width:0;height:1.5pt" o:hralign="center" o:hrstd="t" o:hr="t" fillcolor="#a0a0a0" stroked="f"/>
        </w:pict>
      </w:r>
    </w:p>
    <w:p w14:paraId="17C69FD1" w14:textId="77777777" w:rsidR="004E0D55" w:rsidRPr="004E0D55" w:rsidRDefault="004E0D55" w:rsidP="004E0D55">
      <w:pPr>
        <w:rPr>
          <w:b/>
          <w:bCs/>
        </w:rPr>
      </w:pPr>
      <w:r w:rsidRPr="004E0D55">
        <w:rPr>
          <w:b/>
          <w:bCs/>
        </w:rPr>
        <w:t>Metodologia das fontes</w:t>
      </w:r>
    </w:p>
    <w:p w14:paraId="39EDCF98" w14:textId="77777777" w:rsidR="004E0D55" w:rsidRPr="004E0D55" w:rsidRDefault="004E0D55" w:rsidP="004E0D55">
      <w:r w:rsidRPr="004E0D55">
        <w:t>As duas fontes possuem naturezas diferentes.</w:t>
      </w:r>
    </w:p>
    <w:p w14:paraId="7341DCAC" w14:textId="77777777" w:rsidR="004E0D55" w:rsidRPr="004E0D55" w:rsidRDefault="004E0D55" w:rsidP="004E0D55">
      <w:pPr>
        <w:rPr>
          <w:b/>
          <w:bCs/>
        </w:rPr>
      </w:pPr>
      <w:r w:rsidRPr="004E0D55">
        <w:rPr>
          <w:b/>
          <w:bCs/>
        </w:rPr>
        <w:t>Anvisa</w:t>
      </w:r>
    </w:p>
    <w:p w14:paraId="40BBA640" w14:textId="77777777" w:rsidR="004E0D55" w:rsidRPr="004E0D55" w:rsidRDefault="004E0D55" w:rsidP="004E0D55">
      <w:r w:rsidRPr="004E0D55">
        <w:t>É uma fonte oficial e regulatória, adequada para compreender informações relacionadas à rotulagem de alimentos e às informações que devem estar presentes nos produtos.</w:t>
      </w:r>
    </w:p>
    <w:p w14:paraId="79E5B126" w14:textId="77777777" w:rsidR="004E0D55" w:rsidRPr="004E0D55" w:rsidRDefault="004E0D55" w:rsidP="004E0D55">
      <w:pPr>
        <w:rPr>
          <w:b/>
          <w:bCs/>
        </w:rPr>
      </w:pPr>
      <w:r w:rsidRPr="004E0D55">
        <w:rPr>
          <w:b/>
          <w:bCs/>
        </w:rPr>
        <w:t>GS1 Brasil</w:t>
      </w:r>
    </w:p>
    <w:p w14:paraId="7BC9FF14" w14:textId="77777777" w:rsidR="004E0D55" w:rsidRPr="004E0D55" w:rsidRDefault="004E0D55" w:rsidP="004E0D55">
      <w:r w:rsidRPr="004E0D55">
        <w:t xml:space="preserve">É uma fonte técnico-institucional voltada aos padrões de identificação e comunicação de produtos. É adequada para compreender o funcionamento e as possibilidades do GS1 </w:t>
      </w:r>
      <w:proofErr w:type="spellStart"/>
      <w:r w:rsidRPr="004E0D55">
        <w:t>DataMatrix</w:t>
      </w:r>
      <w:proofErr w:type="spellEnd"/>
      <w:r w:rsidRPr="004E0D55">
        <w:t>.</w:t>
      </w:r>
    </w:p>
    <w:p w14:paraId="0F4BA146" w14:textId="77777777" w:rsidR="004E0D55" w:rsidRPr="004E0D55" w:rsidRDefault="004E0D55" w:rsidP="004E0D55">
      <w:r w:rsidRPr="004E0D55">
        <w:t xml:space="preserve">Nenhuma das duas fontes representa um estudo de campo específico sobre o </w:t>
      </w:r>
      <w:proofErr w:type="spellStart"/>
      <w:r w:rsidRPr="004E0D55">
        <w:t>Mottainai</w:t>
      </w:r>
      <w:proofErr w:type="spellEnd"/>
      <w:r w:rsidRPr="004E0D55">
        <w:t xml:space="preserve"> ou uma validação independente da solução em supermercados.</w:t>
      </w:r>
    </w:p>
    <w:p w14:paraId="6376A968" w14:textId="77777777" w:rsidR="004E0D55" w:rsidRPr="004E0D55" w:rsidRDefault="004E0D55" w:rsidP="004E0D55">
      <w:r w:rsidRPr="004E0D55">
        <w:pict w14:anchorId="09CF4E8C">
          <v:rect id="_x0000_i1034" style="width:0;height:1.5pt" o:hralign="center" o:hrstd="t" o:hr="t" fillcolor="#a0a0a0" stroked="f"/>
        </w:pict>
      </w:r>
    </w:p>
    <w:p w14:paraId="5A4DF6B6" w14:textId="77777777" w:rsidR="004E0D55" w:rsidRPr="004E0D55" w:rsidRDefault="004E0D55" w:rsidP="004E0D55">
      <w:pPr>
        <w:rPr>
          <w:b/>
          <w:bCs/>
        </w:rPr>
      </w:pPr>
      <w:r w:rsidRPr="004E0D55">
        <w:rPr>
          <w:b/>
          <w:bCs/>
        </w:rPr>
        <w:t>Fonte, evidência e interpretação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6794"/>
      </w:tblGrid>
      <w:tr w:rsidR="004E0D55" w:rsidRPr="004E0D55" w14:paraId="777E26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E8E96" w14:textId="77777777" w:rsidR="004E0D55" w:rsidRPr="004E0D55" w:rsidRDefault="004E0D55" w:rsidP="004E0D55">
            <w:pPr>
              <w:rPr>
                <w:b/>
                <w:bCs/>
              </w:rPr>
            </w:pPr>
            <w:r w:rsidRPr="004E0D55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6FB114F6" w14:textId="77777777" w:rsidR="004E0D55" w:rsidRPr="004E0D55" w:rsidRDefault="004E0D55" w:rsidP="004E0D55">
            <w:pPr>
              <w:rPr>
                <w:b/>
                <w:bCs/>
              </w:rPr>
            </w:pPr>
            <w:r w:rsidRPr="004E0D55">
              <w:rPr>
                <w:b/>
                <w:bCs/>
              </w:rPr>
              <w:t>Conteúdo</w:t>
            </w:r>
          </w:p>
        </w:tc>
      </w:tr>
      <w:tr w:rsidR="004E0D55" w:rsidRPr="004E0D55" w14:paraId="14F3C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9A67A" w14:textId="77777777" w:rsidR="004E0D55" w:rsidRPr="004E0D55" w:rsidRDefault="004E0D55" w:rsidP="004E0D55">
            <w:r w:rsidRPr="004E0D55">
              <w:rPr>
                <w:b/>
                <w:bCs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30645A95" w14:textId="77777777" w:rsidR="004E0D55" w:rsidRPr="004E0D55" w:rsidRDefault="004E0D55" w:rsidP="004E0D55">
            <w:r w:rsidRPr="004E0D55">
              <w:t xml:space="preserve">A Anvisa apresenta informações relacionadas à rotulagem de alimentos, incluindo a data de validade. A GS1 Brasil explica que o GS1 </w:t>
            </w:r>
            <w:proofErr w:type="spellStart"/>
            <w:r w:rsidRPr="004E0D55">
              <w:t>DataMatrix</w:t>
            </w:r>
            <w:proofErr w:type="spellEnd"/>
            <w:r w:rsidRPr="004E0D55">
              <w:t xml:space="preserve"> pode estruturar GTIN, lote, validade e outros dados.</w:t>
            </w:r>
          </w:p>
        </w:tc>
      </w:tr>
      <w:tr w:rsidR="004E0D55" w:rsidRPr="004E0D55" w14:paraId="08221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EC18D" w14:textId="77777777" w:rsidR="004E0D55" w:rsidRPr="004E0D55" w:rsidRDefault="004E0D55" w:rsidP="004E0D55">
            <w:r w:rsidRPr="004E0D55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67B43A01" w14:textId="77777777" w:rsidR="004E0D55" w:rsidRPr="004E0D55" w:rsidRDefault="004E0D55" w:rsidP="004E0D55">
            <w:r w:rsidRPr="004E0D55">
              <w:t>A validade pode fazer parte das informações do produto e padrões 2D podem estruturar dados adicionais para leitura automatizada.</w:t>
            </w:r>
          </w:p>
        </w:tc>
      </w:tr>
      <w:tr w:rsidR="004E0D55" w:rsidRPr="004E0D55" w14:paraId="04A77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A1E9" w14:textId="77777777" w:rsidR="004E0D55" w:rsidRPr="004E0D55" w:rsidRDefault="004E0D55" w:rsidP="004E0D55">
            <w:r w:rsidRPr="004E0D55">
              <w:rPr>
                <w:b/>
                <w:bCs/>
              </w:rPr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7AB81FC3" w14:textId="77777777" w:rsidR="004E0D55" w:rsidRPr="004E0D55" w:rsidRDefault="004E0D55" w:rsidP="004E0D55">
            <w:r w:rsidRPr="004E0D55">
              <w:t xml:space="preserve">O </w:t>
            </w:r>
            <w:proofErr w:type="spellStart"/>
            <w:r w:rsidRPr="004E0D55">
              <w:t>Mottainai</w:t>
            </w:r>
            <w:proofErr w:type="spellEnd"/>
            <w:r w:rsidRPr="004E0D55">
              <w:t xml:space="preserve"> poderia utilizar essas informações, quando disponíveis, para relacionar identificação, lote e validade ao controle de estoque e à identificação de riscos.</w:t>
            </w:r>
          </w:p>
        </w:tc>
      </w:tr>
    </w:tbl>
    <w:p w14:paraId="28966070" w14:textId="77777777" w:rsidR="004E0D55" w:rsidRPr="004E0D55" w:rsidRDefault="004E0D55" w:rsidP="004E0D55">
      <w:r w:rsidRPr="004E0D55">
        <w:pict w14:anchorId="7104FD4A">
          <v:rect id="_x0000_i1035" style="width:0;height:1.5pt" o:hralign="center" o:hrstd="t" o:hr="t" fillcolor="#a0a0a0" stroked="f"/>
        </w:pict>
      </w:r>
    </w:p>
    <w:p w14:paraId="2BFE67C7" w14:textId="77777777" w:rsidR="004E0D55" w:rsidRPr="004E0D55" w:rsidRDefault="004E0D55" w:rsidP="004E0D55">
      <w:pPr>
        <w:rPr>
          <w:b/>
          <w:bCs/>
        </w:rPr>
      </w:pPr>
      <w:r w:rsidRPr="004E0D55">
        <w:rPr>
          <w:b/>
          <w:bCs/>
        </w:rPr>
        <w:t>O que as fontes permitem compreender</w:t>
      </w:r>
    </w:p>
    <w:p w14:paraId="59E014E2" w14:textId="77777777" w:rsidR="004E0D55" w:rsidRPr="004E0D55" w:rsidRDefault="004E0D55" w:rsidP="004E0D55">
      <w:r w:rsidRPr="004E0D55">
        <w:t>As fontes permitem compreender que:</w:t>
      </w:r>
    </w:p>
    <w:p w14:paraId="048E08E8" w14:textId="77777777" w:rsidR="004E0D55" w:rsidRPr="004E0D55" w:rsidRDefault="004E0D55" w:rsidP="004E0D55">
      <w:pPr>
        <w:numPr>
          <w:ilvl w:val="0"/>
          <w:numId w:val="8"/>
        </w:numPr>
      </w:pPr>
      <w:r w:rsidRPr="004E0D55">
        <w:t>a validade é uma informação relevante na identificação dos alimentos;</w:t>
      </w:r>
    </w:p>
    <w:p w14:paraId="57F867D9" w14:textId="77777777" w:rsidR="004E0D55" w:rsidRPr="004E0D55" w:rsidRDefault="004E0D55" w:rsidP="004E0D55">
      <w:pPr>
        <w:numPr>
          <w:ilvl w:val="0"/>
          <w:numId w:val="8"/>
        </w:numPr>
      </w:pPr>
      <w:r w:rsidRPr="004E0D55">
        <w:lastRenderedPageBreak/>
        <w:t>produtos podem possuir informações estruturadas de identificação e rastreabilidade;</w:t>
      </w:r>
    </w:p>
    <w:p w14:paraId="6FB4D92E" w14:textId="77777777" w:rsidR="004E0D55" w:rsidRPr="004E0D55" w:rsidRDefault="004E0D55" w:rsidP="004E0D55">
      <w:pPr>
        <w:numPr>
          <w:ilvl w:val="0"/>
          <w:numId w:val="8"/>
        </w:numPr>
      </w:pPr>
      <w:r w:rsidRPr="004E0D55">
        <w:t>códigos 2D podem armazenar informações adicionais além de uma simples identificação;</w:t>
      </w:r>
    </w:p>
    <w:p w14:paraId="07FCA264" w14:textId="77777777" w:rsidR="004E0D55" w:rsidRPr="004E0D55" w:rsidRDefault="004E0D55" w:rsidP="004E0D55">
      <w:pPr>
        <w:numPr>
          <w:ilvl w:val="0"/>
          <w:numId w:val="8"/>
        </w:numPr>
      </w:pPr>
      <w:r w:rsidRPr="004E0D55">
        <w:t>GTIN, lote e validade podem ser associados em uma estrutura padronizada;</w:t>
      </w:r>
    </w:p>
    <w:p w14:paraId="01EE805E" w14:textId="77777777" w:rsidR="004E0D55" w:rsidRPr="004E0D55" w:rsidRDefault="004E0D55" w:rsidP="004E0D55">
      <w:pPr>
        <w:numPr>
          <w:ilvl w:val="0"/>
          <w:numId w:val="8"/>
        </w:numPr>
      </w:pPr>
      <w:r w:rsidRPr="004E0D55">
        <w:t>a leitura automatizada pode reduzir a necessidade de digitação quando houver compatibilidade;</w:t>
      </w:r>
    </w:p>
    <w:p w14:paraId="35BF45CE" w14:textId="77777777" w:rsidR="004E0D55" w:rsidRPr="004E0D55" w:rsidRDefault="004E0D55" w:rsidP="004E0D55">
      <w:pPr>
        <w:numPr>
          <w:ilvl w:val="0"/>
          <w:numId w:val="8"/>
        </w:numPr>
      </w:pPr>
      <w:r w:rsidRPr="004E0D55">
        <w:t>padrões de identificação podem favorecer a interoperabilidade entre sistemas;</w:t>
      </w:r>
    </w:p>
    <w:p w14:paraId="05E5B766" w14:textId="77777777" w:rsidR="004E0D55" w:rsidRPr="004E0D55" w:rsidRDefault="004E0D55" w:rsidP="004E0D55">
      <w:pPr>
        <w:numPr>
          <w:ilvl w:val="0"/>
          <w:numId w:val="8"/>
        </w:numPr>
      </w:pPr>
      <w:r w:rsidRPr="004E0D55">
        <w:t>essas informações podem ser úteis para controle de estoque e rastreabilidade.</w:t>
      </w:r>
    </w:p>
    <w:p w14:paraId="58B97A14" w14:textId="77777777" w:rsidR="004E0D55" w:rsidRPr="004E0D55" w:rsidRDefault="004E0D55" w:rsidP="004E0D55">
      <w:r w:rsidRPr="004E0D55">
        <w:pict w14:anchorId="6775F512">
          <v:rect id="_x0000_i1036" style="width:0;height:1.5pt" o:hralign="center" o:hrstd="t" o:hr="t" fillcolor="#a0a0a0" stroked="f"/>
        </w:pict>
      </w:r>
    </w:p>
    <w:p w14:paraId="5E8D29AE" w14:textId="77777777" w:rsidR="004E0D55" w:rsidRPr="004E0D55" w:rsidRDefault="004E0D55" w:rsidP="004E0D55">
      <w:pPr>
        <w:rPr>
          <w:b/>
          <w:bCs/>
        </w:rPr>
      </w:pPr>
      <w:r w:rsidRPr="004E0D55">
        <w:rPr>
          <w:b/>
          <w:bCs/>
        </w:rPr>
        <w:t>O que as fontes não permitem concluir</w:t>
      </w:r>
    </w:p>
    <w:p w14:paraId="6884DEEF" w14:textId="77777777" w:rsidR="004E0D55" w:rsidRPr="004E0D55" w:rsidRDefault="004E0D55" w:rsidP="004E0D55">
      <w:r w:rsidRPr="004E0D55">
        <w:t>Não é possível concluir apenas com essas fontes que:</w:t>
      </w:r>
    </w:p>
    <w:p w14:paraId="4C697826" w14:textId="77777777" w:rsidR="004E0D55" w:rsidRPr="004E0D55" w:rsidRDefault="004E0D55" w:rsidP="004E0D55">
      <w:pPr>
        <w:numPr>
          <w:ilvl w:val="0"/>
          <w:numId w:val="9"/>
        </w:numPr>
      </w:pPr>
      <w:r w:rsidRPr="004E0D55">
        <w:t>todos os produtos terão validade disponível por bipagem;</w:t>
      </w:r>
    </w:p>
    <w:p w14:paraId="05333747" w14:textId="77777777" w:rsidR="004E0D55" w:rsidRPr="004E0D55" w:rsidRDefault="004E0D55" w:rsidP="004E0D55">
      <w:pPr>
        <w:numPr>
          <w:ilvl w:val="0"/>
          <w:numId w:val="9"/>
        </w:numPr>
      </w:pPr>
      <w:r w:rsidRPr="004E0D55">
        <w:t xml:space="preserve">todos os produtos utilizarão GS1 </w:t>
      </w:r>
      <w:proofErr w:type="spellStart"/>
      <w:r w:rsidRPr="004E0D55">
        <w:t>DataMatrix</w:t>
      </w:r>
      <w:proofErr w:type="spellEnd"/>
      <w:r w:rsidRPr="004E0D55">
        <w:t>;</w:t>
      </w:r>
    </w:p>
    <w:p w14:paraId="18DC60BC" w14:textId="77777777" w:rsidR="004E0D55" w:rsidRPr="004E0D55" w:rsidRDefault="004E0D55" w:rsidP="004E0D55">
      <w:pPr>
        <w:numPr>
          <w:ilvl w:val="0"/>
          <w:numId w:val="9"/>
        </w:numPr>
      </w:pPr>
      <w:r w:rsidRPr="004E0D55">
        <w:t>o código disponível nos produtos do projeto conterá lote e validade;</w:t>
      </w:r>
    </w:p>
    <w:p w14:paraId="5977B9C7" w14:textId="77777777" w:rsidR="004E0D55" w:rsidRPr="004E0D55" w:rsidRDefault="004E0D55" w:rsidP="004E0D55">
      <w:pPr>
        <w:numPr>
          <w:ilvl w:val="0"/>
          <w:numId w:val="9"/>
        </w:numPr>
      </w:pPr>
      <w:r w:rsidRPr="004E0D55">
        <w:t>o leitor atualmente utilizado pelo varejista será compatível;</w:t>
      </w:r>
    </w:p>
    <w:p w14:paraId="611EEAF2" w14:textId="77777777" w:rsidR="004E0D55" w:rsidRPr="004E0D55" w:rsidRDefault="004E0D55" w:rsidP="004E0D55">
      <w:pPr>
        <w:numPr>
          <w:ilvl w:val="0"/>
          <w:numId w:val="9"/>
        </w:numPr>
      </w:pPr>
      <w:r w:rsidRPr="004E0D55">
        <w:t>o SAP aceitará automaticamente essas informações;</w:t>
      </w:r>
    </w:p>
    <w:p w14:paraId="7A283614" w14:textId="77777777" w:rsidR="004E0D55" w:rsidRPr="004E0D55" w:rsidRDefault="004E0D55" w:rsidP="004E0D55">
      <w:pPr>
        <w:numPr>
          <w:ilvl w:val="0"/>
          <w:numId w:val="9"/>
        </w:numPr>
      </w:pPr>
      <w:r w:rsidRPr="004E0D55">
        <w:t>uma única bipagem alimentará dois sistemas;</w:t>
      </w:r>
    </w:p>
    <w:p w14:paraId="73AF9A3E" w14:textId="77777777" w:rsidR="004E0D55" w:rsidRPr="004E0D55" w:rsidRDefault="004E0D55" w:rsidP="004E0D55">
      <w:pPr>
        <w:numPr>
          <w:ilvl w:val="0"/>
          <w:numId w:val="9"/>
        </w:numPr>
      </w:pPr>
      <w:r w:rsidRPr="004E0D55">
        <w:t xml:space="preserve">o uso do </w:t>
      </w:r>
      <w:proofErr w:type="spellStart"/>
      <w:r w:rsidRPr="004E0D55">
        <w:t>DataMatrix</w:t>
      </w:r>
      <w:proofErr w:type="spellEnd"/>
      <w:r w:rsidRPr="004E0D55">
        <w:t xml:space="preserve"> reduzirá determinado percentual de desperdício;</w:t>
      </w:r>
    </w:p>
    <w:p w14:paraId="32BD3BD4" w14:textId="77777777" w:rsidR="004E0D55" w:rsidRPr="004E0D55" w:rsidRDefault="004E0D55" w:rsidP="004E0D55">
      <w:pPr>
        <w:numPr>
          <w:ilvl w:val="0"/>
          <w:numId w:val="9"/>
        </w:numPr>
      </w:pPr>
      <w:r w:rsidRPr="004E0D55">
        <w:t xml:space="preserve">o </w:t>
      </w:r>
      <w:proofErr w:type="spellStart"/>
      <w:r w:rsidRPr="004E0D55">
        <w:t>Mottainai</w:t>
      </w:r>
      <w:proofErr w:type="spellEnd"/>
      <w:r w:rsidRPr="004E0D55">
        <w:t xml:space="preserve"> já possui essa integração implementada;</w:t>
      </w:r>
    </w:p>
    <w:p w14:paraId="20ACFEDF" w14:textId="77777777" w:rsidR="004E0D55" w:rsidRPr="004E0D55" w:rsidRDefault="004E0D55" w:rsidP="004E0D55">
      <w:pPr>
        <w:numPr>
          <w:ilvl w:val="0"/>
          <w:numId w:val="9"/>
        </w:numPr>
      </w:pPr>
      <w:r w:rsidRPr="004E0D55">
        <w:t>a solução já foi validada em supermercados.</w:t>
      </w:r>
    </w:p>
    <w:p w14:paraId="27BA7619" w14:textId="77777777" w:rsidR="004E0D55" w:rsidRPr="004E0D55" w:rsidRDefault="004E0D55" w:rsidP="004E0D55">
      <w:r w:rsidRPr="004E0D55">
        <w:pict w14:anchorId="334790AD">
          <v:rect id="_x0000_i1037" style="width:0;height:1.5pt" o:hralign="center" o:hrstd="t" o:hr="t" fillcolor="#a0a0a0" stroked="f"/>
        </w:pict>
      </w:r>
    </w:p>
    <w:p w14:paraId="375162B1" w14:textId="77777777" w:rsidR="004E0D55" w:rsidRPr="004E0D55" w:rsidRDefault="004E0D55" w:rsidP="004E0D55">
      <w:pPr>
        <w:rPr>
          <w:b/>
          <w:bCs/>
        </w:rPr>
      </w:pPr>
      <w:r w:rsidRPr="004E0D55">
        <w:rPr>
          <w:b/>
          <w:bCs/>
        </w:rPr>
        <w:t>Limitações</w:t>
      </w:r>
    </w:p>
    <w:p w14:paraId="4843F053" w14:textId="77777777" w:rsidR="004E0D55" w:rsidRPr="004E0D55" w:rsidRDefault="004E0D55" w:rsidP="004E0D55">
      <w:r w:rsidRPr="004E0D55">
        <w:t>As principais limitações da análise são:</w:t>
      </w:r>
    </w:p>
    <w:p w14:paraId="716779B0" w14:textId="77777777" w:rsidR="004E0D55" w:rsidRPr="004E0D55" w:rsidRDefault="004E0D55" w:rsidP="004E0D55">
      <w:pPr>
        <w:numPr>
          <w:ilvl w:val="0"/>
          <w:numId w:val="10"/>
        </w:numPr>
      </w:pPr>
      <w:r w:rsidRPr="004E0D55">
        <w:t>a fonte da Anvisa possui caráter oficial e regulatório, mas não comprova o funcionamento de uma solução de bipagem;</w:t>
      </w:r>
    </w:p>
    <w:p w14:paraId="29B45777" w14:textId="77777777" w:rsidR="004E0D55" w:rsidRPr="004E0D55" w:rsidRDefault="004E0D55" w:rsidP="004E0D55">
      <w:pPr>
        <w:numPr>
          <w:ilvl w:val="0"/>
          <w:numId w:val="10"/>
        </w:numPr>
      </w:pPr>
      <w:r w:rsidRPr="004E0D55">
        <w:t>a GS1 Brasil explica as capacidades e aplicações do padrão, mas não comprova sua utilização universal nos produtos analisados pelo projeto;</w:t>
      </w:r>
    </w:p>
    <w:p w14:paraId="068C33E5" w14:textId="77777777" w:rsidR="004E0D55" w:rsidRPr="004E0D55" w:rsidRDefault="004E0D55" w:rsidP="004E0D55">
      <w:pPr>
        <w:numPr>
          <w:ilvl w:val="0"/>
          <w:numId w:val="10"/>
        </w:numPr>
      </w:pPr>
      <w:r w:rsidRPr="004E0D55">
        <w:t xml:space="preserve">nenhuma das fontes valida o funcionamento do </w:t>
      </w:r>
      <w:proofErr w:type="spellStart"/>
      <w:r w:rsidRPr="004E0D55">
        <w:t>Mottainai</w:t>
      </w:r>
      <w:proofErr w:type="spellEnd"/>
      <w:r w:rsidRPr="004E0D55">
        <w:t xml:space="preserve"> em ambiente real;</w:t>
      </w:r>
    </w:p>
    <w:p w14:paraId="4BAF8C7E" w14:textId="77777777" w:rsidR="004E0D55" w:rsidRPr="004E0D55" w:rsidRDefault="004E0D55" w:rsidP="004E0D55">
      <w:pPr>
        <w:numPr>
          <w:ilvl w:val="0"/>
          <w:numId w:val="10"/>
        </w:numPr>
      </w:pPr>
      <w:r w:rsidRPr="004E0D55">
        <w:t>as fontes não explicam a integração específica com SAP;</w:t>
      </w:r>
    </w:p>
    <w:p w14:paraId="28AD8F5F" w14:textId="77777777" w:rsidR="004E0D55" w:rsidRPr="004E0D55" w:rsidRDefault="004E0D55" w:rsidP="004E0D55">
      <w:pPr>
        <w:numPr>
          <w:ilvl w:val="0"/>
          <w:numId w:val="10"/>
        </w:numPr>
      </w:pPr>
      <w:r w:rsidRPr="004E0D55">
        <w:t>não há comprovação de que todos os fornecedores disponibilizarão lote e validade em códigos compatíveis;</w:t>
      </w:r>
    </w:p>
    <w:p w14:paraId="256201EF" w14:textId="77777777" w:rsidR="004E0D55" w:rsidRPr="004E0D55" w:rsidRDefault="004E0D55" w:rsidP="004E0D55">
      <w:pPr>
        <w:numPr>
          <w:ilvl w:val="0"/>
          <w:numId w:val="10"/>
        </w:numPr>
      </w:pPr>
      <w:r w:rsidRPr="004E0D55">
        <w:lastRenderedPageBreak/>
        <w:t>não é possível concluir, somente a partir dessas fontes, que a leitura automática reduzirá desperdícios;</w:t>
      </w:r>
    </w:p>
    <w:p w14:paraId="3BF1002C" w14:textId="77777777" w:rsidR="004E0D55" w:rsidRPr="004E0D55" w:rsidRDefault="004E0D55" w:rsidP="004E0D55">
      <w:pPr>
        <w:numPr>
          <w:ilvl w:val="0"/>
          <w:numId w:val="10"/>
        </w:numPr>
      </w:pPr>
      <w:r w:rsidRPr="004E0D55">
        <w:t>a presença de uma informação na embalagem não garante sua disponibilidade automática em um sistema.</w:t>
      </w:r>
    </w:p>
    <w:p w14:paraId="27A0635D" w14:textId="77777777" w:rsidR="004E0D55" w:rsidRPr="004E0D55" w:rsidRDefault="004E0D55" w:rsidP="004E0D55">
      <w:r w:rsidRPr="004E0D55">
        <w:pict w14:anchorId="5B860E38">
          <v:rect id="_x0000_i1038" style="width:0;height:1.5pt" o:hralign="center" o:hrstd="t" o:hr="t" fillcolor="#a0a0a0" stroked="f"/>
        </w:pict>
      </w:r>
    </w:p>
    <w:p w14:paraId="4F10B649" w14:textId="77777777" w:rsidR="004E0D55" w:rsidRPr="004E0D55" w:rsidRDefault="004E0D55" w:rsidP="004E0D55">
      <w:pPr>
        <w:rPr>
          <w:b/>
          <w:bCs/>
        </w:rPr>
      </w:pPr>
      <w:r w:rsidRPr="004E0D55">
        <w:rPr>
          <w:b/>
          <w:bCs/>
        </w:rPr>
        <w:t>Confiabilidade</w:t>
      </w:r>
    </w:p>
    <w:p w14:paraId="4F2DDDA5" w14:textId="77777777" w:rsidR="004E0D55" w:rsidRPr="004E0D55" w:rsidRDefault="004E0D55" w:rsidP="004E0D55">
      <w:pPr>
        <w:rPr>
          <w:b/>
          <w:bCs/>
        </w:rPr>
      </w:pPr>
      <w:r w:rsidRPr="004E0D55">
        <w:rPr>
          <w:b/>
          <w:bCs/>
        </w:rPr>
        <w:t>Anvisa — Alta para informações regulatórias e de rotulagem</w:t>
      </w:r>
    </w:p>
    <w:p w14:paraId="2D9CD597" w14:textId="77777777" w:rsidR="004E0D55" w:rsidRPr="004E0D55" w:rsidRDefault="004E0D55" w:rsidP="004E0D55">
      <w:r w:rsidRPr="004E0D55">
        <w:t>A fonte é adequada para fundamentar informações institucionais e regulatórias relacionadas à rotulagem de alimentos.</w:t>
      </w:r>
    </w:p>
    <w:p w14:paraId="74BAC2BE" w14:textId="77777777" w:rsidR="004E0D55" w:rsidRPr="004E0D55" w:rsidRDefault="004E0D55" w:rsidP="004E0D55">
      <w:pPr>
        <w:rPr>
          <w:b/>
          <w:bCs/>
        </w:rPr>
      </w:pPr>
      <w:r w:rsidRPr="004E0D55">
        <w:rPr>
          <w:b/>
          <w:bCs/>
        </w:rPr>
        <w:t>GS1 Brasil — Alta para o funcionamento do padrão GS1</w:t>
      </w:r>
    </w:p>
    <w:p w14:paraId="3BCDD867" w14:textId="77777777" w:rsidR="004E0D55" w:rsidRPr="004E0D55" w:rsidRDefault="004E0D55" w:rsidP="004E0D55">
      <w:r w:rsidRPr="004E0D55">
        <w:t>A GS1 é a organização responsável pelos padrões globais de identificação e comunicação de produtos, sendo a GS1 Brasil a entidade nacional relacionada a esses padrões.</w:t>
      </w:r>
    </w:p>
    <w:p w14:paraId="62F3B81D" w14:textId="77777777" w:rsidR="004E0D55" w:rsidRPr="004E0D55" w:rsidRDefault="004E0D55" w:rsidP="004E0D55">
      <w:r w:rsidRPr="004E0D55">
        <w:t xml:space="preserve">A fonte é adequada para explicar o funcionamento e as possibilidades do GS1 </w:t>
      </w:r>
      <w:proofErr w:type="spellStart"/>
      <w:r w:rsidRPr="004E0D55">
        <w:t>DataMatrix</w:t>
      </w:r>
      <w:proofErr w:type="spellEnd"/>
      <w:r w:rsidRPr="004E0D55">
        <w:t>.</w:t>
      </w:r>
    </w:p>
    <w:p w14:paraId="3AEB226D" w14:textId="77777777" w:rsidR="004E0D55" w:rsidRPr="004E0D55" w:rsidRDefault="004E0D55" w:rsidP="004E0D55">
      <w:pPr>
        <w:rPr>
          <w:b/>
          <w:bCs/>
        </w:rPr>
      </w:pPr>
      <w:r w:rsidRPr="004E0D55">
        <w:rPr>
          <w:b/>
          <w:bCs/>
        </w:rPr>
        <w:t>Limitação da confiabilidade</w:t>
      </w:r>
    </w:p>
    <w:p w14:paraId="69948D08" w14:textId="77777777" w:rsidR="004E0D55" w:rsidRPr="004E0D55" w:rsidRDefault="004E0D55" w:rsidP="004E0D55">
      <w:r w:rsidRPr="004E0D55">
        <w:t xml:space="preserve">A alta confiabilidade dessas fontes é </w:t>
      </w:r>
      <w:r w:rsidRPr="004E0D55">
        <w:rPr>
          <w:b/>
          <w:bCs/>
        </w:rPr>
        <w:t>específica para os assuntos que elas efetivamente abordam</w:t>
      </w:r>
      <w:r w:rsidRPr="004E0D55">
        <w:t>.</w:t>
      </w:r>
    </w:p>
    <w:p w14:paraId="02F35928" w14:textId="77777777" w:rsidR="004E0D55" w:rsidRPr="004E0D55" w:rsidRDefault="004E0D55" w:rsidP="004E0D55">
      <w:r w:rsidRPr="004E0D55">
        <w:t>Isso não significa que elas sejam suficientes para comprovar:</w:t>
      </w:r>
    </w:p>
    <w:p w14:paraId="4CB00090" w14:textId="77777777" w:rsidR="004E0D55" w:rsidRPr="004E0D55" w:rsidRDefault="004E0D55" w:rsidP="004E0D55">
      <w:pPr>
        <w:numPr>
          <w:ilvl w:val="0"/>
          <w:numId w:val="11"/>
        </w:numPr>
      </w:pPr>
      <w:r w:rsidRPr="004E0D55">
        <w:t>integração com SAP;</w:t>
      </w:r>
    </w:p>
    <w:p w14:paraId="17127487" w14:textId="77777777" w:rsidR="004E0D55" w:rsidRPr="004E0D55" w:rsidRDefault="004E0D55" w:rsidP="004E0D55">
      <w:pPr>
        <w:numPr>
          <w:ilvl w:val="0"/>
          <w:numId w:val="11"/>
        </w:numPr>
      </w:pPr>
      <w:r w:rsidRPr="004E0D55">
        <w:t xml:space="preserve">funcionamento do </w:t>
      </w:r>
      <w:proofErr w:type="spellStart"/>
      <w:r w:rsidRPr="004E0D55">
        <w:t>Mottainai</w:t>
      </w:r>
      <w:proofErr w:type="spellEnd"/>
      <w:r w:rsidRPr="004E0D55">
        <w:t>;</w:t>
      </w:r>
    </w:p>
    <w:p w14:paraId="3A0D0BDA" w14:textId="77777777" w:rsidR="004E0D55" w:rsidRPr="004E0D55" w:rsidRDefault="004E0D55" w:rsidP="004E0D55">
      <w:pPr>
        <w:numPr>
          <w:ilvl w:val="0"/>
          <w:numId w:val="11"/>
        </w:numPr>
      </w:pPr>
      <w:r w:rsidRPr="004E0D55">
        <w:t xml:space="preserve">adoção universal do </w:t>
      </w:r>
      <w:proofErr w:type="spellStart"/>
      <w:r w:rsidRPr="004E0D55">
        <w:t>DataMatrix</w:t>
      </w:r>
      <w:proofErr w:type="spellEnd"/>
      <w:r w:rsidRPr="004E0D55">
        <w:t>;</w:t>
      </w:r>
    </w:p>
    <w:p w14:paraId="218C7580" w14:textId="77777777" w:rsidR="004E0D55" w:rsidRPr="004E0D55" w:rsidRDefault="004E0D55" w:rsidP="004E0D55">
      <w:pPr>
        <w:numPr>
          <w:ilvl w:val="0"/>
          <w:numId w:val="11"/>
        </w:numPr>
      </w:pPr>
      <w:r w:rsidRPr="004E0D55">
        <w:t>redução de desperdício;</w:t>
      </w:r>
    </w:p>
    <w:p w14:paraId="24847808" w14:textId="77777777" w:rsidR="004E0D55" w:rsidRPr="004E0D55" w:rsidRDefault="004E0D55" w:rsidP="004E0D55">
      <w:pPr>
        <w:numPr>
          <w:ilvl w:val="0"/>
          <w:numId w:val="11"/>
        </w:numPr>
      </w:pPr>
      <w:r w:rsidRPr="004E0D55">
        <w:t>resultados financeiros;</w:t>
      </w:r>
    </w:p>
    <w:p w14:paraId="08FD9E28" w14:textId="77777777" w:rsidR="004E0D55" w:rsidRPr="004E0D55" w:rsidRDefault="004E0D55" w:rsidP="004E0D55">
      <w:pPr>
        <w:numPr>
          <w:ilvl w:val="0"/>
          <w:numId w:val="11"/>
        </w:numPr>
      </w:pPr>
      <w:r w:rsidRPr="004E0D55">
        <w:t>desempenho de um algoritmo;</w:t>
      </w:r>
    </w:p>
    <w:p w14:paraId="04A91071" w14:textId="77777777" w:rsidR="004E0D55" w:rsidRPr="004E0D55" w:rsidRDefault="004E0D55" w:rsidP="004E0D55">
      <w:pPr>
        <w:numPr>
          <w:ilvl w:val="0"/>
          <w:numId w:val="11"/>
        </w:numPr>
      </w:pPr>
      <w:r w:rsidRPr="004E0D55">
        <w:t>funcionamento de uma operação específica de supermercado.</w:t>
      </w:r>
    </w:p>
    <w:p w14:paraId="64E88375" w14:textId="77777777" w:rsidR="004E0D55" w:rsidRPr="004E0D55" w:rsidRDefault="004E0D55" w:rsidP="004E0D55">
      <w:r w:rsidRPr="004E0D55">
        <w:pict w14:anchorId="40DC5E39">
          <v:rect id="_x0000_i1039" style="width:0;height:1.5pt" o:hralign="center" o:hrstd="t" o:hr="t" fillcolor="#a0a0a0" stroked="f"/>
        </w:pict>
      </w:r>
    </w:p>
    <w:p w14:paraId="4708197D" w14:textId="77777777" w:rsidR="004E0D55" w:rsidRPr="004E0D55" w:rsidRDefault="004E0D55" w:rsidP="004E0D55">
      <w:pPr>
        <w:rPr>
          <w:b/>
          <w:bCs/>
        </w:rPr>
      </w:pPr>
      <w:r w:rsidRPr="004E0D55">
        <w:rPr>
          <w:b/>
          <w:bCs/>
        </w:rPr>
        <w:t>Conclusão integrada</w:t>
      </w:r>
    </w:p>
    <w:p w14:paraId="1CC69F2A" w14:textId="77777777" w:rsidR="004E0D55" w:rsidRPr="004E0D55" w:rsidRDefault="004E0D55" w:rsidP="004E0D55">
      <w:r w:rsidRPr="004E0D55">
        <w:t xml:space="preserve">As fontes da </w:t>
      </w:r>
      <w:r w:rsidRPr="004E0D55">
        <w:rPr>
          <w:b/>
          <w:bCs/>
        </w:rPr>
        <w:t>Anvisa e da GS1 Brasil se complementam</w:t>
      </w:r>
      <w:r w:rsidRPr="004E0D55">
        <w:t xml:space="preserve"> ao abordar, respectivamente, a informação presente na rotulagem e a possibilidade de estruturar essas informações em códigos padronizados.</w:t>
      </w:r>
    </w:p>
    <w:p w14:paraId="0AD4BE11" w14:textId="77777777" w:rsidR="004E0D55" w:rsidRPr="004E0D55" w:rsidRDefault="004E0D55" w:rsidP="004E0D55">
      <w:r w:rsidRPr="004E0D55">
        <w:lastRenderedPageBreak/>
        <w:t xml:space="preserve">Para o </w:t>
      </w:r>
      <w:proofErr w:type="spellStart"/>
      <w:r w:rsidRPr="004E0D55">
        <w:t>Mottainai</w:t>
      </w:r>
      <w:proofErr w:type="spellEnd"/>
      <w:r w:rsidRPr="004E0D55">
        <w:t xml:space="preserve">, isso sustenta a possibilidade de utilizar informações como </w:t>
      </w:r>
      <w:r w:rsidRPr="004E0D55">
        <w:rPr>
          <w:b/>
          <w:bCs/>
        </w:rPr>
        <w:t>identificação, lote e validade</w:t>
      </w:r>
      <w:r w:rsidRPr="004E0D55">
        <w:t xml:space="preserve"> no controle de produtos perecíveis, quando esses dados estiverem disponíveis e puderem ser capturados pela infraestrutura adotada.</w:t>
      </w:r>
    </w:p>
    <w:p w14:paraId="1E8C414F" w14:textId="77777777" w:rsidR="004E0D55" w:rsidRPr="004E0D55" w:rsidRDefault="004E0D55" w:rsidP="004E0D55">
      <w:r w:rsidRPr="004E0D55">
        <w:t>A principal conclusão, porém, deve ser mantida com cautela:</w:t>
      </w:r>
    </w:p>
    <w:p w14:paraId="05B230D8" w14:textId="77777777" w:rsidR="004E0D55" w:rsidRPr="004E0D55" w:rsidRDefault="004E0D55" w:rsidP="004E0D55">
      <w:r w:rsidRPr="004E0D55">
        <w:rPr>
          <w:b/>
          <w:bCs/>
        </w:rPr>
        <w:t>A existência da validade na rotulagem ou a capacidade de um código 2D armazenar essa informação não significa que qualquer bipagem fornecerá automaticamente a validade ao sistema.</w:t>
      </w:r>
    </w:p>
    <w:p w14:paraId="20088A57" w14:textId="77777777" w:rsidR="004E0D55" w:rsidRPr="004E0D55" w:rsidRDefault="004E0D55" w:rsidP="004E0D55">
      <w:r w:rsidRPr="004E0D55">
        <w:t>Essa disponibilidade depende do código utilizado, da forma como os dados foram codificados, dos equipamentos de leitura e da integração com os sistemas utilizados pelo varejista.</w:t>
      </w:r>
    </w:p>
    <w:p w14:paraId="02AFE41B" w14:textId="77777777" w:rsidR="004E0D55" w:rsidRPr="004E0D55" w:rsidRDefault="004E0D55" w:rsidP="004E0D55">
      <w:r w:rsidRPr="004E0D55">
        <w:t xml:space="preserve">Portanto, as fontes fundamentam a </w:t>
      </w:r>
      <w:r w:rsidRPr="004E0D55">
        <w:rPr>
          <w:b/>
          <w:bCs/>
        </w:rPr>
        <w:t>possibilidade técnica</w:t>
      </w:r>
      <w:r w:rsidRPr="004E0D55">
        <w:t xml:space="preserve">, mas não comprovam a implementação ou a validação dessa solução no </w:t>
      </w:r>
      <w:proofErr w:type="spellStart"/>
      <w:r w:rsidRPr="004E0D55">
        <w:t>Mottainai</w:t>
      </w:r>
      <w:proofErr w:type="spellEnd"/>
      <w:r w:rsidRPr="004E0D55">
        <w:t>.</w:t>
      </w:r>
    </w:p>
    <w:p w14:paraId="478EAD7A" w14:textId="77777777" w:rsidR="00CC37B4" w:rsidRDefault="00CC37B4"/>
    <w:sectPr w:rsidR="00CC37B4" w:rsidSect="004115A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44A8"/>
    <w:multiLevelType w:val="multilevel"/>
    <w:tmpl w:val="2822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A1B90"/>
    <w:multiLevelType w:val="multilevel"/>
    <w:tmpl w:val="34CC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B7981"/>
    <w:multiLevelType w:val="multilevel"/>
    <w:tmpl w:val="4ACE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53D9F"/>
    <w:multiLevelType w:val="multilevel"/>
    <w:tmpl w:val="6608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70446"/>
    <w:multiLevelType w:val="multilevel"/>
    <w:tmpl w:val="4474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93785"/>
    <w:multiLevelType w:val="multilevel"/>
    <w:tmpl w:val="4534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75577"/>
    <w:multiLevelType w:val="multilevel"/>
    <w:tmpl w:val="15F6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C5383"/>
    <w:multiLevelType w:val="multilevel"/>
    <w:tmpl w:val="2680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C0C80"/>
    <w:multiLevelType w:val="multilevel"/>
    <w:tmpl w:val="8D60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86A5D"/>
    <w:multiLevelType w:val="multilevel"/>
    <w:tmpl w:val="A19C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F3B4D"/>
    <w:multiLevelType w:val="multilevel"/>
    <w:tmpl w:val="7A70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00822">
    <w:abstractNumId w:val="9"/>
  </w:num>
  <w:num w:numId="2" w16cid:durableId="636109276">
    <w:abstractNumId w:val="0"/>
  </w:num>
  <w:num w:numId="3" w16cid:durableId="1237284947">
    <w:abstractNumId w:val="8"/>
  </w:num>
  <w:num w:numId="4" w16cid:durableId="451561401">
    <w:abstractNumId w:val="2"/>
  </w:num>
  <w:num w:numId="5" w16cid:durableId="415712336">
    <w:abstractNumId w:val="5"/>
  </w:num>
  <w:num w:numId="6" w16cid:durableId="765732413">
    <w:abstractNumId w:val="10"/>
  </w:num>
  <w:num w:numId="7" w16cid:durableId="1563638849">
    <w:abstractNumId w:val="3"/>
  </w:num>
  <w:num w:numId="8" w16cid:durableId="2134595768">
    <w:abstractNumId w:val="1"/>
  </w:num>
  <w:num w:numId="9" w16cid:durableId="1338387432">
    <w:abstractNumId w:val="7"/>
  </w:num>
  <w:num w:numId="10" w16cid:durableId="324163758">
    <w:abstractNumId w:val="4"/>
  </w:num>
  <w:num w:numId="11" w16cid:durableId="14830438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58"/>
    <w:rsid w:val="00267256"/>
    <w:rsid w:val="004115A0"/>
    <w:rsid w:val="004E0D55"/>
    <w:rsid w:val="0084004E"/>
    <w:rsid w:val="00B93F58"/>
    <w:rsid w:val="00CC37B4"/>
    <w:rsid w:val="00CE7E45"/>
    <w:rsid w:val="00D8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06F74"/>
  <w15:chartTrackingRefBased/>
  <w15:docId w15:val="{677227CF-EC68-4160-B1A9-FB6E5C417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3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3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3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3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3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3F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3F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3F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3F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3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3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3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3F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3F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3F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3F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3F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3F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3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3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3F58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3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3F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3F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3F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3F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3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3F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3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1812</Words>
  <Characters>9785</Characters>
  <Application>Microsoft Office Word</Application>
  <DocSecurity>0</DocSecurity>
  <Lines>81</Lines>
  <Paragraphs>23</Paragraphs>
  <ScaleCrop>false</ScaleCrop>
  <Company/>
  <LinksUpToDate>false</LinksUpToDate>
  <CharactersWithSpaces>11574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Cardoso Ferreira</dc:creator>
  <cp:keywords/>
  <dc:description/>
  <cp:lastModifiedBy>Gustavo Cardoso Ferreira</cp:lastModifiedBy>
  <cp:revision>2</cp:revision>
  <dcterms:created xsi:type="dcterms:W3CDTF">2026-08-09T18:03:00Z</dcterms:created>
  <dcterms:modified xsi:type="dcterms:W3CDTF">2026-08-09T18:03:00Z</dcterms:modified>
</cp:coreProperties>
</file>