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3962D" w14:textId="77777777" w:rsidR="00D15439" w:rsidRDefault="00D15439" w:rsidP="00D15439"/>
    <w:p w14:paraId="6D2532BB" w14:textId="77777777" w:rsidR="00D15439" w:rsidRDefault="00D15439" w:rsidP="00D15439">
      <w:r>
        <w:t>## Introduction</w:t>
      </w:r>
    </w:p>
    <w:p w14:paraId="47182FD6" w14:textId="77777777" w:rsidR="00D15439" w:rsidRDefault="00D15439" w:rsidP="00D15439"/>
    <w:p w14:paraId="05F000FC" w14:textId="77777777" w:rsidR="00D15439" w:rsidRDefault="00D15439" w:rsidP="00D15439">
      <w:r>
        <w:t>### 1.1 Background: Language, Culture, and Historical Perspectives</w:t>
      </w:r>
    </w:p>
    <w:p w14:paraId="636267A9" w14:textId="77777777" w:rsidR="00D15439" w:rsidRDefault="00D15439" w:rsidP="00D15439"/>
    <w:p w14:paraId="512FAD5D" w14:textId="77777777" w:rsidR="00D15439" w:rsidRDefault="00D15439" w:rsidP="00D15439">
      <w:r>
        <w:t xml:space="preserve">The relationship between language and culture has long been a central concern in linguistic and anthropological research. Historically, language was often treated as a simple label for reality. However, scholars such as Edward Sapir and Benjamin Lee Whorf argued that language actively shapes human perception and social identity. Sapir (1921/1931) described language as “not merely a systematic inventory of the various items of experience” but a “self-contained, creative symbolic </w:t>
      </w:r>
      <w:proofErr w:type="spellStart"/>
      <w:r>
        <w:t>organisation</w:t>
      </w:r>
      <w:proofErr w:type="spellEnd"/>
      <w:r>
        <w:t>” that “defines experience for us” by structuring our understanding of the world (p. 9). Whorf (1956) extended this view, claiming that humans “dissect nature along the lines laid out by our native languages” (p. 213). This perspective, known as the Sapir</w:t>
      </w:r>
      <w:r>
        <w:rPr>
          <w:rFonts w:ascii="Cambria Math" w:hAnsi="Cambria Math" w:cs="Cambria Math"/>
        </w:rPr>
        <w:t>‑</w:t>
      </w:r>
      <w:r>
        <w:t>Whorf hypothesis, suggests that linguistic structures influence thought and perception. While strong linguistic determinism has largely been rejected, weaker formulations</w:t>
      </w:r>
      <w:r>
        <w:rPr>
          <w:rFonts w:ascii="Aptos" w:hAnsi="Aptos" w:cs="Aptos"/>
        </w:rPr>
        <w:t>—</w:t>
      </w:r>
      <w:r>
        <w:t xml:space="preserve">asserting that language shapes cultural perception and </w:t>
      </w:r>
      <w:proofErr w:type="spellStart"/>
      <w:r>
        <w:t>behaviour</w:t>
      </w:r>
      <w:proofErr w:type="spellEnd"/>
      <w:r>
        <w:rPr>
          <w:rFonts w:ascii="Aptos" w:hAnsi="Aptos" w:cs="Aptos"/>
        </w:rPr>
        <w:t>—</w:t>
      </w:r>
      <w:r>
        <w:t xml:space="preserve">are widely accepted (Carroll, 1956). Thus, language both reflects cultural values and helps construct social identity. </w:t>
      </w:r>
      <w:proofErr w:type="spellStart"/>
      <w:r>
        <w:t>Kramsch</w:t>
      </w:r>
      <w:proofErr w:type="spellEnd"/>
      <w:r>
        <w:t xml:space="preserve"> (1998) highlights that language expresses and constructs cultural reality, making it essential for understanding identity in intercultural interactions.</w:t>
      </w:r>
    </w:p>
    <w:p w14:paraId="2D1AA300" w14:textId="77777777" w:rsidR="00D15439" w:rsidRDefault="00D15439" w:rsidP="00D15439"/>
    <w:p w14:paraId="71EC0526" w14:textId="77777777" w:rsidR="00D15439" w:rsidRDefault="00D15439" w:rsidP="00D15439">
      <w:r>
        <w:t>The question of how language relates to reality is not new. As Dr. Ahmad Beydoun explains in his book *In the Company of Arabic*, the origin of language has been debated since antiquity. Plato, in his dialogue *</w:t>
      </w:r>
      <w:proofErr w:type="spellStart"/>
      <w:r>
        <w:t>Cratylus</w:t>
      </w:r>
      <w:proofErr w:type="spellEnd"/>
      <w:r>
        <w:t>*, presented two competing theories. The first held that words imitate the essence of the things they signify: the sounds of words resemble the nature of their referents. For example, the English word *wolf* echoes the howl the animal makes. Plato himself leaned toward this idea of a natural resemblance between word and meaning. The second theory argued the opposite: words are conventional, and their meaning arises from agreement among language users. People collectively decided to call that animal a *wolf*; they could have called it a *penguin* if they had agreed differently. There is no intrinsic link, only mutual convention.</w:t>
      </w:r>
    </w:p>
    <w:p w14:paraId="068E6DF5" w14:textId="77777777" w:rsidR="00D15439" w:rsidRDefault="00D15439" w:rsidP="00D15439"/>
    <w:p w14:paraId="211CF9E4" w14:textId="77777777" w:rsidR="00D15439" w:rsidRDefault="00D15439" w:rsidP="00D15439">
      <w:r>
        <w:t>These same debates appear in the Arabic linguistic tradition, though with distinct concepts. Arabic scholars developed the notions of *</w:t>
      </w:r>
      <w:proofErr w:type="spellStart"/>
      <w:r>
        <w:t>Tawqīf</w:t>
      </w:r>
      <w:proofErr w:type="spellEnd"/>
      <w:r>
        <w:t xml:space="preserve">* (fixed, divinely ordained </w:t>
      </w:r>
      <w:r>
        <w:lastRenderedPageBreak/>
        <w:t>meaning) and *</w:t>
      </w:r>
      <w:proofErr w:type="spellStart"/>
      <w:r>
        <w:t>Iṣ</w:t>
      </w:r>
      <w:r>
        <w:rPr>
          <w:rFonts w:ascii="Calibri" w:hAnsi="Calibri" w:cs="Calibri"/>
        </w:rPr>
        <w:t>ṭ</w:t>
      </w:r>
      <w:r>
        <w:t>ilā</w:t>
      </w:r>
      <w:r>
        <w:rPr>
          <w:rFonts w:ascii="Calibri" w:hAnsi="Calibri" w:cs="Calibri"/>
        </w:rPr>
        <w:t>ḥ</w:t>
      </w:r>
      <w:proofErr w:type="spellEnd"/>
      <w:r>
        <w:t>* (conventional meaning). *</w:t>
      </w:r>
      <w:proofErr w:type="spellStart"/>
      <w:r>
        <w:t>Tawqīf</w:t>
      </w:r>
      <w:proofErr w:type="spellEnd"/>
      <w:r>
        <w:t>* refers to the belief that words were revealed by God and the Prophet Muhammad (PBUH), as reflected in the Qur’anic verse: “And He taught Adam the names of all things” (Qur’an 2:31). *</w:t>
      </w:r>
      <w:proofErr w:type="spellStart"/>
      <w:r>
        <w:t>Iṣ</w:t>
      </w:r>
      <w:r>
        <w:rPr>
          <w:rFonts w:ascii="Calibri" w:hAnsi="Calibri" w:cs="Calibri"/>
        </w:rPr>
        <w:t>ṭ</w:t>
      </w:r>
      <w:r>
        <w:t>ilā</w:t>
      </w:r>
      <w:r>
        <w:rPr>
          <w:rFonts w:ascii="Calibri" w:hAnsi="Calibri" w:cs="Calibri"/>
        </w:rPr>
        <w:t>ḥ</w:t>
      </w:r>
      <w:proofErr w:type="spellEnd"/>
      <w:r>
        <w:t>*, in contrast, aligns with Plato’s second theory: language emerged from human agreement. People heard an animal howl and agreed to call it a *wolf*; they named things to facilitate communication. These two perspectives fundamentally differ: one posits a natural or divine connection between word and meaning, the other treats language as a social contract.</w:t>
      </w:r>
    </w:p>
    <w:p w14:paraId="6FAB67E8" w14:textId="77777777" w:rsidR="00D15439" w:rsidRDefault="00D15439" w:rsidP="00D15439"/>
    <w:p w14:paraId="1DBE2572" w14:textId="77777777" w:rsidR="00D15439" w:rsidRDefault="00D15439" w:rsidP="00D15439">
      <w:r>
        <w:t>However, the conventionalist view was not without criticism. The Egyptian writer Ibrahim Abdel Qader Al</w:t>
      </w:r>
      <w:r>
        <w:rPr>
          <w:rFonts w:ascii="Cambria Math" w:hAnsi="Cambria Math" w:cs="Cambria Math"/>
        </w:rPr>
        <w:t>‑</w:t>
      </w:r>
      <w:r>
        <w:t xml:space="preserve">Mazni, in his book *Wildfire Harvest*, pointed out a logical paradox: </w:t>
      </w:r>
      <w:r>
        <w:rPr>
          <w:rFonts w:ascii="Aptos" w:hAnsi="Aptos" w:cs="Aptos"/>
        </w:rPr>
        <w:t>“</w:t>
      </w:r>
      <w:r>
        <w:t>The concept of a conventional meaning of words is inherently contradictory. If it were true, how did they manage to agree on words and phrases? How did they speak and negotiate their agreement? Doesn</w:t>
      </w:r>
      <w:r>
        <w:rPr>
          <w:rFonts w:ascii="Aptos" w:hAnsi="Aptos" w:cs="Aptos"/>
        </w:rPr>
        <w:t>’</w:t>
      </w:r>
      <w:r>
        <w:t>t agreeing itself require a language?</w:t>
      </w:r>
      <w:r>
        <w:rPr>
          <w:rFonts w:ascii="Aptos" w:hAnsi="Aptos" w:cs="Aptos"/>
        </w:rPr>
        <w:t>”</w:t>
      </w:r>
      <w:r>
        <w:t xml:space="preserve"> In other words, if all words were formed by mutual agreement, what language did people use to reach that agreement? Al</w:t>
      </w:r>
      <w:r>
        <w:rPr>
          <w:rFonts w:ascii="Cambria Math" w:hAnsi="Cambria Math" w:cs="Cambria Math"/>
        </w:rPr>
        <w:t>‑</w:t>
      </w:r>
      <w:proofErr w:type="spellStart"/>
      <w:r>
        <w:t>Mazni</w:t>
      </w:r>
      <w:proofErr w:type="spellEnd"/>
      <w:r>
        <w:t xml:space="preserve"> was not entirely opposed to *</w:t>
      </w:r>
      <w:proofErr w:type="spellStart"/>
      <w:r>
        <w:t>Iṣ</w:t>
      </w:r>
      <w:r>
        <w:rPr>
          <w:rFonts w:ascii="Calibri" w:hAnsi="Calibri" w:cs="Calibri"/>
        </w:rPr>
        <w:t>ṭ</w:t>
      </w:r>
      <w:r>
        <w:t>ilā</w:t>
      </w:r>
      <w:r>
        <w:rPr>
          <w:rFonts w:ascii="Calibri" w:hAnsi="Calibri" w:cs="Calibri"/>
        </w:rPr>
        <w:t>ḥ</w:t>
      </w:r>
      <w:proofErr w:type="spellEnd"/>
      <w:r>
        <w:t>*; he rejected only the idea that humans intentionally invented all words at once, because that would presuppose a pre</w:t>
      </w:r>
      <w:r>
        <w:rPr>
          <w:rFonts w:ascii="Cambria Math" w:hAnsi="Cambria Math" w:cs="Cambria Math"/>
        </w:rPr>
        <w:t>‑</w:t>
      </w:r>
      <w:r>
        <w:t>existing language.</w:t>
      </w:r>
    </w:p>
    <w:p w14:paraId="22AF4B20" w14:textId="77777777" w:rsidR="00D15439" w:rsidRDefault="00D15439" w:rsidP="00D15439"/>
    <w:p w14:paraId="39E1D3C1" w14:textId="77777777" w:rsidR="00D15439" w:rsidRDefault="00D15439" w:rsidP="00D15439">
      <w:r>
        <w:t>These ancient debates have profound implications for understanding language as more than a communication tool. As Benjamin Lee Whorf observed, “Language shapes the way we think and determines what we can think about.” It provides the framework for understanding the world. This is why philosopher Martin Heidegger called language “the house of Being.” Without a sufficiently rich language, self</w:t>
      </w:r>
      <w:r>
        <w:rPr>
          <w:rFonts w:ascii="Cambria Math" w:hAnsi="Cambria Math" w:cs="Cambria Math"/>
        </w:rPr>
        <w:t>‑</w:t>
      </w:r>
      <w:r>
        <w:t>expression becomes constrained. The story of the Tower of Babel illustrates this vividly: losing a shared language meant losing everything, forcing people to search for new homes and new selves. These insights underline that language is not merely a neutral medium but a cultural system that shapes identity and meaning across societies.</w:t>
      </w:r>
    </w:p>
    <w:p w14:paraId="278577BE" w14:textId="77777777" w:rsidR="00D15439" w:rsidRDefault="00D15439" w:rsidP="00D15439"/>
    <w:p w14:paraId="464F8BB1" w14:textId="77777777" w:rsidR="00D15439" w:rsidRDefault="00D15439" w:rsidP="00D15439">
      <w:r>
        <w:t>### 1.2 The Arabic and English Contexts</w:t>
      </w:r>
    </w:p>
    <w:p w14:paraId="74AECCB4" w14:textId="77777777" w:rsidR="00D15439" w:rsidRDefault="00D15439" w:rsidP="00D15439"/>
    <w:p w14:paraId="70F01990" w14:textId="77777777" w:rsidR="00D15439" w:rsidRDefault="00D15439" w:rsidP="00D15439">
      <w:r>
        <w:t xml:space="preserve">Arabic, a Semitic language, is deeply rooted in Islamic and historical traditions. Classical Arabic, the language of the Qur’an, represents a stable and prestigious form used in religious and official discourse. Modern Standard Arabic (MSA) is the official language of </w:t>
      </w:r>
      <w:r>
        <w:lastRenderedPageBreak/>
        <w:t xml:space="preserve">education and media, while local dialects dominate everyday speech. This </w:t>
      </w:r>
      <w:proofErr w:type="spellStart"/>
      <w:r>
        <w:t>diglossic</w:t>
      </w:r>
      <w:proofErr w:type="spellEnd"/>
      <w:r>
        <w:t xml:space="preserve"> situation creates a multi</w:t>
      </w:r>
      <w:r>
        <w:rPr>
          <w:rFonts w:ascii="Cambria Math" w:hAnsi="Cambria Math" w:cs="Cambria Math"/>
        </w:rPr>
        <w:t>‑</w:t>
      </w:r>
      <w:r>
        <w:t>layered cultural identity, with speakers shifting between formal and informal varieties depending on context (Ferguson, 1959; Holes, 2004; Versteegh, 2014).</w:t>
      </w:r>
    </w:p>
    <w:p w14:paraId="46119309" w14:textId="77777777" w:rsidR="00D15439" w:rsidRDefault="00D15439" w:rsidP="00D15439"/>
    <w:p w14:paraId="2B42A580" w14:textId="77777777" w:rsidR="00D15439" w:rsidRDefault="00D15439" w:rsidP="00D15439">
      <w:r>
        <w:t xml:space="preserve">In contrast, English is highly adaptable lexically, having borrowed extensively from other languages—a process accelerated by </w:t>
      </w:r>
      <w:proofErr w:type="spellStart"/>
      <w:r>
        <w:t>globalisation</w:t>
      </w:r>
      <w:proofErr w:type="spellEnd"/>
      <w:r>
        <w:t>. This flexibility enables English to serve as a global lingua franca, dynamically responding to cultural and technological changes (Crystal, 2003; Mauranen &amp; Ranta, 2009).</w:t>
      </w:r>
    </w:p>
    <w:p w14:paraId="36D3E230" w14:textId="77777777" w:rsidR="00D15439" w:rsidRDefault="00D15439" w:rsidP="00D15439"/>
    <w:p w14:paraId="7999183C" w14:textId="77777777" w:rsidR="00D15439" w:rsidRDefault="00D15439" w:rsidP="00D15439">
      <w:r>
        <w:t>### 1.3 Research Problem</w:t>
      </w:r>
    </w:p>
    <w:p w14:paraId="0143BCF9" w14:textId="77777777" w:rsidR="00D15439" w:rsidRDefault="00D15439" w:rsidP="00D15439"/>
    <w:p w14:paraId="1EB543A6" w14:textId="77777777" w:rsidR="00D15439" w:rsidRDefault="00D15439" w:rsidP="00D15439">
      <w:r>
        <w:t>Despite the close link between language and culture, interactions between Arabic and English speakers often produce misunderstandings rooted in differing cultural frameworks. Examples include:</w:t>
      </w:r>
    </w:p>
    <w:p w14:paraId="2AF0EAB5" w14:textId="77777777" w:rsidR="00D15439" w:rsidRDefault="00D15439" w:rsidP="00D15439"/>
    <w:p w14:paraId="7768F7F5" w14:textId="77777777" w:rsidR="00D15439" w:rsidRDefault="00D15439" w:rsidP="00D15439">
      <w:r>
        <w:t xml:space="preserve">- The Arabic phrase *“Inshallah, </w:t>
      </w:r>
      <w:proofErr w:type="spellStart"/>
      <w:r>
        <w:t>hashoof</w:t>
      </w:r>
      <w:proofErr w:type="spellEnd"/>
      <w:r>
        <w:t xml:space="preserve"> </w:t>
      </w:r>
      <w:proofErr w:type="spellStart"/>
      <w:proofErr w:type="gramStart"/>
      <w:r>
        <w:t>kda</w:t>
      </w:r>
      <w:proofErr w:type="spellEnd"/>
      <w:r>
        <w:t>”*</w:t>
      </w:r>
      <w:proofErr w:type="gramEnd"/>
      <w:r>
        <w:t xml:space="preserve"> (God willing, we will see) used as a polite expression of uncertainty, frequently misunderstood by English speakers as literal agreement.</w:t>
      </w:r>
    </w:p>
    <w:p w14:paraId="10FD5E2B" w14:textId="77777777" w:rsidR="00D15439" w:rsidRDefault="00D15439" w:rsidP="00D15439">
      <w:r>
        <w:t xml:space="preserve">- The direct English statement *“No, I can’t do </w:t>
      </w:r>
      <w:proofErr w:type="gramStart"/>
      <w:r>
        <w:t>that”*</w:t>
      </w:r>
      <w:proofErr w:type="gramEnd"/>
      <w:r>
        <w:t xml:space="preserve"> sometimes perceived as impolite in Arabic contexts (Holes, 2004; Versteegh, 2014).</w:t>
      </w:r>
    </w:p>
    <w:p w14:paraId="63123F8E" w14:textId="77777777" w:rsidR="00D15439" w:rsidRDefault="00D15439" w:rsidP="00D15439">
      <w:r>
        <w:t>- Differences in non</w:t>
      </w:r>
      <w:r>
        <w:rPr>
          <w:rFonts w:ascii="Cambria Math" w:hAnsi="Cambria Math" w:cs="Cambria Math"/>
        </w:rPr>
        <w:t>‑</w:t>
      </w:r>
      <w:r>
        <w:t>verbal cues and personal space norms: closer physical distance in Arabic cultures signifies friendliness, whereas it is often considered intrusive in English</w:t>
      </w:r>
      <w:r>
        <w:rPr>
          <w:rFonts w:ascii="Cambria Math" w:hAnsi="Cambria Math" w:cs="Cambria Math"/>
        </w:rPr>
        <w:t>‑</w:t>
      </w:r>
      <w:r>
        <w:t>speaking settings (Yule, 2020).</w:t>
      </w:r>
    </w:p>
    <w:p w14:paraId="4E1D23AB" w14:textId="77777777" w:rsidR="00D15439" w:rsidRDefault="00D15439" w:rsidP="00D15439"/>
    <w:p w14:paraId="4EEE4557" w14:textId="77777777" w:rsidR="00D15439" w:rsidRDefault="00D15439" w:rsidP="00D15439">
      <w:r>
        <w:t>Current research tends to address these issues in fragmented ways, focusing on isolated grammatical rules or cultural practices rather than integrating language, culture, and identity. This study fills that gap by examining how cultural norms influence language choices and identity performance in Arabic</w:t>
      </w:r>
      <w:r>
        <w:rPr>
          <w:rFonts w:ascii="Cambria Math" w:hAnsi="Cambria Math" w:cs="Cambria Math"/>
        </w:rPr>
        <w:t>‑</w:t>
      </w:r>
      <w:r>
        <w:t>English intercultural contexts.</w:t>
      </w:r>
    </w:p>
    <w:p w14:paraId="25E6FBDD" w14:textId="77777777" w:rsidR="00D15439" w:rsidRDefault="00D15439" w:rsidP="00D15439"/>
    <w:p w14:paraId="29591E49" w14:textId="77777777" w:rsidR="00D15439" w:rsidRDefault="00D15439" w:rsidP="00D15439">
      <w:r>
        <w:t>### 1.4 Significance of the Study</w:t>
      </w:r>
    </w:p>
    <w:p w14:paraId="5AEB978E" w14:textId="77777777" w:rsidR="00D15439" w:rsidRDefault="00D15439" w:rsidP="00D15439"/>
    <w:p w14:paraId="1B2215E7" w14:textId="77777777" w:rsidR="00D15439" w:rsidRDefault="00D15439" w:rsidP="00D15439">
      <w:r>
        <w:t xml:space="preserve">**Academic </w:t>
      </w:r>
      <w:proofErr w:type="gramStart"/>
      <w:r>
        <w:t>significance:*</w:t>
      </w:r>
      <w:proofErr w:type="gramEnd"/>
      <w:r>
        <w:t>* This research contributes to sociolinguistics and intercultural communication by integrating theories of linguistic relativity with contemporary bilingual identity research. Focusing on Arabic and English provides a comparative lens on how language mediates cultural worldviews.</w:t>
      </w:r>
    </w:p>
    <w:p w14:paraId="05AF074D" w14:textId="77777777" w:rsidR="00D15439" w:rsidRDefault="00D15439" w:rsidP="00D15439"/>
    <w:p w14:paraId="26B7DA48" w14:textId="77777777" w:rsidR="00D15439" w:rsidRDefault="00D15439" w:rsidP="00D15439">
      <w:r>
        <w:t xml:space="preserve">**Practical </w:t>
      </w:r>
      <w:proofErr w:type="gramStart"/>
      <w:r>
        <w:t>significance:*</w:t>
      </w:r>
      <w:proofErr w:type="gramEnd"/>
      <w:r>
        <w:t>* The findings will help educators, translators, and professionals in multicultural environments navigate culturally conditioned communication styles, thereby enhancing cross</w:t>
      </w:r>
      <w:r>
        <w:rPr>
          <w:rFonts w:ascii="Cambria Math" w:hAnsi="Cambria Math" w:cs="Cambria Math"/>
        </w:rPr>
        <w:t>‑</w:t>
      </w:r>
      <w:r>
        <w:t xml:space="preserve">cultural dialogue in </w:t>
      </w:r>
      <w:proofErr w:type="spellStart"/>
      <w:r>
        <w:t>globalised</w:t>
      </w:r>
      <w:proofErr w:type="spellEnd"/>
      <w:r>
        <w:t xml:space="preserve"> and digital contexts.</w:t>
      </w:r>
    </w:p>
    <w:p w14:paraId="763DD6AB" w14:textId="77777777" w:rsidR="00D15439" w:rsidRDefault="00D15439" w:rsidP="00D15439"/>
    <w:p w14:paraId="3D614825" w14:textId="77777777" w:rsidR="00D15439" w:rsidRDefault="00D15439" w:rsidP="00D15439">
      <w:r>
        <w:t>### 1.5 Research Objectives</w:t>
      </w:r>
    </w:p>
    <w:p w14:paraId="58198E2E" w14:textId="77777777" w:rsidR="00D15439" w:rsidRDefault="00D15439" w:rsidP="00D15439"/>
    <w:p w14:paraId="67705346" w14:textId="77777777" w:rsidR="00D15439" w:rsidRDefault="00D15439" w:rsidP="00D15439">
      <w:r>
        <w:t>1. Examine how cultural values shape language use in both Arabic and English.</w:t>
      </w:r>
    </w:p>
    <w:p w14:paraId="5B379917" w14:textId="77777777" w:rsidR="00D15439" w:rsidRDefault="00D15439" w:rsidP="00D15439">
      <w:r>
        <w:t xml:space="preserve">2. </w:t>
      </w:r>
      <w:proofErr w:type="spellStart"/>
      <w:r>
        <w:t>Analyse</w:t>
      </w:r>
      <w:proofErr w:type="spellEnd"/>
      <w:r>
        <w:t xml:space="preserve"> the role of language in identity formation among Arabic</w:t>
      </w:r>
      <w:r>
        <w:rPr>
          <w:rFonts w:ascii="Cambria Math" w:hAnsi="Cambria Math" w:cs="Cambria Math"/>
        </w:rPr>
        <w:t>‑</w:t>
      </w:r>
      <w:r>
        <w:t>English bilinguals.</w:t>
      </w:r>
    </w:p>
    <w:p w14:paraId="7EF90070" w14:textId="77777777" w:rsidR="00D15439" w:rsidRDefault="00D15439" w:rsidP="00D15439">
      <w:r>
        <w:t>3. Investigate Arabic diglossia and English as a global lingua franca as frameworks for cultural influence.</w:t>
      </w:r>
    </w:p>
    <w:p w14:paraId="3192B6E9" w14:textId="77777777" w:rsidR="00D15439" w:rsidRDefault="00D15439" w:rsidP="00D15439">
      <w:r>
        <w:t>4. Develop a conceptual model linking culture, language choice, and identity performance.</w:t>
      </w:r>
    </w:p>
    <w:p w14:paraId="647FC39C" w14:textId="77777777" w:rsidR="00D15439" w:rsidRDefault="00D15439" w:rsidP="00D15439"/>
    <w:p w14:paraId="14803601" w14:textId="77777777" w:rsidR="00D15439" w:rsidRDefault="00D15439" w:rsidP="00D15439">
      <w:r>
        <w:t>### 1.6 Structure of the Study</w:t>
      </w:r>
    </w:p>
    <w:p w14:paraId="15A48148" w14:textId="77777777" w:rsidR="00D15439" w:rsidRDefault="00D15439" w:rsidP="00D15439"/>
    <w:p w14:paraId="6300747B" w14:textId="77777777" w:rsidR="00D15439" w:rsidRDefault="00D15439" w:rsidP="00D15439">
      <w:r>
        <w:t>- Chapter Two: Theoretical framework (linguistic relativity, sociolinguistic variation, diglossia, English as a global language).</w:t>
      </w:r>
    </w:p>
    <w:p w14:paraId="23817DE8" w14:textId="77777777" w:rsidR="00D15439" w:rsidRDefault="00D15439" w:rsidP="00D15439">
      <w:r>
        <w:t>- Chapter Three: Research methodology.</w:t>
      </w:r>
    </w:p>
    <w:p w14:paraId="39C80459" w14:textId="77777777" w:rsidR="00D15439" w:rsidRDefault="00D15439" w:rsidP="00D15439">
      <w:r>
        <w:t>- Chapter Four: Analysis of transliteration</w:t>
      </w:r>
      <w:proofErr w:type="gramStart"/>
      <w:r>
        <w:t>, code</w:t>
      </w:r>
      <w:r>
        <w:rPr>
          <w:rFonts w:ascii="Cambria Math" w:hAnsi="Cambria Math" w:cs="Cambria Math"/>
        </w:rPr>
        <w:t>‑</w:t>
      </w:r>
      <w:r>
        <w:t>switching</w:t>
      </w:r>
      <w:proofErr w:type="gramEnd"/>
      <w:r>
        <w:t>, and hybrid forms.</w:t>
      </w:r>
    </w:p>
    <w:p w14:paraId="495BA6B8" w14:textId="77777777" w:rsidR="00D15439" w:rsidRDefault="00D15439" w:rsidP="00D15439">
      <w:r>
        <w:t>- Chapter Five: Discussion of findings, implications, and recommendations.</w:t>
      </w:r>
    </w:p>
    <w:p w14:paraId="5C17B942" w14:textId="77777777" w:rsidR="00D15439" w:rsidRDefault="00D15439" w:rsidP="00D15439"/>
    <w:p w14:paraId="152AFFB5" w14:textId="77777777" w:rsidR="00D15439" w:rsidRDefault="00D15439" w:rsidP="00D15439">
      <w:r>
        <w:t>---</w:t>
      </w:r>
    </w:p>
    <w:p w14:paraId="2DA0775B" w14:textId="77777777" w:rsidR="00D15439" w:rsidRDefault="00D15439" w:rsidP="00D15439"/>
    <w:p w14:paraId="000FA52B" w14:textId="77777777" w:rsidR="00D15439" w:rsidRDefault="00D15439" w:rsidP="00D15439">
      <w:r>
        <w:lastRenderedPageBreak/>
        <w:t>## Chapter Two: Theoretical Framework</w:t>
      </w:r>
    </w:p>
    <w:p w14:paraId="7340248E" w14:textId="77777777" w:rsidR="00D15439" w:rsidRDefault="00D15439" w:rsidP="00D15439"/>
    <w:p w14:paraId="7EC755CB" w14:textId="77777777" w:rsidR="00D15439" w:rsidRDefault="00D15439" w:rsidP="00D15439">
      <w:r>
        <w:t>### 2.1 Language and Culture</w:t>
      </w:r>
    </w:p>
    <w:p w14:paraId="40333E1D" w14:textId="77777777" w:rsidR="00D15439" w:rsidRDefault="00D15439" w:rsidP="00D15439"/>
    <w:p w14:paraId="08E2B1A2" w14:textId="77777777" w:rsidR="00D15439" w:rsidRDefault="00D15439" w:rsidP="00D15439">
      <w:r>
        <w:t>Linguistic relativity, as proposed by Sapir and Whorf, asserts that language shapes perception and thought (Sapir, 1921/1931; Whorf, 1956). Grammatical categories condition habitual thought patterns, influencing worldview. Despite criticisms of strong determinism, this hypothesis remains foundational for studies of culture</w:t>
      </w:r>
      <w:r>
        <w:rPr>
          <w:rFonts w:ascii="Cambria Math" w:hAnsi="Cambria Math" w:cs="Cambria Math"/>
        </w:rPr>
        <w:t>‑</w:t>
      </w:r>
      <w:r>
        <w:t>language interaction.</w:t>
      </w:r>
    </w:p>
    <w:p w14:paraId="7BC5582F" w14:textId="77777777" w:rsidR="00D15439" w:rsidRDefault="00D15439" w:rsidP="00D15439"/>
    <w:p w14:paraId="5CD4F616" w14:textId="77777777" w:rsidR="00D15439" w:rsidRDefault="00D15439" w:rsidP="00D15439">
      <w:r>
        <w:t xml:space="preserve">Dell Hymes’ concept of communicative competence </w:t>
      </w:r>
      <w:proofErr w:type="spellStart"/>
      <w:r>
        <w:t>emphasises</w:t>
      </w:r>
      <w:proofErr w:type="spellEnd"/>
      <w:r>
        <w:t xml:space="preserve"> that linguistic knowledge includes socially appropriate use (Hymes, 1972). This study adopts Hymes’ framework to </w:t>
      </w:r>
      <w:proofErr w:type="spellStart"/>
      <w:r>
        <w:t>analyse</w:t>
      </w:r>
      <w:proofErr w:type="spellEnd"/>
      <w:r>
        <w:t xml:space="preserve"> Arabic and English registers (e.g., MSA versus dialects, formal versus informal English) as culturally situated practices.</w:t>
      </w:r>
    </w:p>
    <w:p w14:paraId="70F1A34C" w14:textId="77777777" w:rsidR="00D15439" w:rsidRDefault="00D15439" w:rsidP="00D15439"/>
    <w:p w14:paraId="01129DBD" w14:textId="77777777" w:rsidR="00D15439" w:rsidRDefault="00D15439" w:rsidP="00D15439">
      <w:r>
        <w:t>### 2.2 Sociolinguistics and Identity</w:t>
      </w:r>
    </w:p>
    <w:p w14:paraId="423A0A57" w14:textId="77777777" w:rsidR="00D15439" w:rsidRDefault="00D15439" w:rsidP="00D15439"/>
    <w:p w14:paraId="47AB8BAA" w14:textId="77777777" w:rsidR="00D15439" w:rsidRDefault="00D15439" w:rsidP="00D15439">
      <w:r>
        <w:t xml:space="preserve">Language functions as a marker of social identity. Hall (1996) views identity as a “production” constantly shaped in discourse. Arabic and English speakers negotiate identity through transliteration, language switching, and hybrid forms, thereby </w:t>
      </w:r>
      <w:proofErr w:type="spellStart"/>
      <w:r>
        <w:t>signalling</w:t>
      </w:r>
      <w:proofErr w:type="spellEnd"/>
      <w:r>
        <w:t xml:space="preserve"> belonging, authority, or cultural negotiation.</w:t>
      </w:r>
    </w:p>
    <w:p w14:paraId="1B19D8D2" w14:textId="77777777" w:rsidR="00D15439" w:rsidRDefault="00D15439" w:rsidP="00D15439"/>
    <w:p w14:paraId="499F9E85" w14:textId="77777777" w:rsidR="00D15439" w:rsidRDefault="00D15439" w:rsidP="00D15439">
      <w:r>
        <w:t>### 2.3 The Arabic Context: Diglossia and Prestige</w:t>
      </w:r>
    </w:p>
    <w:p w14:paraId="0B9130EE" w14:textId="77777777" w:rsidR="00D15439" w:rsidRDefault="00D15439" w:rsidP="00D15439"/>
    <w:p w14:paraId="5C0EE16B" w14:textId="77777777" w:rsidR="00D15439" w:rsidRDefault="00D15439" w:rsidP="00D15439">
      <w:r>
        <w:t>Arabic presents diglossia (Ferguson, 1959) with MSA for formal use and regional vernaculars for everyday speech, creating layered linguistic identities. The prestige associated with MSA, linked to the Qur’an, complicates cross</w:t>
      </w:r>
      <w:r>
        <w:rPr>
          <w:rFonts w:ascii="Cambria Math" w:hAnsi="Cambria Math" w:cs="Cambria Math"/>
        </w:rPr>
        <w:t>‑</w:t>
      </w:r>
      <w:r>
        <w:t>cultural communication. Speakers may code</w:t>
      </w:r>
      <w:r>
        <w:rPr>
          <w:rFonts w:ascii="Cambria Math" w:hAnsi="Cambria Math" w:cs="Cambria Math"/>
        </w:rPr>
        <w:t>‑</w:t>
      </w:r>
      <w:r>
        <w:t xml:space="preserve">switch to English to signal modernity or to Arabic to assert authenticity (Holes, 2004; Versteegh, 2014; </w:t>
      </w:r>
      <w:proofErr w:type="spellStart"/>
      <w:r>
        <w:t>Bassiouney</w:t>
      </w:r>
      <w:proofErr w:type="spellEnd"/>
      <w:r>
        <w:t>, 2009).</w:t>
      </w:r>
    </w:p>
    <w:p w14:paraId="41EAA03C" w14:textId="77777777" w:rsidR="00D15439" w:rsidRDefault="00D15439" w:rsidP="00D15439"/>
    <w:p w14:paraId="6111F9E2" w14:textId="77777777" w:rsidR="00D15439" w:rsidRDefault="00D15439" w:rsidP="00D15439">
      <w:r>
        <w:t>### 2.4 English as a Global Lingua Franca</w:t>
      </w:r>
    </w:p>
    <w:p w14:paraId="09AC3603" w14:textId="77777777" w:rsidR="00D15439" w:rsidRDefault="00D15439" w:rsidP="00D15439"/>
    <w:p w14:paraId="2EA0BB93" w14:textId="77777777" w:rsidR="00D15439" w:rsidRDefault="00D15439" w:rsidP="00D15439">
      <w:r>
        <w:t xml:space="preserve">English functions globally due to historical expansion and </w:t>
      </w:r>
      <w:proofErr w:type="spellStart"/>
      <w:r>
        <w:t>globalisation</w:t>
      </w:r>
      <w:proofErr w:type="spellEnd"/>
      <w:r>
        <w:t xml:space="preserve"> (Crystal, 2003; Mauranen &amp; Ranta, 2009). In Arabic</w:t>
      </w:r>
      <w:r>
        <w:rPr>
          <w:rFonts w:ascii="Cambria Math" w:hAnsi="Cambria Math" w:cs="Cambria Math"/>
        </w:rPr>
        <w:t>‑</w:t>
      </w:r>
      <w:r>
        <w:t>English contexts, English is often associated with technology, business, and mobility, while Arabic remains a marker of local and religious identity. This dynamic gives rise to creative hybrid linguistic forms.</w:t>
      </w:r>
    </w:p>
    <w:p w14:paraId="6748CFDD" w14:textId="77777777" w:rsidR="00D15439" w:rsidRDefault="00D15439" w:rsidP="00D15439"/>
    <w:p w14:paraId="6F5B4CD7" w14:textId="77777777" w:rsidR="00D15439" w:rsidRDefault="00D15439" w:rsidP="00D15439">
      <w:r>
        <w:t>---</w:t>
      </w:r>
    </w:p>
    <w:p w14:paraId="1C9FC21A" w14:textId="77777777" w:rsidR="00D15439" w:rsidRDefault="00D15439" w:rsidP="00D15439"/>
    <w:p w14:paraId="37E62BCC" w14:textId="77777777" w:rsidR="00D15439" w:rsidRDefault="00D15439" w:rsidP="00D15439">
      <w:r>
        <w:t>## References (as provided, corrected)</w:t>
      </w:r>
    </w:p>
    <w:p w14:paraId="142B0E79" w14:textId="77777777" w:rsidR="00D15439" w:rsidRDefault="00D15439" w:rsidP="00D15439"/>
    <w:p w14:paraId="52D6F7DF" w14:textId="77777777" w:rsidR="00D15439" w:rsidRDefault="00D15439" w:rsidP="00D15439">
      <w:r>
        <w:t xml:space="preserve">- </w:t>
      </w:r>
      <w:proofErr w:type="spellStart"/>
      <w:r>
        <w:t>Bassiouney</w:t>
      </w:r>
      <w:proofErr w:type="spellEnd"/>
      <w:r>
        <w:t>, R. (2009). *Arab sociolinguistics: Topics in bilingualism, gender, identity, and politics*. Edinburgh University Press.</w:t>
      </w:r>
    </w:p>
    <w:p w14:paraId="1BEFFD88" w14:textId="77777777" w:rsidR="00D15439" w:rsidRDefault="00D15439" w:rsidP="00D15439">
      <w:r>
        <w:t xml:space="preserve">- Bianchi, R. M. (2013). The use of </w:t>
      </w:r>
      <w:proofErr w:type="spellStart"/>
      <w:r>
        <w:t>Arabizi</w:t>
      </w:r>
      <w:proofErr w:type="spellEnd"/>
      <w:r>
        <w:t xml:space="preserve"> in the Egyptian blogosphere. *Language in Society, 42*(3), 285-305.</w:t>
      </w:r>
    </w:p>
    <w:p w14:paraId="60DE03E0" w14:textId="77777777" w:rsidR="00D15439" w:rsidRDefault="00D15439" w:rsidP="00D15439">
      <w:r>
        <w:t>- Carroll, J. B. (1956). Introduction. In B. L. Whorf, *Language, thought, and reality* (pp. 1–34). MIT Press.</w:t>
      </w:r>
    </w:p>
    <w:p w14:paraId="40478E6D" w14:textId="77777777" w:rsidR="00D15439" w:rsidRDefault="00D15439" w:rsidP="00D15439">
      <w:r>
        <w:t>- Crystal, D. (2003). *The Cambridge Encyclopedia of English* (2nd ed.). Cambridge University Press.</w:t>
      </w:r>
    </w:p>
    <w:p w14:paraId="142FD493" w14:textId="77777777" w:rsidR="00D15439" w:rsidRDefault="00D15439" w:rsidP="00D15439">
      <w:r>
        <w:t>- Ferguson, C. A. (1959). Diglossia. *Word, 15*(2), 325–340.</w:t>
      </w:r>
    </w:p>
    <w:p w14:paraId="09FAD13D" w14:textId="77777777" w:rsidR="00D15439" w:rsidRDefault="00D15439" w:rsidP="00D15439">
      <w:r>
        <w:t>- Hall, S. (1996). Introduction: Who needs ‘identity’? In S. Hall &amp; P. du Gay (Eds.), *Questions of cultural identity* (pp. 1–17). Sage.</w:t>
      </w:r>
    </w:p>
    <w:p w14:paraId="7639CFB9" w14:textId="77777777" w:rsidR="00D15439" w:rsidRDefault="00D15439" w:rsidP="00D15439">
      <w:r>
        <w:t>- Holes, C. (2004). *Modern Arabic: Structures, functions, and types* (Rev. ed.). Georgetown University Press.</w:t>
      </w:r>
    </w:p>
    <w:p w14:paraId="22E2DFC0" w14:textId="77777777" w:rsidR="00D15439" w:rsidRDefault="00D15439" w:rsidP="00D15439">
      <w:r>
        <w:t>- Hymes, D. (1972). On communicative competence. In J. B. Pride &amp; J. Holmes (Eds.), *Sociolinguistics* (pp. 269–293). Penguin.</w:t>
      </w:r>
    </w:p>
    <w:p w14:paraId="74AE7FD2" w14:textId="77777777" w:rsidR="00D15439" w:rsidRDefault="00D15439" w:rsidP="00D15439">
      <w:r>
        <w:t xml:space="preserve">- </w:t>
      </w:r>
      <w:proofErr w:type="spellStart"/>
      <w:r>
        <w:t>Kramsch</w:t>
      </w:r>
      <w:proofErr w:type="spellEnd"/>
      <w:r>
        <w:t>, C. (1998). *Language and culture*. Oxford University Press.</w:t>
      </w:r>
    </w:p>
    <w:p w14:paraId="656A8888" w14:textId="77777777" w:rsidR="00D15439" w:rsidRDefault="00D15439" w:rsidP="00D15439">
      <w:r>
        <w:t>- Mauranen, A., &amp; Ranta, E. (2009). *English as a common language: Studies and findings*. Peter Lang.</w:t>
      </w:r>
    </w:p>
    <w:p w14:paraId="4304C351" w14:textId="77777777" w:rsidR="00D15439" w:rsidRDefault="00D15439" w:rsidP="00D15439">
      <w:r>
        <w:t>- Sapir, E. (1921). *Language: An introduction to the study of speech*. Harcourt, Brace.</w:t>
      </w:r>
    </w:p>
    <w:p w14:paraId="28C5C235" w14:textId="77777777" w:rsidR="00D15439" w:rsidRDefault="00D15439" w:rsidP="00D15439">
      <w:r>
        <w:lastRenderedPageBreak/>
        <w:t>- Sapir, E. (1931). Conceptual categories in primitive languages. *Science, 74*(1927), 578.</w:t>
      </w:r>
    </w:p>
    <w:p w14:paraId="45B8458B" w14:textId="77777777" w:rsidR="00D15439" w:rsidRDefault="00D15439" w:rsidP="00D15439">
      <w:r>
        <w:t>- Versteegh, K. (2014). *The Arabic language* (2nd ed.). Edinburgh University Press.</w:t>
      </w:r>
    </w:p>
    <w:p w14:paraId="4950BA9D" w14:textId="77777777" w:rsidR="00D15439" w:rsidRDefault="00D15439" w:rsidP="00D15439">
      <w:r>
        <w:t>- Whorf, B. L. (1956). *Language, thought, and reality: Selected writings of Benjamin Lee Whorf* (J. B. Carroll, Ed.). MIT Press.</w:t>
      </w:r>
    </w:p>
    <w:p w14:paraId="39140010" w14:textId="77777777" w:rsidR="00D15439" w:rsidRDefault="00D15439" w:rsidP="00D15439">
      <w:r>
        <w:t>- Yule, G. (2020). *The study of language* (7th ed.). Cambridge University Press.</w:t>
      </w:r>
    </w:p>
    <w:p w14:paraId="6707E4C6" w14:textId="7187BF1F" w:rsidR="007F14DE" w:rsidRDefault="00802654" w:rsidP="00D15439">
      <w:r>
        <w:rPr>
          <w:noProof/>
        </w:rPr>
        <mc:AlternateContent>
          <mc:Choice Requires="wps">
            <w:drawing>
              <wp:anchor distT="0" distB="0" distL="114300" distR="114300" simplePos="0" relativeHeight="251659264" behindDoc="0" locked="0" layoutInCell="1" allowOverlap="1" wp14:anchorId="23B35412" wp14:editId="103C39F2">
                <wp:simplePos x="0" y="0"/>
                <wp:positionH relativeFrom="margin">
                  <wp:align>left</wp:align>
                </wp:positionH>
                <wp:positionV relativeFrom="paragraph">
                  <wp:posOffset>641985</wp:posOffset>
                </wp:positionV>
                <wp:extent cx="6324600" cy="22860"/>
                <wp:effectExtent l="19050" t="19050" r="38100" b="72390"/>
                <wp:wrapNone/>
                <wp:docPr id="1598790165" name="Straight Connector 1"/>
                <wp:cNvGraphicFramePr/>
                <a:graphic xmlns:a="http://schemas.openxmlformats.org/drawingml/2006/main">
                  <a:graphicData uri="http://schemas.microsoft.com/office/word/2010/wordprocessingShape">
                    <wps:wsp>
                      <wps:cNvCnPr/>
                      <wps:spPr>
                        <a:xfrm>
                          <a:off x="0" y="0"/>
                          <a:ext cx="6324600" cy="22860"/>
                        </a:xfrm>
                        <a:prstGeom prst="line">
                          <a:avLst/>
                        </a:prstGeom>
                        <a:ln w="28575">
                          <a:solidFill>
                            <a:schemeClr val="bg1"/>
                          </a:solidFill>
                          <a:headEnd type="none" w="med" len="med"/>
                          <a:tailEnd type="none" w="med" len="med"/>
                        </a:ln>
                        <a:effectLst>
                          <a:innerShdw blurRad="114300">
                            <a:prstClr val="black"/>
                          </a:innerShdw>
                          <a:reflection blurRad="6350" stA="50000" endA="300" endPos="55000" dir="5400000" sy="-100000" algn="bl" rotWithShape="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059F27"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0.55pt" to="498pt,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" strokecolor="white [3212]" strokeweight="2.25pt">
                <v:stroke joinstyle="miter"/>
                <w10:wrap anchorx="margin"/>
              </v:line>
            </w:pict>
          </mc:Fallback>
        </mc:AlternateContent>
      </w:r>
    </w:p>
    <w:p w14:paraId="0D06E5BE" w14:textId="77777777" w:rsidR="00802654" w:rsidRPr="00802654" w:rsidRDefault="00802654" w:rsidP="00802654">
      <w:pPr>
        <w:rPr>
          <w:rtl/>
        </w:rPr>
      </w:pPr>
    </w:p>
    <w:p w14:paraId="41880FA3" w14:textId="4D9E7070" w:rsidR="00802654" w:rsidRPr="00802654" w:rsidRDefault="00802654" w:rsidP="00802654">
      <w:pPr>
        <w:rPr>
          <w:rtl/>
        </w:rPr>
      </w:pPr>
      <w:r>
        <w:rPr>
          <w:rFonts w:hint="cs"/>
          <w:b/>
          <w:bCs/>
          <w:noProof/>
          <w:sz w:val="36"/>
          <w:szCs w:val="36"/>
          <w:rtl/>
          <w:lang w:val="ar-SA"/>
        </w:rPr>
        <mc:AlternateContent>
          <mc:Choice Requires="wps">
            <w:drawing>
              <wp:anchor distT="0" distB="0" distL="114300" distR="114300" simplePos="0" relativeHeight="251660288" behindDoc="0" locked="0" layoutInCell="1" allowOverlap="1" wp14:anchorId="21B2C1CF" wp14:editId="4D25207B">
                <wp:simplePos x="0" y="0"/>
                <wp:positionH relativeFrom="margin">
                  <wp:align>center</wp:align>
                </wp:positionH>
                <wp:positionV relativeFrom="paragraph">
                  <wp:posOffset>74295</wp:posOffset>
                </wp:positionV>
                <wp:extent cx="1692275" cy="1406770"/>
                <wp:effectExtent l="19050" t="0" r="22225" b="41275"/>
                <wp:wrapNone/>
                <wp:docPr id="1773528816" name="Arrow: Down 3"/>
                <wp:cNvGraphicFramePr/>
                <a:graphic xmlns:a="http://schemas.openxmlformats.org/drawingml/2006/main">
                  <a:graphicData uri="http://schemas.microsoft.com/office/word/2010/wordprocessingShape">
                    <wps:wsp>
                      <wps:cNvSpPr/>
                      <wps:spPr>
                        <a:xfrm>
                          <a:off x="0" y="0"/>
                          <a:ext cx="1692275" cy="1406770"/>
                        </a:xfrm>
                        <a:prstGeom prst="downArrow">
                          <a:avLst>
                            <a:gd name="adj1" fmla="val 51385"/>
                            <a:gd name="adj2"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1D0E3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0;margin-top:5.85pt;width:133.25pt;height:110.7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" adj="10800,5250" fillcolor="#156082 [3204]" strokecolor="#030e13 [484]" strokeweight="1pt">
                <w10:wrap anchorx="margin"/>
              </v:shape>
            </w:pict>
          </mc:Fallback>
        </mc:AlternateContent>
      </w:r>
    </w:p>
    <w:p w14:paraId="1A1B64F7" w14:textId="1CB7AE17" w:rsidR="00802654" w:rsidRPr="00802654" w:rsidRDefault="00802654" w:rsidP="00802654">
      <w:pPr>
        <w:rPr>
          <w:rtl/>
        </w:rPr>
      </w:pPr>
    </w:p>
    <w:p w14:paraId="32EB732F" w14:textId="4ADA4AC4" w:rsidR="00802654" w:rsidRPr="00802654" w:rsidRDefault="00802654" w:rsidP="00802654">
      <w:pPr>
        <w:rPr>
          <w:b/>
          <w:bCs/>
          <w:sz w:val="36"/>
          <w:szCs w:val="36"/>
          <w:rtl/>
        </w:rPr>
      </w:pPr>
      <w:r w:rsidRPr="00802654">
        <w:rPr>
          <w:rFonts w:hint="cs"/>
          <w:b/>
          <w:bCs/>
          <w:sz w:val="36"/>
          <w:szCs w:val="36"/>
          <w:rtl/>
        </w:rPr>
        <w:t>محتاج مراجعه</w:t>
      </w:r>
      <w:r>
        <w:rPr>
          <w:rFonts w:hint="cs"/>
          <w:b/>
          <w:bCs/>
          <w:sz w:val="36"/>
          <w:szCs w:val="36"/>
          <w:rtl/>
        </w:rPr>
        <w:t xml:space="preserve"> </w:t>
      </w:r>
    </w:p>
    <w:p w14:paraId="0E66599F" w14:textId="77777777" w:rsidR="00802654" w:rsidRPr="00802654" w:rsidRDefault="00802654" w:rsidP="00802654"/>
    <w:p w14:paraId="0788DD24" w14:textId="77777777" w:rsidR="00802654" w:rsidRPr="00802654" w:rsidRDefault="00802654" w:rsidP="00802654">
      <w:r w:rsidRPr="00802654">
        <w:pict w14:anchorId="31C5CA14">
          <v:rect id="_x0000_i1043" style="width:0;height:.75pt" o:hralign="center" o:hrstd="t" o:hr="t" fillcolor="#a0a0a0" stroked="f"/>
        </w:pict>
      </w:r>
    </w:p>
    <w:p w14:paraId="28986048" w14:textId="77777777" w:rsidR="00802654" w:rsidRPr="00802654" w:rsidRDefault="00802654" w:rsidP="00802654">
      <w:pPr>
        <w:rPr>
          <w:b/>
          <w:bCs/>
        </w:rPr>
      </w:pPr>
      <w:r w:rsidRPr="00802654">
        <w:rPr>
          <w:b/>
          <w:bCs/>
        </w:rPr>
        <w:t>Introduction (Complete, Polished Version)</w:t>
      </w:r>
    </w:p>
    <w:p w14:paraId="78B27874" w14:textId="77777777" w:rsidR="00802654" w:rsidRPr="00802654" w:rsidRDefault="00802654" w:rsidP="00802654">
      <w:pPr>
        <w:rPr>
          <w:b/>
          <w:bCs/>
        </w:rPr>
      </w:pPr>
      <w:r w:rsidRPr="00802654">
        <w:rPr>
          <w:b/>
          <w:bCs/>
        </w:rPr>
        <w:t>1.1 Background: Language, Culture, and the Origins of Meaning</w:t>
      </w:r>
    </w:p>
    <w:p w14:paraId="71C3F339" w14:textId="77777777" w:rsidR="00802654" w:rsidRPr="00802654" w:rsidRDefault="00802654" w:rsidP="00802654">
      <w:r w:rsidRPr="00802654">
        <w:t xml:space="preserve">The relationship between language and culture has long been a central concern in linguistic and anthropological research. For much of intellectual history, language was treated as a simple label for a pre-existing reality. However, scholars such as Edward Sapir and Benjamin Lee Whorf argued that language actively shapes human perception and social identity. Sapir (1921/1931) described language as "not merely a systematic inventory of the various items of experience" but a "self-contained, creative symbolic </w:t>
      </w:r>
      <w:proofErr w:type="spellStart"/>
      <w:r w:rsidRPr="00802654">
        <w:t>organisation</w:t>
      </w:r>
      <w:proofErr w:type="spellEnd"/>
      <w:r w:rsidRPr="00802654">
        <w:t>" that "defines experience for us" by structuring our understanding of the world (p. 9). Whorf (1956) extended this view, claiming that humans "dissect nature along the lines laid out by our native languages" (p. 213). This perspective, known as the Sapir</w:t>
      </w:r>
      <w:r w:rsidRPr="00802654">
        <w:noBreakHyphen/>
        <w:t xml:space="preserve">Whorf hypothesis, suggests that linguistic structures influence thought and perception. While strong linguistic determinism has largely been rejected, weaker formulations—asserting that language shapes cultural perception and </w:t>
      </w:r>
      <w:proofErr w:type="spellStart"/>
      <w:r w:rsidRPr="00802654">
        <w:t>behaviour</w:t>
      </w:r>
      <w:proofErr w:type="spellEnd"/>
      <w:r w:rsidRPr="00802654">
        <w:t xml:space="preserve">—are widely accepted (Carroll, 1956). Consequently, language both reflects cultural values and helps construct social identity. </w:t>
      </w:r>
      <w:proofErr w:type="spellStart"/>
      <w:r w:rsidRPr="00802654">
        <w:t>Kramsch</w:t>
      </w:r>
      <w:proofErr w:type="spellEnd"/>
      <w:r w:rsidRPr="00802654">
        <w:t xml:space="preserve"> (1998) highlights that language expresses and constructs cultural reality, making it essential for understanding identity in intercultural interactions.</w:t>
      </w:r>
    </w:p>
    <w:p w14:paraId="0556BFEE" w14:textId="77777777" w:rsidR="00802654" w:rsidRPr="00802654" w:rsidRDefault="00802654" w:rsidP="00802654">
      <w:r w:rsidRPr="00802654">
        <w:t>The question of how language relates to reality is not new. As Dr. Ahmad Beydoun explains in his book </w:t>
      </w:r>
      <w:r w:rsidRPr="00802654">
        <w:rPr>
          <w:i/>
          <w:iCs/>
        </w:rPr>
        <w:t>In the Company of Arabic</w:t>
      </w:r>
      <w:r w:rsidRPr="00802654">
        <w:t xml:space="preserve">, the origin of language has been debated since </w:t>
      </w:r>
      <w:r w:rsidRPr="00802654">
        <w:lastRenderedPageBreak/>
        <w:t>antiquity. Plato, in his dialogue </w:t>
      </w:r>
      <w:proofErr w:type="spellStart"/>
      <w:r w:rsidRPr="00802654">
        <w:rPr>
          <w:i/>
          <w:iCs/>
        </w:rPr>
        <w:t>Cratylus</w:t>
      </w:r>
      <w:proofErr w:type="spellEnd"/>
      <w:r w:rsidRPr="00802654">
        <w:t>, presented two competing theories. The first held that words imitate the essence of the things they signify: the sounds of words resemble the nature of their referents. For example, the English word </w:t>
      </w:r>
      <w:r w:rsidRPr="00802654">
        <w:rPr>
          <w:i/>
          <w:iCs/>
        </w:rPr>
        <w:t>wolf</w:t>
      </w:r>
      <w:r w:rsidRPr="00802654">
        <w:t> echoes the howl the animal makes. Plato himself leaned toward this idea of a natural resemblance between word and meaning. The second theory argued the opposite: words are conventional, and their meaning arises from agreement among language users. People collectively decided to call that animal a </w:t>
      </w:r>
      <w:r w:rsidRPr="00802654">
        <w:rPr>
          <w:i/>
          <w:iCs/>
        </w:rPr>
        <w:t>wolf</w:t>
      </w:r>
      <w:r w:rsidRPr="00802654">
        <w:t>; they could have called it a </w:t>
      </w:r>
      <w:r w:rsidRPr="00802654">
        <w:rPr>
          <w:i/>
          <w:iCs/>
        </w:rPr>
        <w:t>penguin</w:t>
      </w:r>
      <w:r w:rsidRPr="00802654">
        <w:t> if they had agreed differently. There is no intrinsic link, only mutual convention.</w:t>
      </w:r>
    </w:p>
    <w:p w14:paraId="6C0DC86D" w14:textId="77777777" w:rsidR="00802654" w:rsidRPr="00802654" w:rsidRDefault="00802654" w:rsidP="00802654">
      <w:r w:rsidRPr="00802654">
        <w:t>These same debates appear in the Arabic linguistic tradition, though with distinct concepts. Arabic scholars developed the notions of </w:t>
      </w:r>
      <w:proofErr w:type="spellStart"/>
      <w:r w:rsidRPr="00802654">
        <w:rPr>
          <w:i/>
          <w:iCs/>
        </w:rPr>
        <w:t>Tawqīf</w:t>
      </w:r>
      <w:proofErr w:type="spellEnd"/>
      <w:r w:rsidRPr="00802654">
        <w:t> (fixed, divinely ordained meaning) and </w:t>
      </w:r>
      <w:proofErr w:type="spellStart"/>
      <w:r w:rsidRPr="00802654">
        <w:rPr>
          <w:i/>
          <w:iCs/>
        </w:rPr>
        <w:t>Iṣ</w:t>
      </w:r>
      <w:r w:rsidRPr="00802654">
        <w:rPr>
          <w:rFonts w:ascii="Calibri" w:hAnsi="Calibri" w:cs="Calibri"/>
          <w:i/>
          <w:iCs/>
        </w:rPr>
        <w:t>ṭ</w:t>
      </w:r>
      <w:r w:rsidRPr="00802654">
        <w:rPr>
          <w:i/>
          <w:iCs/>
        </w:rPr>
        <w:t>ilā</w:t>
      </w:r>
      <w:r w:rsidRPr="00802654">
        <w:rPr>
          <w:rFonts w:ascii="Calibri" w:hAnsi="Calibri" w:cs="Calibri"/>
          <w:i/>
          <w:iCs/>
        </w:rPr>
        <w:t>ḥ</w:t>
      </w:r>
      <w:proofErr w:type="spellEnd"/>
      <w:r w:rsidRPr="00802654">
        <w:t> (conventional meaning). </w:t>
      </w:r>
      <w:proofErr w:type="spellStart"/>
      <w:r w:rsidRPr="00802654">
        <w:rPr>
          <w:i/>
          <w:iCs/>
        </w:rPr>
        <w:t>Tawqīf</w:t>
      </w:r>
      <w:proofErr w:type="spellEnd"/>
      <w:r w:rsidRPr="00802654">
        <w:t> refers to the belief that words were revealed by God and the Prophet Muhammad (PBUH), as reflected in the Qur'anic verse: "And He taught Adam the names of all things" (Qur'an 2:31). </w:t>
      </w:r>
      <w:proofErr w:type="spellStart"/>
      <w:r w:rsidRPr="00802654">
        <w:rPr>
          <w:i/>
          <w:iCs/>
        </w:rPr>
        <w:t>Iṣ</w:t>
      </w:r>
      <w:r w:rsidRPr="00802654">
        <w:rPr>
          <w:rFonts w:ascii="Calibri" w:hAnsi="Calibri" w:cs="Calibri"/>
          <w:i/>
          <w:iCs/>
        </w:rPr>
        <w:t>ṭ</w:t>
      </w:r>
      <w:r w:rsidRPr="00802654">
        <w:rPr>
          <w:i/>
          <w:iCs/>
        </w:rPr>
        <w:t>ilā</w:t>
      </w:r>
      <w:r w:rsidRPr="00802654">
        <w:rPr>
          <w:rFonts w:ascii="Calibri" w:hAnsi="Calibri" w:cs="Calibri"/>
          <w:i/>
          <w:iCs/>
        </w:rPr>
        <w:t>ḥ</w:t>
      </w:r>
      <w:proofErr w:type="spellEnd"/>
      <w:r w:rsidRPr="00802654">
        <w:t>, in contrast, aligns with Plato's second theory: language emerged from human agreement. People heard an animal howl and agreed to call it a </w:t>
      </w:r>
      <w:r w:rsidRPr="00802654">
        <w:rPr>
          <w:i/>
          <w:iCs/>
        </w:rPr>
        <w:t>wolf</w:t>
      </w:r>
      <w:r w:rsidRPr="00802654">
        <w:t>; they named things to facilitate communication. These two perspectives fundamentally differ: one posits a natural or divine connection between word and meaning, the other treats language as a social contract.</w:t>
      </w:r>
    </w:p>
    <w:p w14:paraId="67CEFBED" w14:textId="77777777" w:rsidR="00802654" w:rsidRPr="00802654" w:rsidRDefault="00802654" w:rsidP="00802654">
      <w:r w:rsidRPr="00802654">
        <w:t>However, the conventionalist view was not without criticism. The Egyptian writer Ibrahim Abdel Qader Al</w:t>
      </w:r>
      <w:r w:rsidRPr="00802654">
        <w:noBreakHyphen/>
        <w:t>Mazni, in his book </w:t>
      </w:r>
      <w:r w:rsidRPr="00802654">
        <w:rPr>
          <w:i/>
          <w:iCs/>
        </w:rPr>
        <w:t>Wildfire Harvest</w:t>
      </w:r>
      <w:r w:rsidRPr="00802654">
        <w:t>, pointed out a logical paradox: "The concept of a conventional meaning of words is inherently contradictory. If it were true, how did they manage to agree on words and phrases? How did they speak and negotiate their agreement? Doesn't agreeing itself require a language?" In other words, if all words were formed by mutual agreement, what language did people use to reach that agreement? Al</w:t>
      </w:r>
      <w:r w:rsidRPr="00802654">
        <w:noBreakHyphen/>
      </w:r>
      <w:proofErr w:type="spellStart"/>
      <w:r w:rsidRPr="00802654">
        <w:t>Mazni</w:t>
      </w:r>
      <w:proofErr w:type="spellEnd"/>
      <w:r w:rsidRPr="00802654">
        <w:t xml:space="preserve"> was not entirely opposed to </w:t>
      </w:r>
      <w:proofErr w:type="spellStart"/>
      <w:r w:rsidRPr="00802654">
        <w:rPr>
          <w:i/>
          <w:iCs/>
        </w:rPr>
        <w:t>Iṣ</w:t>
      </w:r>
      <w:r w:rsidRPr="00802654">
        <w:rPr>
          <w:rFonts w:ascii="Calibri" w:hAnsi="Calibri" w:cs="Calibri"/>
          <w:i/>
          <w:iCs/>
        </w:rPr>
        <w:t>ṭ</w:t>
      </w:r>
      <w:r w:rsidRPr="00802654">
        <w:rPr>
          <w:i/>
          <w:iCs/>
        </w:rPr>
        <w:t>ilā</w:t>
      </w:r>
      <w:r w:rsidRPr="00802654">
        <w:rPr>
          <w:rFonts w:ascii="Calibri" w:hAnsi="Calibri" w:cs="Calibri"/>
          <w:i/>
          <w:iCs/>
        </w:rPr>
        <w:t>ḥ</w:t>
      </w:r>
      <w:proofErr w:type="spellEnd"/>
      <w:r w:rsidRPr="00802654">
        <w:t>; he rejected only the idea that humans intentionally invented all words at once, because that would presuppose a pre</w:t>
      </w:r>
      <w:r w:rsidRPr="00802654">
        <w:noBreakHyphen/>
        <w:t>existing language.</w:t>
      </w:r>
    </w:p>
    <w:p w14:paraId="0AA39688" w14:textId="77777777" w:rsidR="00802654" w:rsidRPr="00802654" w:rsidRDefault="00802654" w:rsidP="00802654">
      <w:r w:rsidRPr="00802654">
        <w:t>These ancient debates have profound implications for understanding language as more than a communication tool. As Benjamin Lee Whorf observed, "Language shapes the way we think and determines what we can think about." It provides the framework for understanding the world. This is why philosopher Martin Heidegger called language "the house of Being." Without a sufficiently rich language, self</w:t>
      </w:r>
      <w:r w:rsidRPr="00802654">
        <w:noBreakHyphen/>
        <w:t>expression becomes constrained. The story of the Tower of Babel illustrates this vividly: losing a shared language meant losing everything, forcing people to search for new homes and new selves. These insights underline that language is not merely a neutral medium but a cultural system that shapes identity and meaning across societies.</w:t>
      </w:r>
    </w:p>
    <w:p w14:paraId="40D2944E" w14:textId="77777777" w:rsidR="00802654" w:rsidRPr="00802654" w:rsidRDefault="00802654" w:rsidP="00802654">
      <w:pPr>
        <w:rPr>
          <w:b/>
          <w:bCs/>
        </w:rPr>
      </w:pPr>
      <w:r w:rsidRPr="00802654">
        <w:rPr>
          <w:b/>
          <w:bCs/>
        </w:rPr>
        <w:t>1.2 The Arabic and English Contexts</w:t>
      </w:r>
    </w:p>
    <w:p w14:paraId="69905750" w14:textId="77777777" w:rsidR="00802654" w:rsidRPr="00802654" w:rsidRDefault="00802654" w:rsidP="00802654">
      <w:r w:rsidRPr="00802654">
        <w:lastRenderedPageBreak/>
        <w:t xml:space="preserve">Arabic, a Semitic language, is deeply rooted in Islamic and historical traditions. Classical Arabic, the language of the Qur'an, represents a stable and prestigious form used in religious and official discourse. Modern Standard Arabic (MSA) is the official language of education and media, while local dialects dominate everyday speech. This </w:t>
      </w:r>
      <w:proofErr w:type="spellStart"/>
      <w:r w:rsidRPr="00802654">
        <w:t>diglossic</w:t>
      </w:r>
      <w:proofErr w:type="spellEnd"/>
      <w:r w:rsidRPr="00802654">
        <w:t xml:space="preserve"> situation creates a multi</w:t>
      </w:r>
      <w:r w:rsidRPr="00802654">
        <w:noBreakHyphen/>
        <w:t>layered cultural identity, with speakers shifting between formal and informal varieties depending on context (Ferguson, 1959; Holes, 2004; Versteegh, 2014).</w:t>
      </w:r>
    </w:p>
    <w:p w14:paraId="6172963D" w14:textId="77777777" w:rsidR="00802654" w:rsidRPr="00802654" w:rsidRDefault="00802654" w:rsidP="00802654">
      <w:r w:rsidRPr="00802654">
        <w:t xml:space="preserve">In contrast, English is highly adaptable lexically, having borrowed extensively from other languages—a process accelerated by </w:t>
      </w:r>
      <w:proofErr w:type="spellStart"/>
      <w:r w:rsidRPr="00802654">
        <w:t>globalisation</w:t>
      </w:r>
      <w:proofErr w:type="spellEnd"/>
      <w:r w:rsidRPr="00802654">
        <w:t>. This flexibility enables English to serve as a global lingua franca, dynamically responding to cultural and technological changes (Crystal, 2003; Mauranen &amp; Ranta, 2009).</w:t>
      </w:r>
    </w:p>
    <w:p w14:paraId="03FA9DDF" w14:textId="77777777" w:rsidR="00802654" w:rsidRPr="00802654" w:rsidRDefault="00802654" w:rsidP="00802654">
      <w:pPr>
        <w:rPr>
          <w:b/>
          <w:bCs/>
        </w:rPr>
      </w:pPr>
      <w:r w:rsidRPr="00802654">
        <w:rPr>
          <w:b/>
          <w:bCs/>
        </w:rPr>
        <w:t>1.3 Research Problem</w:t>
      </w:r>
    </w:p>
    <w:p w14:paraId="40872338" w14:textId="77777777" w:rsidR="00802654" w:rsidRPr="00802654" w:rsidRDefault="00802654" w:rsidP="00802654">
      <w:r w:rsidRPr="00802654">
        <w:t>Despite the close link between language and culture, interactions between Arabic and English speakers often produce misunderstandings rooted in differing cultural frameworks. Examples include:</w:t>
      </w:r>
    </w:p>
    <w:p w14:paraId="1B5EDF75" w14:textId="77777777" w:rsidR="00802654" w:rsidRPr="00802654" w:rsidRDefault="00802654" w:rsidP="00802654">
      <w:pPr>
        <w:numPr>
          <w:ilvl w:val="0"/>
          <w:numId w:val="1"/>
        </w:numPr>
      </w:pPr>
      <w:r w:rsidRPr="00802654">
        <w:t>The Arabic phrase </w:t>
      </w:r>
      <w:r w:rsidRPr="00802654">
        <w:rPr>
          <w:i/>
          <w:iCs/>
        </w:rPr>
        <w:t xml:space="preserve">"Inshallah, </w:t>
      </w:r>
      <w:proofErr w:type="spellStart"/>
      <w:r w:rsidRPr="00802654">
        <w:rPr>
          <w:i/>
          <w:iCs/>
        </w:rPr>
        <w:t>hashoof</w:t>
      </w:r>
      <w:proofErr w:type="spellEnd"/>
      <w:r w:rsidRPr="00802654">
        <w:rPr>
          <w:i/>
          <w:iCs/>
        </w:rPr>
        <w:t xml:space="preserve"> </w:t>
      </w:r>
      <w:proofErr w:type="spellStart"/>
      <w:r w:rsidRPr="00802654">
        <w:rPr>
          <w:i/>
          <w:iCs/>
        </w:rPr>
        <w:t>kda</w:t>
      </w:r>
      <w:proofErr w:type="spellEnd"/>
      <w:r w:rsidRPr="00802654">
        <w:rPr>
          <w:i/>
          <w:iCs/>
        </w:rPr>
        <w:t>"</w:t>
      </w:r>
      <w:r w:rsidRPr="00802654">
        <w:t> (God willing, we will see) used as a polite expression of uncertainty, frequently misunderstood by English speakers as literal agreement.</w:t>
      </w:r>
    </w:p>
    <w:p w14:paraId="21AF4341" w14:textId="77777777" w:rsidR="00802654" w:rsidRPr="00802654" w:rsidRDefault="00802654" w:rsidP="00802654">
      <w:pPr>
        <w:numPr>
          <w:ilvl w:val="0"/>
          <w:numId w:val="1"/>
        </w:numPr>
      </w:pPr>
      <w:r w:rsidRPr="00802654">
        <w:t>The direct English statement </w:t>
      </w:r>
      <w:r w:rsidRPr="00802654">
        <w:rPr>
          <w:i/>
          <w:iCs/>
        </w:rPr>
        <w:t>"No, I can't do that"</w:t>
      </w:r>
      <w:r w:rsidRPr="00802654">
        <w:t> sometimes perceived as impolite in Arabic contexts (Holes, 2004; Versteegh, 2014).</w:t>
      </w:r>
    </w:p>
    <w:p w14:paraId="5BB3CD7C" w14:textId="77777777" w:rsidR="00802654" w:rsidRPr="00802654" w:rsidRDefault="00802654" w:rsidP="00802654">
      <w:pPr>
        <w:numPr>
          <w:ilvl w:val="0"/>
          <w:numId w:val="1"/>
        </w:numPr>
      </w:pPr>
      <w:r w:rsidRPr="00802654">
        <w:t>Differences in non</w:t>
      </w:r>
      <w:r w:rsidRPr="00802654">
        <w:noBreakHyphen/>
        <w:t>verbal cues and personal space norms: closer physical distance in Arabic cultures signifies friendliness, whereas it is often considered intrusive in English</w:t>
      </w:r>
      <w:r w:rsidRPr="00802654">
        <w:noBreakHyphen/>
        <w:t>speaking settings (Yule, 2020).</w:t>
      </w:r>
    </w:p>
    <w:p w14:paraId="1BDEE2B8" w14:textId="77777777" w:rsidR="00802654" w:rsidRPr="00802654" w:rsidRDefault="00802654" w:rsidP="00802654">
      <w:r w:rsidRPr="00802654">
        <w:t>Current research tends to address these issues in fragmented ways, focusing on isolated grammatical rules or cultural practices rather than integrating language, culture, and identity. This study fills that gap by examining how cultural norms influence language choices and identity performance in Arabic</w:t>
      </w:r>
      <w:r w:rsidRPr="00802654">
        <w:noBreakHyphen/>
        <w:t>English intercultural contexts.</w:t>
      </w:r>
    </w:p>
    <w:p w14:paraId="50AC6A0F" w14:textId="77777777" w:rsidR="00802654" w:rsidRPr="00802654" w:rsidRDefault="00802654" w:rsidP="00802654">
      <w:pPr>
        <w:rPr>
          <w:b/>
          <w:bCs/>
        </w:rPr>
      </w:pPr>
      <w:r w:rsidRPr="00802654">
        <w:rPr>
          <w:b/>
          <w:bCs/>
        </w:rPr>
        <w:t>1.4 Significance of the Study</w:t>
      </w:r>
    </w:p>
    <w:p w14:paraId="016DAAA7" w14:textId="77777777" w:rsidR="00802654" w:rsidRPr="00802654" w:rsidRDefault="00802654" w:rsidP="00802654">
      <w:r w:rsidRPr="00802654">
        <w:rPr>
          <w:b/>
          <w:bCs/>
        </w:rPr>
        <w:t>Academic significance:</w:t>
      </w:r>
      <w:r w:rsidRPr="00802654">
        <w:t> This research contributes to sociolinguistics and intercultural communication by integrating theories of linguistic relativity with contemporary bilingual identity research. Focusing on Arabic and English provides a comparative lens on how language mediates cultural worldviews.</w:t>
      </w:r>
    </w:p>
    <w:p w14:paraId="67387D0A" w14:textId="77777777" w:rsidR="00802654" w:rsidRPr="00802654" w:rsidRDefault="00802654" w:rsidP="00802654">
      <w:r w:rsidRPr="00802654">
        <w:rPr>
          <w:b/>
          <w:bCs/>
        </w:rPr>
        <w:lastRenderedPageBreak/>
        <w:t>Practical significance:</w:t>
      </w:r>
      <w:r w:rsidRPr="00802654">
        <w:t> The findings will help educators, translators, and professionals in multicultural environments navigate culturally conditioned communication styles, thereby enhancing cross</w:t>
      </w:r>
      <w:r w:rsidRPr="00802654">
        <w:noBreakHyphen/>
        <w:t xml:space="preserve">cultural dialogue in </w:t>
      </w:r>
      <w:proofErr w:type="spellStart"/>
      <w:r w:rsidRPr="00802654">
        <w:t>globalised</w:t>
      </w:r>
      <w:proofErr w:type="spellEnd"/>
      <w:r w:rsidRPr="00802654">
        <w:t xml:space="preserve"> and digital contexts.</w:t>
      </w:r>
    </w:p>
    <w:p w14:paraId="7D21E78F" w14:textId="77777777" w:rsidR="00802654" w:rsidRPr="00802654" w:rsidRDefault="00802654" w:rsidP="00802654">
      <w:pPr>
        <w:rPr>
          <w:b/>
          <w:bCs/>
        </w:rPr>
      </w:pPr>
      <w:r w:rsidRPr="00802654">
        <w:rPr>
          <w:b/>
          <w:bCs/>
        </w:rPr>
        <w:t>1.5 Research Objectives</w:t>
      </w:r>
    </w:p>
    <w:p w14:paraId="18BD5914" w14:textId="77777777" w:rsidR="00802654" w:rsidRPr="00802654" w:rsidRDefault="00802654" w:rsidP="00802654">
      <w:pPr>
        <w:numPr>
          <w:ilvl w:val="0"/>
          <w:numId w:val="2"/>
        </w:numPr>
      </w:pPr>
      <w:r w:rsidRPr="00802654">
        <w:t>Examine how cultural values shape language use in both Arabic and English.</w:t>
      </w:r>
    </w:p>
    <w:p w14:paraId="330F1F1F" w14:textId="77777777" w:rsidR="00802654" w:rsidRPr="00802654" w:rsidRDefault="00802654" w:rsidP="00802654">
      <w:pPr>
        <w:numPr>
          <w:ilvl w:val="0"/>
          <w:numId w:val="2"/>
        </w:numPr>
      </w:pPr>
      <w:proofErr w:type="spellStart"/>
      <w:r w:rsidRPr="00802654">
        <w:t>Analyse</w:t>
      </w:r>
      <w:proofErr w:type="spellEnd"/>
      <w:r w:rsidRPr="00802654">
        <w:t xml:space="preserve"> the role of language in identity formation among Arabic</w:t>
      </w:r>
      <w:r w:rsidRPr="00802654">
        <w:noBreakHyphen/>
        <w:t>English bilinguals.</w:t>
      </w:r>
    </w:p>
    <w:p w14:paraId="6629AD58" w14:textId="77777777" w:rsidR="00802654" w:rsidRPr="00802654" w:rsidRDefault="00802654" w:rsidP="00802654">
      <w:pPr>
        <w:numPr>
          <w:ilvl w:val="0"/>
          <w:numId w:val="2"/>
        </w:numPr>
      </w:pPr>
      <w:r w:rsidRPr="00802654">
        <w:t>Investigate Arabic diglossia and English as a global lingua franca as frameworks for cultural influence.</w:t>
      </w:r>
    </w:p>
    <w:p w14:paraId="67EBF4F0" w14:textId="77777777" w:rsidR="00802654" w:rsidRPr="00802654" w:rsidRDefault="00802654" w:rsidP="00802654">
      <w:pPr>
        <w:numPr>
          <w:ilvl w:val="0"/>
          <w:numId w:val="2"/>
        </w:numPr>
      </w:pPr>
      <w:r w:rsidRPr="00802654">
        <w:t>Develop a conceptual model linking culture, language choice, and identity performance.</w:t>
      </w:r>
    </w:p>
    <w:p w14:paraId="62209193" w14:textId="77777777" w:rsidR="00802654" w:rsidRPr="00802654" w:rsidRDefault="00802654" w:rsidP="00802654">
      <w:pPr>
        <w:rPr>
          <w:b/>
          <w:bCs/>
        </w:rPr>
      </w:pPr>
      <w:r w:rsidRPr="00802654">
        <w:rPr>
          <w:b/>
          <w:bCs/>
        </w:rPr>
        <w:t>1.6 Structure of the Study</w:t>
      </w:r>
    </w:p>
    <w:p w14:paraId="167D8DF2" w14:textId="77777777" w:rsidR="00802654" w:rsidRPr="00802654" w:rsidRDefault="00802654" w:rsidP="00802654">
      <w:pPr>
        <w:numPr>
          <w:ilvl w:val="0"/>
          <w:numId w:val="3"/>
        </w:numPr>
      </w:pPr>
      <w:r w:rsidRPr="00802654">
        <w:rPr>
          <w:b/>
          <w:bCs/>
        </w:rPr>
        <w:t>Chapter Two:</w:t>
      </w:r>
      <w:r w:rsidRPr="00802654">
        <w:t> Theoretical framework (linguistic relativity, sociolinguistic variation, diglossia, English as a global language).</w:t>
      </w:r>
    </w:p>
    <w:p w14:paraId="69BB32B6" w14:textId="77777777" w:rsidR="00802654" w:rsidRPr="00802654" w:rsidRDefault="00802654" w:rsidP="00802654">
      <w:pPr>
        <w:numPr>
          <w:ilvl w:val="0"/>
          <w:numId w:val="3"/>
        </w:numPr>
      </w:pPr>
      <w:r w:rsidRPr="00802654">
        <w:rPr>
          <w:b/>
          <w:bCs/>
        </w:rPr>
        <w:t>Chapter Three:</w:t>
      </w:r>
      <w:r w:rsidRPr="00802654">
        <w:t> Research methodology.</w:t>
      </w:r>
    </w:p>
    <w:p w14:paraId="4D9559FE" w14:textId="77777777" w:rsidR="00802654" w:rsidRPr="00802654" w:rsidRDefault="00802654" w:rsidP="00802654">
      <w:pPr>
        <w:numPr>
          <w:ilvl w:val="0"/>
          <w:numId w:val="3"/>
        </w:numPr>
      </w:pPr>
      <w:r w:rsidRPr="00802654">
        <w:rPr>
          <w:b/>
          <w:bCs/>
        </w:rPr>
        <w:t>Chapter Four:</w:t>
      </w:r>
      <w:r w:rsidRPr="00802654">
        <w:t> Analysis of transliteration</w:t>
      </w:r>
      <w:proofErr w:type="gramStart"/>
      <w:r w:rsidRPr="00802654">
        <w:t>, code</w:t>
      </w:r>
      <w:r w:rsidRPr="00802654">
        <w:noBreakHyphen/>
        <w:t>switching</w:t>
      </w:r>
      <w:proofErr w:type="gramEnd"/>
      <w:r w:rsidRPr="00802654">
        <w:t>, and hybrid forms.</w:t>
      </w:r>
    </w:p>
    <w:p w14:paraId="75AA31FF" w14:textId="77777777" w:rsidR="00802654" w:rsidRPr="00802654" w:rsidRDefault="00802654" w:rsidP="00802654">
      <w:pPr>
        <w:numPr>
          <w:ilvl w:val="0"/>
          <w:numId w:val="3"/>
        </w:numPr>
      </w:pPr>
      <w:r w:rsidRPr="00802654">
        <w:rPr>
          <w:b/>
          <w:bCs/>
        </w:rPr>
        <w:t>Chapter Five:</w:t>
      </w:r>
      <w:r w:rsidRPr="00802654">
        <w:t> Discussion of findings, implications, and recommendations.</w:t>
      </w:r>
    </w:p>
    <w:p w14:paraId="1D4D03D7" w14:textId="77777777" w:rsidR="00802654" w:rsidRPr="00802654" w:rsidRDefault="00802654" w:rsidP="00802654">
      <w:r w:rsidRPr="00802654">
        <w:pict w14:anchorId="0BE635F0">
          <v:rect id="_x0000_i1044" style="width:0;height:.75pt" o:hralign="center" o:hrstd="t" o:hr="t" fillcolor="#a0a0a0" stroked="f"/>
        </w:pict>
      </w:r>
    </w:p>
    <w:p w14:paraId="2E9920DB" w14:textId="77777777" w:rsidR="00802654" w:rsidRPr="00802654" w:rsidRDefault="00802654" w:rsidP="00802654">
      <w:pPr>
        <w:rPr>
          <w:b/>
          <w:bCs/>
        </w:rPr>
      </w:pPr>
      <w:r w:rsidRPr="00802654">
        <w:rPr>
          <w:b/>
          <w:bCs/>
        </w:rPr>
        <w:t>Chapter Two: Theoretical Framework (Complete)</w:t>
      </w:r>
    </w:p>
    <w:p w14:paraId="438E2B8E" w14:textId="77777777" w:rsidR="00802654" w:rsidRPr="00802654" w:rsidRDefault="00802654" w:rsidP="00802654">
      <w:pPr>
        <w:rPr>
          <w:b/>
          <w:bCs/>
        </w:rPr>
      </w:pPr>
      <w:r w:rsidRPr="00802654">
        <w:rPr>
          <w:b/>
          <w:bCs/>
        </w:rPr>
        <w:t>2.1 Language and Culture</w:t>
      </w:r>
    </w:p>
    <w:p w14:paraId="4029B0B1" w14:textId="77777777" w:rsidR="00802654" w:rsidRPr="00802654" w:rsidRDefault="00802654" w:rsidP="00802654">
      <w:r w:rsidRPr="00802654">
        <w:t>Linguistic relativity, as proposed by Sapir and Whorf, asserts that language shapes perception and thought (Sapir, 1921/1931; Whorf, 1956). Grammatical categories condition habitual thought patterns, influencing worldview. Despite criticisms of strong determinism, this hypothesis remains foundational for studies of culture</w:t>
      </w:r>
      <w:r w:rsidRPr="00802654">
        <w:noBreakHyphen/>
        <w:t>language interaction.</w:t>
      </w:r>
    </w:p>
    <w:p w14:paraId="1A6C426E" w14:textId="77777777" w:rsidR="00802654" w:rsidRPr="00802654" w:rsidRDefault="00802654" w:rsidP="00802654">
      <w:r w:rsidRPr="00802654">
        <w:t xml:space="preserve">Dell Hymes' concept of communicative competence </w:t>
      </w:r>
      <w:proofErr w:type="spellStart"/>
      <w:r w:rsidRPr="00802654">
        <w:t>emphasises</w:t>
      </w:r>
      <w:proofErr w:type="spellEnd"/>
      <w:r w:rsidRPr="00802654">
        <w:t xml:space="preserve"> that linguistic knowledge includes socially appropriate use (Hymes, 1972). This study adopts Hymes' framework to </w:t>
      </w:r>
      <w:proofErr w:type="spellStart"/>
      <w:r w:rsidRPr="00802654">
        <w:t>analyse</w:t>
      </w:r>
      <w:proofErr w:type="spellEnd"/>
      <w:r w:rsidRPr="00802654">
        <w:t xml:space="preserve"> Arabic and English registers (e.g., MSA versus dialects, formal versus informal English) as culturally situated practices.</w:t>
      </w:r>
    </w:p>
    <w:p w14:paraId="463D3E6B" w14:textId="77777777" w:rsidR="00802654" w:rsidRPr="00802654" w:rsidRDefault="00802654" w:rsidP="00802654">
      <w:pPr>
        <w:rPr>
          <w:b/>
          <w:bCs/>
        </w:rPr>
      </w:pPr>
      <w:r w:rsidRPr="00802654">
        <w:rPr>
          <w:b/>
          <w:bCs/>
        </w:rPr>
        <w:t>2.2 Sociolinguistics and Identity</w:t>
      </w:r>
    </w:p>
    <w:p w14:paraId="36905B26" w14:textId="77777777" w:rsidR="00802654" w:rsidRPr="00802654" w:rsidRDefault="00802654" w:rsidP="00802654">
      <w:r w:rsidRPr="00802654">
        <w:t xml:space="preserve">Language functions as a marker of social identity. Hall (1996) views identity as a "production" constantly shaped in discourse. Arabic and English speakers negotiate </w:t>
      </w:r>
      <w:r w:rsidRPr="00802654">
        <w:lastRenderedPageBreak/>
        <w:t xml:space="preserve">identity through transliteration, language switching, and hybrid forms, thereby </w:t>
      </w:r>
      <w:proofErr w:type="spellStart"/>
      <w:r w:rsidRPr="00802654">
        <w:t>signalling</w:t>
      </w:r>
      <w:proofErr w:type="spellEnd"/>
      <w:r w:rsidRPr="00802654">
        <w:t xml:space="preserve"> belonging, authority, or cultural negotiation.</w:t>
      </w:r>
    </w:p>
    <w:p w14:paraId="5B059732" w14:textId="77777777" w:rsidR="00802654" w:rsidRPr="00802654" w:rsidRDefault="00802654" w:rsidP="00802654">
      <w:pPr>
        <w:rPr>
          <w:b/>
          <w:bCs/>
        </w:rPr>
      </w:pPr>
      <w:r w:rsidRPr="00802654">
        <w:rPr>
          <w:b/>
          <w:bCs/>
        </w:rPr>
        <w:t>2.3 The Arabic Context: Diglossia and Prestige</w:t>
      </w:r>
    </w:p>
    <w:p w14:paraId="00864391" w14:textId="77777777" w:rsidR="00802654" w:rsidRPr="00802654" w:rsidRDefault="00802654" w:rsidP="00802654">
      <w:r w:rsidRPr="00802654">
        <w:t>Arabic presents diglossia (Ferguson, 1959) with MSA for formal use and regional vernaculars for everyday speech, creating layered linguistic identities. The prestige associated with MSA, linked to the Qur'an, complicates cross</w:t>
      </w:r>
      <w:r w:rsidRPr="00802654">
        <w:noBreakHyphen/>
        <w:t>cultural communication. Speakers may code</w:t>
      </w:r>
      <w:r w:rsidRPr="00802654">
        <w:noBreakHyphen/>
        <w:t xml:space="preserve">switch to English to signal modernity or to Arabic to assert authenticity (Holes, 2004; Versteegh, 2014; </w:t>
      </w:r>
      <w:proofErr w:type="spellStart"/>
      <w:r w:rsidRPr="00802654">
        <w:t>Bassiouney</w:t>
      </w:r>
      <w:proofErr w:type="spellEnd"/>
      <w:r w:rsidRPr="00802654">
        <w:t>, 2009).</w:t>
      </w:r>
    </w:p>
    <w:p w14:paraId="39DAC274" w14:textId="77777777" w:rsidR="00802654" w:rsidRPr="00802654" w:rsidRDefault="00802654" w:rsidP="00802654">
      <w:pPr>
        <w:rPr>
          <w:b/>
          <w:bCs/>
        </w:rPr>
      </w:pPr>
      <w:r w:rsidRPr="00802654">
        <w:rPr>
          <w:b/>
          <w:bCs/>
        </w:rPr>
        <w:t>2.4 English as a Global Lingua Franca</w:t>
      </w:r>
    </w:p>
    <w:p w14:paraId="1862BF80" w14:textId="77777777" w:rsidR="00802654" w:rsidRPr="00802654" w:rsidRDefault="00802654" w:rsidP="00802654">
      <w:r w:rsidRPr="00802654">
        <w:t xml:space="preserve">English functions globally due to historical expansion and </w:t>
      </w:r>
      <w:proofErr w:type="spellStart"/>
      <w:r w:rsidRPr="00802654">
        <w:t>globalisation</w:t>
      </w:r>
      <w:proofErr w:type="spellEnd"/>
      <w:r w:rsidRPr="00802654">
        <w:t xml:space="preserve"> (Crystal, 2003; Mauranen &amp; Ranta, 2009). In Arabic</w:t>
      </w:r>
      <w:r w:rsidRPr="00802654">
        <w:noBreakHyphen/>
        <w:t>English contexts, English is often associated with technology, business, and mobility, while Arabic remains a marker of local and religious identity. This dynamic gives rise to creative hybrid linguistic forms.</w:t>
      </w:r>
    </w:p>
    <w:p w14:paraId="1F594AE6" w14:textId="77777777" w:rsidR="00802654" w:rsidRPr="00802654" w:rsidRDefault="00802654" w:rsidP="00802654">
      <w:r w:rsidRPr="00802654">
        <w:pict w14:anchorId="19AFF568">
          <v:rect id="_x0000_i1045" style="width:0;height:.75pt" o:hralign="center" o:hrstd="t" o:hr="t" fillcolor="#a0a0a0" stroked="f"/>
        </w:pict>
      </w:r>
    </w:p>
    <w:p w14:paraId="3F9B1247" w14:textId="77777777" w:rsidR="00802654" w:rsidRPr="00802654" w:rsidRDefault="00802654" w:rsidP="00802654">
      <w:pPr>
        <w:rPr>
          <w:b/>
          <w:bCs/>
        </w:rPr>
      </w:pPr>
      <w:r w:rsidRPr="00802654">
        <w:rPr>
          <w:b/>
          <w:bCs/>
        </w:rPr>
        <w:t>References (APA 7th Edition)</w:t>
      </w:r>
    </w:p>
    <w:p w14:paraId="3B18F487" w14:textId="77777777" w:rsidR="00802654" w:rsidRPr="00802654" w:rsidRDefault="00802654" w:rsidP="00802654">
      <w:pPr>
        <w:numPr>
          <w:ilvl w:val="0"/>
          <w:numId w:val="4"/>
        </w:numPr>
      </w:pPr>
      <w:proofErr w:type="spellStart"/>
      <w:r w:rsidRPr="00802654">
        <w:t>Bassiouney</w:t>
      </w:r>
      <w:proofErr w:type="spellEnd"/>
      <w:r w:rsidRPr="00802654">
        <w:t>, R. (2009). </w:t>
      </w:r>
      <w:r w:rsidRPr="00802654">
        <w:rPr>
          <w:i/>
          <w:iCs/>
        </w:rPr>
        <w:t>Arab sociolinguistics: Topics in bilingualism, gender, identity, and politics</w:t>
      </w:r>
      <w:r w:rsidRPr="00802654">
        <w:t>. Edinburgh University Press.</w:t>
      </w:r>
    </w:p>
    <w:p w14:paraId="4769A480" w14:textId="77777777" w:rsidR="00802654" w:rsidRPr="00802654" w:rsidRDefault="00802654" w:rsidP="00802654">
      <w:pPr>
        <w:numPr>
          <w:ilvl w:val="0"/>
          <w:numId w:val="4"/>
        </w:numPr>
      </w:pPr>
      <w:r w:rsidRPr="00802654">
        <w:t xml:space="preserve">Bianchi, R. M. (2013). The use of </w:t>
      </w:r>
      <w:proofErr w:type="spellStart"/>
      <w:r w:rsidRPr="00802654">
        <w:t>Arabizi</w:t>
      </w:r>
      <w:proofErr w:type="spellEnd"/>
      <w:r w:rsidRPr="00802654">
        <w:t xml:space="preserve"> in the Egyptian blogosphere. </w:t>
      </w:r>
      <w:r w:rsidRPr="00802654">
        <w:rPr>
          <w:i/>
          <w:iCs/>
        </w:rPr>
        <w:t>Language in Society, 42</w:t>
      </w:r>
      <w:r w:rsidRPr="00802654">
        <w:t>(3), 285-305.</w:t>
      </w:r>
    </w:p>
    <w:p w14:paraId="3AD8AAF3" w14:textId="77777777" w:rsidR="00802654" w:rsidRPr="00802654" w:rsidRDefault="00802654" w:rsidP="00802654">
      <w:pPr>
        <w:numPr>
          <w:ilvl w:val="0"/>
          <w:numId w:val="4"/>
        </w:numPr>
      </w:pPr>
      <w:r w:rsidRPr="00802654">
        <w:t>Carroll, J. B. (1956). Introduction. In B. L. Whorf, </w:t>
      </w:r>
      <w:r w:rsidRPr="00802654">
        <w:rPr>
          <w:i/>
          <w:iCs/>
        </w:rPr>
        <w:t>Language, thought, and reality</w:t>
      </w:r>
      <w:r w:rsidRPr="00802654">
        <w:t> (pp. 1–34). MIT Press.</w:t>
      </w:r>
    </w:p>
    <w:p w14:paraId="25230E10" w14:textId="77777777" w:rsidR="00802654" w:rsidRPr="00802654" w:rsidRDefault="00802654" w:rsidP="00802654">
      <w:pPr>
        <w:numPr>
          <w:ilvl w:val="0"/>
          <w:numId w:val="4"/>
        </w:numPr>
      </w:pPr>
      <w:r w:rsidRPr="00802654">
        <w:t>Crystal, D. (2003). </w:t>
      </w:r>
      <w:r w:rsidRPr="00802654">
        <w:rPr>
          <w:i/>
          <w:iCs/>
        </w:rPr>
        <w:t>The Cambridge Encyclopedia of English</w:t>
      </w:r>
      <w:r w:rsidRPr="00802654">
        <w:t> (2nd ed.). Cambridge University Press.</w:t>
      </w:r>
    </w:p>
    <w:p w14:paraId="4CDF30DC" w14:textId="77777777" w:rsidR="00802654" w:rsidRPr="00802654" w:rsidRDefault="00802654" w:rsidP="00802654">
      <w:pPr>
        <w:numPr>
          <w:ilvl w:val="0"/>
          <w:numId w:val="4"/>
        </w:numPr>
      </w:pPr>
      <w:r w:rsidRPr="00802654">
        <w:t>Ferguson, C. A. (1959). Diglossia. </w:t>
      </w:r>
      <w:r w:rsidRPr="00802654">
        <w:rPr>
          <w:i/>
          <w:iCs/>
        </w:rPr>
        <w:t>Word, 15</w:t>
      </w:r>
      <w:r w:rsidRPr="00802654">
        <w:t>(2), 325–340.</w:t>
      </w:r>
    </w:p>
    <w:p w14:paraId="296258D7" w14:textId="77777777" w:rsidR="00802654" w:rsidRPr="00802654" w:rsidRDefault="00802654" w:rsidP="00802654">
      <w:pPr>
        <w:numPr>
          <w:ilvl w:val="0"/>
          <w:numId w:val="4"/>
        </w:numPr>
      </w:pPr>
      <w:r w:rsidRPr="00802654">
        <w:t>Hall, S. (1996). Introduction: Who needs 'identity'? In S. Hall &amp; P. du Gay (Eds.), </w:t>
      </w:r>
      <w:r w:rsidRPr="00802654">
        <w:rPr>
          <w:i/>
          <w:iCs/>
        </w:rPr>
        <w:t>Questions of cultural identity</w:t>
      </w:r>
      <w:r w:rsidRPr="00802654">
        <w:t> (pp. 1–17). Sage.</w:t>
      </w:r>
    </w:p>
    <w:p w14:paraId="3CF6FFAE" w14:textId="77777777" w:rsidR="00802654" w:rsidRPr="00802654" w:rsidRDefault="00802654" w:rsidP="00802654">
      <w:pPr>
        <w:numPr>
          <w:ilvl w:val="0"/>
          <w:numId w:val="4"/>
        </w:numPr>
      </w:pPr>
      <w:r w:rsidRPr="00802654">
        <w:t>Holes, C. (2004). </w:t>
      </w:r>
      <w:r w:rsidRPr="00802654">
        <w:rPr>
          <w:i/>
          <w:iCs/>
        </w:rPr>
        <w:t>Modern Arabic: Structures, functions, and types</w:t>
      </w:r>
      <w:r w:rsidRPr="00802654">
        <w:t> (Rev. ed.). Georgetown University Press.</w:t>
      </w:r>
    </w:p>
    <w:p w14:paraId="6ABB8C4D" w14:textId="77777777" w:rsidR="00802654" w:rsidRPr="00802654" w:rsidRDefault="00802654" w:rsidP="00802654">
      <w:pPr>
        <w:numPr>
          <w:ilvl w:val="0"/>
          <w:numId w:val="4"/>
        </w:numPr>
      </w:pPr>
      <w:r w:rsidRPr="00802654">
        <w:t>Hymes, D. (1972). On communicative competence. In J. B. Pride &amp; J. Holmes (Eds.), </w:t>
      </w:r>
      <w:r w:rsidRPr="00802654">
        <w:rPr>
          <w:i/>
          <w:iCs/>
        </w:rPr>
        <w:t>Sociolinguistics</w:t>
      </w:r>
      <w:r w:rsidRPr="00802654">
        <w:t> (pp. 269–293). Penguin.</w:t>
      </w:r>
    </w:p>
    <w:p w14:paraId="38025ADD" w14:textId="77777777" w:rsidR="00802654" w:rsidRPr="00802654" w:rsidRDefault="00802654" w:rsidP="00802654">
      <w:pPr>
        <w:numPr>
          <w:ilvl w:val="0"/>
          <w:numId w:val="4"/>
        </w:numPr>
      </w:pPr>
      <w:r w:rsidRPr="00802654">
        <w:t>Kramsch, C. (1998). </w:t>
      </w:r>
      <w:r w:rsidRPr="00802654">
        <w:rPr>
          <w:i/>
          <w:iCs/>
        </w:rPr>
        <w:t>Language and culture</w:t>
      </w:r>
      <w:r w:rsidRPr="00802654">
        <w:t>. Oxford University Press.</w:t>
      </w:r>
    </w:p>
    <w:p w14:paraId="4D64918C" w14:textId="77777777" w:rsidR="00802654" w:rsidRPr="00802654" w:rsidRDefault="00802654" w:rsidP="00802654">
      <w:pPr>
        <w:numPr>
          <w:ilvl w:val="0"/>
          <w:numId w:val="4"/>
        </w:numPr>
      </w:pPr>
      <w:r w:rsidRPr="00802654">
        <w:lastRenderedPageBreak/>
        <w:t>Mauranen, A., &amp; Ranta, E. (2009). </w:t>
      </w:r>
      <w:r w:rsidRPr="00802654">
        <w:rPr>
          <w:i/>
          <w:iCs/>
        </w:rPr>
        <w:t>English as a common language: Studies and findings</w:t>
      </w:r>
      <w:r w:rsidRPr="00802654">
        <w:t>. Peter Lang.</w:t>
      </w:r>
    </w:p>
    <w:p w14:paraId="263089B8" w14:textId="77777777" w:rsidR="00802654" w:rsidRPr="00802654" w:rsidRDefault="00802654" w:rsidP="00802654">
      <w:pPr>
        <w:numPr>
          <w:ilvl w:val="0"/>
          <w:numId w:val="4"/>
        </w:numPr>
      </w:pPr>
      <w:r w:rsidRPr="00802654">
        <w:t>Sapir, E. (1921). </w:t>
      </w:r>
      <w:r w:rsidRPr="00802654">
        <w:rPr>
          <w:i/>
          <w:iCs/>
        </w:rPr>
        <w:t>Language: An introduction to the study of speech</w:t>
      </w:r>
      <w:r w:rsidRPr="00802654">
        <w:t>. Harcourt, Brace.</w:t>
      </w:r>
    </w:p>
    <w:p w14:paraId="2F2013DD" w14:textId="77777777" w:rsidR="00802654" w:rsidRPr="00802654" w:rsidRDefault="00802654" w:rsidP="00802654">
      <w:pPr>
        <w:numPr>
          <w:ilvl w:val="0"/>
          <w:numId w:val="4"/>
        </w:numPr>
      </w:pPr>
      <w:r w:rsidRPr="00802654">
        <w:t>Sapir, E. (1931). Conceptual categories in primitive languages. </w:t>
      </w:r>
      <w:r w:rsidRPr="00802654">
        <w:rPr>
          <w:i/>
          <w:iCs/>
        </w:rPr>
        <w:t>Science, 74</w:t>
      </w:r>
      <w:r w:rsidRPr="00802654">
        <w:t>(1927), 578.</w:t>
      </w:r>
    </w:p>
    <w:p w14:paraId="7CA6CBB7" w14:textId="77777777" w:rsidR="00802654" w:rsidRPr="00802654" w:rsidRDefault="00802654" w:rsidP="00802654">
      <w:pPr>
        <w:numPr>
          <w:ilvl w:val="0"/>
          <w:numId w:val="4"/>
        </w:numPr>
      </w:pPr>
      <w:r w:rsidRPr="00802654">
        <w:t>Versteegh, K. (2014). </w:t>
      </w:r>
      <w:r w:rsidRPr="00802654">
        <w:rPr>
          <w:i/>
          <w:iCs/>
        </w:rPr>
        <w:t>The Arabic language</w:t>
      </w:r>
      <w:r w:rsidRPr="00802654">
        <w:t> (2nd ed.). Edinburgh University Press.</w:t>
      </w:r>
    </w:p>
    <w:p w14:paraId="25E221CB" w14:textId="77777777" w:rsidR="00802654" w:rsidRPr="00802654" w:rsidRDefault="00802654" w:rsidP="00802654">
      <w:pPr>
        <w:numPr>
          <w:ilvl w:val="0"/>
          <w:numId w:val="4"/>
        </w:numPr>
      </w:pPr>
      <w:r w:rsidRPr="00802654">
        <w:t>Whorf, B. L. (1956). </w:t>
      </w:r>
      <w:r w:rsidRPr="00802654">
        <w:rPr>
          <w:i/>
          <w:iCs/>
        </w:rPr>
        <w:t>Language, thought, and reality: Selected writings of Benjamin Lee Whorf</w:t>
      </w:r>
      <w:r w:rsidRPr="00802654">
        <w:t> (J. B. Carroll, Ed.). MIT Press.</w:t>
      </w:r>
    </w:p>
    <w:p w14:paraId="6F373B64" w14:textId="77777777" w:rsidR="00802654" w:rsidRPr="00802654" w:rsidRDefault="00802654" w:rsidP="00802654">
      <w:pPr>
        <w:numPr>
          <w:ilvl w:val="0"/>
          <w:numId w:val="4"/>
        </w:numPr>
      </w:pPr>
      <w:r w:rsidRPr="00802654">
        <w:t>Yule, G. (2020). </w:t>
      </w:r>
      <w:r w:rsidRPr="00802654">
        <w:rPr>
          <w:i/>
          <w:iCs/>
        </w:rPr>
        <w:t>The study of language</w:t>
      </w:r>
      <w:r w:rsidRPr="00802654">
        <w:t> (7th ed.). Cambridge University Press.</w:t>
      </w:r>
    </w:p>
    <w:p w14:paraId="7F8A92BF" w14:textId="77777777" w:rsidR="00802654" w:rsidRPr="00802654" w:rsidRDefault="00802654" w:rsidP="00802654"/>
    <w:sectPr w:rsidR="00802654" w:rsidRPr="008026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01094"/>
    <w:multiLevelType w:val="multilevel"/>
    <w:tmpl w:val="4FDC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41A87"/>
    <w:multiLevelType w:val="multilevel"/>
    <w:tmpl w:val="A506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115401"/>
    <w:multiLevelType w:val="multilevel"/>
    <w:tmpl w:val="EC98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22098A"/>
    <w:multiLevelType w:val="multilevel"/>
    <w:tmpl w:val="37D0A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1328442">
    <w:abstractNumId w:val="2"/>
  </w:num>
  <w:num w:numId="2" w16cid:durableId="9257815">
    <w:abstractNumId w:val="3"/>
  </w:num>
  <w:num w:numId="3" w16cid:durableId="918246402">
    <w:abstractNumId w:val="1"/>
  </w:num>
  <w:num w:numId="4" w16cid:durableId="2144149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439"/>
    <w:rsid w:val="00480D10"/>
    <w:rsid w:val="007F14DE"/>
    <w:rsid w:val="00802654"/>
    <w:rsid w:val="00D15439"/>
    <w:rsid w:val="00DC79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BCF79"/>
  <w15:chartTrackingRefBased/>
  <w15:docId w15:val="{C35A6051-F509-4FB6-BC85-36296C2EA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4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54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4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4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4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4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54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4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4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4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439"/>
    <w:rPr>
      <w:rFonts w:eastAsiaTheme="majorEastAsia" w:cstheme="majorBidi"/>
      <w:color w:val="272727" w:themeColor="text1" w:themeTint="D8"/>
    </w:rPr>
  </w:style>
  <w:style w:type="paragraph" w:styleId="Title">
    <w:name w:val="Title"/>
    <w:basedOn w:val="Normal"/>
    <w:next w:val="Normal"/>
    <w:link w:val="TitleChar"/>
    <w:uiPriority w:val="10"/>
    <w:qFormat/>
    <w:rsid w:val="00D15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439"/>
    <w:pPr>
      <w:spacing w:before="160"/>
      <w:jc w:val="center"/>
    </w:pPr>
    <w:rPr>
      <w:i/>
      <w:iCs/>
      <w:color w:val="404040" w:themeColor="text1" w:themeTint="BF"/>
    </w:rPr>
  </w:style>
  <w:style w:type="character" w:customStyle="1" w:styleId="QuoteChar">
    <w:name w:val="Quote Char"/>
    <w:basedOn w:val="DefaultParagraphFont"/>
    <w:link w:val="Quote"/>
    <w:uiPriority w:val="29"/>
    <w:rsid w:val="00D15439"/>
    <w:rPr>
      <w:i/>
      <w:iCs/>
      <w:color w:val="404040" w:themeColor="text1" w:themeTint="BF"/>
    </w:rPr>
  </w:style>
  <w:style w:type="paragraph" w:styleId="ListParagraph">
    <w:name w:val="List Paragraph"/>
    <w:basedOn w:val="Normal"/>
    <w:uiPriority w:val="34"/>
    <w:qFormat/>
    <w:rsid w:val="00D15439"/>
    <w:pPr>
      <w:ind w:left="720"/>
      <w:contextualSpacing/>
    </w:pPr>
  </w:style>
  <w:style w:type="character" w:styleId="IntenseEmphasis">
    <w:name w:val="Intense Emphasis"/>
    <w:basedOn w:val="DefaultParagraphFont"/>
    <w:uiPriority w:val="21"/>
    <w:qFormat/>
    <w:rsid w:val="00D15439"/>
    <w:rPr>
      <w:i/>
      <w:iCs/>
      <w:color w:val="0F4761" w:themeColor="accent1" w:themeShade="BF"/>
    </w:rPr>
  </w:style>
  <w:style w:type="paragraph" w:styleId="IntenseQuote">
    <w:name w:val="Intense Quote"/>
    <w:basedOn w:val="Normal"/>
    <w:next w:val="Normal"/>
    <w:link w:val="IntenseQuoteChar"/>
    <w:uiPriority w:val="30"/>
    <w:qFormat/>
    <w:rsid w:val="00D15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439"/>
    <w:rPr>
      <w:i/>
      <w:iCs/>
      <w:color w:val="0F4761" w:themeColor="accent1" w:themeShade="BF"/>
    </w:rPr>
  </w:style>
  <w:style w:type="character" w:styleId="IntenseReference">
    <w:name w:val="Intense Reference"/>
    <w:basedOn w:val="DefaultParagraphFont"/>
    <w:uiPriority w:val="32"/>
    <w:qFormat/>
    <w:rsid w:val="00D154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12</Pages>
  <Words>3339</Words>
  <Characters>19038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Adel AboRamadan</dc:creator>
  <cp:keywords/>
  <dc:description/>
  <cp:lastModifiedBy>MusTaFa Adel AboRamadan</cp:lastModifiedBy>
  <cp:revision>1</cp:revision>
  <dcterms:created xsi:type="dcterms:W3CDTF">2026-04-07T00:28:00Z</dcterms:created>
  <dcterms:modified xsi:type="dcterms:W3CDTF">2026-04-07T01:05:00Z</dcterms:modified>
</cp:coreProperties>
</file>