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  <w:shd w:val="clear" w:color="auto" w:fill="1F9D63"/>
            <w:tcMar>
              <w:top w:w="453" w:type="dxa"/>
              <w:left w:w="453" w:type="dxa"/>
              <w:bottom w:w="453" w:type="dxa"/>
              <w:right w:w="45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233474" cy="3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at_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474" cy="3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80" w:after="0"/>
            </w:pPr>
            <w:r>
              <w:rPr>
                <w:b/>
                <w:color w:val="FFFFFF"/>
                <w:sz w:val="16"/>
                <w:spacing w:val="30"/>
              </w:rPr>
              <w:t>GESTIÓN DE COLONIAS FELINAS URBANAS</w:t>
            </w:r>
          </w:p>
          <w:p>
            <w:pPr>
              <w:spacing w:before="160" w:after="0" w:line="240" w:lineRule="auto"/>
            </w:pPr>
            <w:r>
              <w:rPr>
                <w:b/>
                <w:color w:val="FFFFFF"/>
                <w:sz w:val="60"/>
              </w:rPr>
              <w:t>Una gestión responsable empieza con el control.</w:t>
            </w:r>
          </w:p>
          <w:p>
            <w:pPr>
              <w:spacing w:before="200" w:after="0"/>
            </w:pPr>
            <w:r>
              <w:rPr>
                <w:b w:val="0"/>
                <w:color w:val="FFFFFF"/>
                <w:sz w:val="22"/>
              </w:rPr>
              <w:t>Censo, seguimiento CER, incidencias e indicadores en una única plataforma.</w:t>
            </w:r>
          </w:p>
          <w:p>
            <w:pPr>
              <w:spacing w:before="120" w:after="0"/>
            </w:pPr>
            <w:r>
              <w:rPr>
                <w:b/>
                <w:color w:val="FFFFFF"/>
                <w:sz w:val="24"/>
              </w:rPr>
              <w:t>Más control sobre la gestión. Más visibilidad sobre los resultados.</w:t>
            </w:r>
          </w:p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600000" cy="26359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6359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xmlns:a="http://schemas.openxmlformats.org/drawingml/2006/main" xmlns:pic="http://schemas.openxmlformats.org/drawingml/2006/picture">
                  <wp:extent cx="1224000" cy="326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yn_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32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6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CAPAS DE MAPA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4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IDIOMAS NATIVOS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100%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WEB + MÓVIL</w:t>
            </w:r>
          </w:p>
        </w:tc>
        <w:tc>
          <w:tcPr>
            <w:tcW w:type="dxa" w:w="2551"/>
            <w:shd w:val="clear" w:color="auto" w:fill="F1F1F1"/>
            <w:tcMar>
              <w:top w:w="283" w:type="dxa"/>
              <w:left w:w="340" w:type="dxa"/>
              <w:bottom w:w="283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30"/>
              </w:rPr>
              <w:t>24/7</w:t>
            </w:r>
          </w:p>
          <w:p>
            <w:pPr>
              <w:spacing w:before="0" w:after="0"/>
            </w:pPr>
            <w:r>
              <w:rPr>
                <w:b/>
                <w:color w:val="4A5A52"/>
                <w:sz w:val="14"/>
                <w:spacing w:val="10"/>
              </w:rPr>
              <w:t>ACCESO EN CAMPO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453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EL PROBLEMA</w:t>
            </w:r>
          </w:p>
          <w:p>
            <w:pPr>
              <w:spacing w:before="120" w:after="0"/>
            </w:pPr>
            <w:r>
              <w:rPr>
                <w:b w:val="0"/>
                <w:color w:val="0D1F17"/>
                <w:sz w:val="20"/>
              </w:rPr>
              <w:t>La mayoría de ayuntamientos gestionan el programa con hojas de cálculo y grupos de mensajería. Cuando llega una auditoría o una pregunta política, nadie puede responder en minutos.</w:t>
            </w:r>
          </w:p>
          <w:p>
            <w:pPr>
              <w:spacing w:before="120" w:after="120"/>
              <w:pBdr>
                <w:top w:val="single" w:sz="24" w:color="2EE07F" w:space="1"/>
              </w:pBdr>
              <w:ind w:right="8504"/>
            </w:pPr>
          </w:p>
          <w:p>
            <w:pPr>
              <w:spacing w:before="0" w:after="0"/>
            </w:pPr>
            <w:r>
              <w:rPr>
                <w:b/>
              </w:rPr>
              <w:t>CATMetrix</w:t>
            </w:r>
            <w:r>
              <w:t xml:space="preserve"> convierte esta obligación legal en un procedimiento digital, trazable y acreditable desde el primer día.</w:t>
            </w:r>
          </w:p>
          <w:p>
            <w:pPr>
              <w:spacing w:before="80"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Alta en días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Configuración del municipio y catálogos iniciales, sin desarrollo a medida.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Migración incluida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Su hoja de cálculo actual, cargada y validada antes de escribir nada en el censo.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Formación por perfiles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Sesiones diferenciadas para personal técnico, asociaciones y voluntariado.</w:t>
            </w:r>
          </w:p>
        </w:tc>
      </w:tr>
    </w:tbl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1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FUNCIONALIDADES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Seis módulos, un solo registro.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5102"/>
      </w:tblGrid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Censo territorial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Cartografía de seis capas sobre el IGN: colonias, incidencias, zonas sensibles y radios de campeo.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Ficha clínica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Historial completo por gato, con certificados oficiales de esterilización y vacunación en PDF.</w:t>
            </w:r>
          </w:p>
        </w:tc>
      </w:tr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Sistema CER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Captura, esterilización y retorno con indicadores de eficacia y alertas de ciclos estancados.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Incidencias vecinales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Quejas geolocalizadas con flujo de estados y expediente acreditativo completo.</w:t>
            </w:r>
          </w:p>
        </w:tc>
      </w:tr>
      <w:tr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Voluntariado y asociaciones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Credencial digital, validación municipal de propuestas y mensajería interna por ámbitos.</w:t>
            </w:r>
          </w:p>
        </w:tc>
        <w:tc>
          <w:tcPr>
            <w:tcW w:type="dxa" w:w="51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Cuadro de mando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Informes automáticos, periódicos y exportables, con las mismas cifras que la pantalla.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980000" cy="22680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2680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Mapa municipal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Colonias, incidencias y zonas sensibles sobre cartografía del IGN.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Cuadro de mando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Indicadores generales y evolución mensual del programa.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0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7"/>
              </w:rPr>
              <w:t>Certificado oficial</w:t>
            </w:r>
          </w:p>
          <w:p>
            <w:pPr>
              <w:spacing w:before="0" w:after="0"/>
            </w:pPr>
            <w:r>
              <w:rPr>
                <w:b w:val="0"/>
                <w:color w:val="4A5A52"/>
                <w:sz w:val="16"/>
              </w:rPr>
              <w:t>Generado en PDF con el escudo y el sello del Ayuntamiento.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5386"/>
      </w:tblGrid>
      <w:tr>
        <w:tc>
          <w:tcPr>
            <w:tcW w:type="dxa" w:w="4819"/>
            <w:tcMar>
              <w:top w:w="0" w:type="dxa"/>
              <w:left w:w="0" w:type="dxa"/>
              <w:bottom w:w="0" w:type="dxa"/>
              <w:right w:w="340" w:type="dxa"/>
            </w:tcMar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80000" cy="206310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or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63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  <w:tcMar>
              <w:top w:w="680" w:type="dxa"/>
              <w:left w:w="34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26"/>
              </w:rPr>
              <w:t>Exportación e interoperabilidad</w:t>
            </w:r>
          </w:p>
          <w:p>
            <w:pPr>
              <w:spacing w:before="120" w:after="0" w:line="312" w:lineRule="auto"/>
            </w:pPr>
            <w:r>
              <w:rPr>
                <w:b w:val="0"/>
                <w:color w:val="0D1F17"/>
                <w:sz w:val="19"/>
              </w:rPr>
              <w:t>Cualquier entidad, o el volcado completo del programa, se exporta a Excel y CSV. El censo se publica también en GeoJSON estándar a través de la API, listo para cualquier sistema de información geográfica municipal.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2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TRABAJO EN CAMPO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La misma aplicación, lista para la calle.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  <w:p>
            <w:pPr>
              <w:spacing w:before="0" w:after="200" w:line="312" w:lineRule="auto"/>
            </w:pPr>
            <w:r>
              <w:rPr>
                <w:b w:val="0"/>
                <w:color w:val="4A5A52"/>
                <w:sz w:val="20"/>
              </w:rPr>
              <w:t>La aplicación móvil, disponible para Android y para iOS, comparte con la web el mismo modelo de datos y las mismas reglas. No es una versión reducida: es la misma herramienta, pensada para el trabajo en el punto exacto donde ocurre.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Geolocalización real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La ubicación la toma el mismo dispositivo al dar de alta una colonia, un punto de alimentación o un aviso.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Fotografía desde la cámara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Para la ficha del animal y para el recinto de la colonia, sin pasos intermedios.</w:t>
            </w:r>
          </w:p>
        </w:tc>
        <w:tc>
          <w:tcPr>
            <w:tcW w:type="dxa" w:w="3402"/>
            <w:tcMar>
              <w:top w:w="113" w:type="dxa"/>
              <w:left w:w="0" w:type="dxa"/>
              <w:bottom w:w="34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Mismo registro que la web</w:t>
            </w:r>
          </w:p>
          <w:p>
            <w:pPr>
              <w:spacing w:before="40" w:after="0" w:line="300" w:lineRule="auto"/>
            </w:pPr>
            <w:r>
              <w:rPr>
                <w:b w:val="0"/>
                <w:color w:val="4A5A52"/>
                <w:sz w:val="18"/>
              </w:rPr>
              <w:t>Colonias, gatos, CER, incidencias y voluntariado, dados de alta directamente en el punto de trabajo.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402"/>
        <w:gridCol w:w="3402"/>
        <w:gridCol w:w="3402"/>
      </w:tblGrid>
      <w:tr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693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69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7934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79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tcMar>
              <w:top w:w="0" w:type="dxa"/>
              <w:left w:w="170" w:type="dxa"/>
              <w:bottom w:w="0" w:type="dxa"/>
              <w:right w:w="1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793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79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Mapa con capas activables</w:t>
            </w:r>
          </w:p>
        </w:tc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Ficha clínica con cámara</w:t>
            </w:r>
          </w:p>
        </w:tc>
        <w:tc>
          <w:tcPr>
            <w:tcW w:type="dxa" w:w="3402"/>
          </w:tcPr>
          <w:p>
            <w:pPr>
              <w:spacing w:before="60" w:after="0"/>
              <w:jc w:val="center"/>
            </w:pPr>
            <w:r>
              <w:rPr>
                <w:b/>
                <w:color w:val="444444"/>
                <w:sz w:val="16"/>
              </w:rPr>
              <w:t>Sistema CER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340" w:type="dxa"/>
              <w:left w:w="0" w:type="dxa"/>
              <w:bottom w:w="0" w:type="dxa"/>
              <w:right w:w="2268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El efecto sobre la calidad del censo es inmediato: el dato se registra donde y cuando se observa, que es el único momento en que es exacto.</w:t>
            </w:r>
          </w:p>
          <w:p>
            <w:pPr>
              <w:spacing w:before="120" w:after="120"/>
              <w:pBdr>
                <w:top w:val="single" w:sz="24" w:color="2EE07F" w:space="1"/>
              </w:pBdr>
              <w:ind w:right="8504"/>
            </w:pP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color w:val="4A5A52"/>
          <w:sz w:val="15"/>
        </w:rPr>
        <w:t>DYN HUB, S.L. · www.dynhub.es</w:t>
        <w:tab/>
        <w:tab/>
        <w:t>3 / 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5"/>
      </w:tblGrid>
      <w:tr>
        <w:tc>
          <w:tcPr>
            <w:tcW w:type="dxa" w:w="10205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POR QUÉ DYN HUB</w:t>
            </w:r>
          </w:p>
          <w:p>
            <w:pPr>
              <w:spacing w:before="80" w:after="0" w:line="240" w:lineRule="auto"/>
            </w:pPr>
            <w:r>
              <w:rPr>
                <w:b/>
                <w:color w:val="0D1F17"/>
                <w:sz w:val="48"/>
              </w:rPr>
              <w:t>Producto propio. Sin intermediarios.</w:t>
            </w:r>
          </w:p>
          <w:p>
            <w:pPr>
              <w:spacing w:before="80" w:after="160"/>
              <w:pBdr>
                <w:top w:val="single" w:sz="24" w:color="2EE07F" w:space="1"/>
              </w:pBdr>
              <w:ind w:right="8504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94"/>
        <w:gridCol w:w="9411"/>
      </w:tblGrid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01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Arquitectura multimunicipio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Cada ayuntamiento configura su propio entorno: identidad, catálogos y encuadre, sin tocar código.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02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Multiidioma nativo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Catalán, castellano, euskera y gallego, también en los certificados e informes en PDF.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03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Seguridad y RGPD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Autenticación obligatoria, cifrado en tránsito, copias diarias y trazabilidad de autoría en cada acción.</w:t>
            </w:r>
          </w:p>
        </w:tc>
      </w:tr>
      <w:tr>
        <w:tc>
          <w:tcPr>
            <w:tcW w:type="dxa" w:w="794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8AD7B0"/>
                <w:sz w:val="24"/>
              </w:rPr>
              <w:t>04</w:t>
            </w:r>
          </w:p>
        </w:tc>
        <w:tc>
          <w:tcPr>
            <w:tcW w:type="dxa" w:w="9411"/>
            <w:tcMar>
              <w:top w:w="113" w:type="dxa"/>
              <w:left w:w="0" w:type="dxa"/>
              <w:bottom w:w="3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20"/>
              </w:rPr>
              <w:t>Evolución continua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Mantenimiento correctivo, adaptativo y evolutivo incluido durante toda la vigencia del contrato.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tcMar>
              <w:top w:w="34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CUMPLIMIENTO NORMATIVO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551"/>
        <w:gridCol w:w="2551"/>
        <w:gridCol w:w="3969"/>
      </w:tblGrid>
      <w:tr>
        <w:tc>
          <w:tcPr>
            <w:tcW w:type="dxa" w:w="2551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Ley 7/2023 · art. 39</w:t>
            </w:r>
          </w:p>
        </w:tc>
        <w:tc>
          <w:tcPr>
            <w:tcW w:type="dxa" w:w="2551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RGPD · LO 3/2018</w:t>
            </w:r>
          </w:p>
        </w:tc>
        <w:tc>
          <w:tcPr>
            <w:tcW w:type="dxa" w:w="3969"/>
            <w:shd w:val="clear" w:color="auto" w:fill="E9F7EF"/>
            <w:tcMar>
              <w:top w:w="170" w:type="dxa"/>
              <w:left w:w="226" w:type="dxa"/>
              <w:bottom w:w="170" w:type="dxa"/>
              <w:right w:w="226" w:type="dxa"/>
            </w:tcMar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</w:rPr>
              <w:t>RD 1112/2018 · WCAG 2.1 AA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spacing w:before="0" w:after="0"/>
            </w:pPr>
            <w:r>
              <w:rPr>
                <w:b/>
                <w:color w:val="14684A"/>
                <w:sz w:val="16"/>
                <w:spacing w:val="30"/>
              </w:rPr>
              <w:t>Y ADEMÁS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989"/>
        <w:gridCol w:w="5216"/>
      </w:tblGrid>
      <w:tr>
        <w:tc>
          <w:tcPr>
            <w:tcW w:type="dxa" w:w="4989"/>
            <w:shd w:val="clear" w:color="auto" w:fill="F1F1F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19"/>
              </w:rPr>
              <w:t>Catalán · Castellano · Euskera · Gallego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También en certificados e informes.</w:t>
            </w:r>
          </w:p>
        </w:tc>
        <w:tc>
          <w:tcPr>
            <w:tcW w:type="dxa" w:w="5216"/>
            <w:shd w:val="clear" w:color="auto" w:fill="F1F1F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0"/>
            </w:pPr>
            <w:r>
              <w:rPr>
                <w:b/>
                <w:color w:val="0D1F17"/>
                <w:sz w:val="19"/>
              </w:rPr>
              <w:t>Migración incluida</w:t>
            </w:r>
          </w:p>
          <w:p>
            <w:pPr>
              <w:spacing w:before="40" w:after="0"/>
            </w:pPr>
            <w:r>
              <w:rPr>
                <w:b w:val="0"/>
                <w:color w:val="4A5A52"/>
                <w:sz w:val="18"/>
              </w:rPr>
              <w:t>Su hoja de cálculo actual, cargada y validada.</w:t>
            </w:r>
          </w:p>
        </w:tc>
      </w:tr>
    </w:tbl>
    <w:p>
      <w:pPr>
        <w:spacing w:before="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236"/>
        <w:gridCol w:w="3969"/>
      </w:tblGrid>
      <w:tr>
        <w:tc>
          <w:tcPr>
            <w:tcW w:type="dxa" w:w="6236"/>
            <w:shd w:val="clear" w:color="auto" w:fill="1F9D63"/>
            <w:tcMar>
              <w:top w:w="453" w:type="dxa"/>
              <w:left w:w="453" w:type="dxa"/>
              <w:bottom w:w="453" w:type="dxa"/>
              <w:right w:w="453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32"/>
              </w:rPr>
              <w:t>Hablemos.</w:t>
            </w:r>
          </w:p>
          <w:p>
            <w:pPr>
              <w:spacing w:before="80" w:after="0"/>
            </w:pPr>
            <w:r>
              <w:rPr>
                <w:b w:val="0"/>
                <w:color w:val="FFFFFF"/>
                <w:sz w:val="18"/>
              </w:rPr>
              <w:t>Le ofrecemos una demostración sin compromiso sobre datos reales de su municipio.</w:t>
            </w:r>
          </w:p>
          <w:p>
            <w:pPr>
              <w:spacing w:before="160" w:after="0"/>
            </w:pPr>
            <w:r>
              <w:rPr>
                <w:b/>
                <w:color w:val="FFFFFF"/>
                <w:sz w:val="17"/>
              </w:rPr>
              <w:t>WEB: www.dynhub.es   ·   TELÉFONO: 620 082 395   ·   EMAIL: ignacio.moure@dynhub.es</w:t>
            </w:r>
          </w:p>
        </w:tc>
        <w:tc>
          <w:tcPr>
            <w:tcW w:type="dxa" w:w="3969"/>
            <w:shd w:val="clear" w:color="auto" w:fill="1F9D63"/>
            <w:tcMar>
              <w:top w:w="567" w:type="dxa"/>
              <w:left w:w="453" w:type="dxa"/>
              <w:bottom w:w="453" w:type="dxa"/>
              <w:right w:w="453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12000" cy="39544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yn2_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9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680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