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5"/>
      </w:tblGrid>
      <w:tr>
        <w:tc>
          <w:tcPr>
            <w:tcW w:type="dxa" w:w="10205"/>
            <w:shd w:val="clear" w:color="auto" w:fill="1F9D63"/>
            <w:tcMar>
              <w:top w:w="453" w:type="dxa"/>
              <w:left w:w="453" w:type="dxa"/>
              <w:bottom w:w="453" w:type="dxa"/>
              <w:right w:w="45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233474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at_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474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80" w:after="0"/>
            </w:pPr>
            <w:r>
              <w:rPr>
                <w:b/>
                <w:color w:val="FFFFFF"/>
                <w:sz w:val="16"/>
                <w:spacing w:val="30"/>
              </w:rPr>
              <w:t>GESTIÓN DE COLONIAS FELINAS URBANAS</w:t>
            </w:r>
          </w:p>
          <w:p>
            <w:pPr>
              <w:spacing w:before="160" w:after="0" w:line="240" w:lineRule="auto"/>
            </w:pPr>
            <w:r>
              <w:rPr>
                <w:b/>
                <w:color w:val="FFFFFF"/>
                <w:sz w:val="60"/>
              </w:rPr>
              <w:t>Un programa municipal que se puede demostrar.</w:t>
            </w:r>
          </w:p>
          <w:p>
            <w:pPr>
              <w:spacing w:before="200" w:after="0"/>
            </w:pPr>
            <w:r>
              <w:rPr>
                <w:b w:val="0"/>
                <w:color w:val="FFFFFF"/>
                <w:sz w:val="22"/>
              </w:rPr>
              <w:t>Censo, fichas clínicas, control CER e incidencias en una sola plataforma</w:t>
            </w:r>
          </w:p>
          <w:p>
            <w:pPr>
              <w:spacing w:before="120" w:after="0"/>
            </w:pPr>
            <w:r>
              <w:rPr>
                <w:b/>
                <w:color w:val="FFFFFF"/>
                <w:sz w:val="24"/>
              </w:rPr>
              <w:t>LISTO PARA HOY.</w:t>
            </w:r>
          </w:p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600000" cy="26359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635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</w:pPr>
            <w:r>
              <w:drawing>
                <wp:inline xmlns:a="http://schemas.openxmlformats.org/drawingml/2006/main" xmlns:pic="http://schemas.openxmlformats.org/drawingml/2006/picture">
                  <wp:extent cx="1224000" cy="326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dyn_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32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F1F1F1"/>
            <w:tcMar>
              <w:top w:w="283" w:type="dxa"/>
              <w:left w:w="340" w:type="dxa"/>
              <w:bottom w:w="283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30"/>
              </w:rPr>
              <w:t>6</w:t>
            </w:r>
          </w:p>
          <w:p>
            <w:pPr>
              <w:spacing w:before="0" w:after="0"/>
            </w:pPr>
            <w:r>
              <w:rPr>
                <w:b/>
                <w:color w:val="4A5A52"/>
                <w:sz w:val="14"/>
                <w:spacing w:val="10"/>
              </w:rPr>
              <w:t>CAPAS DE MAPA</w:t>
            </w:r>
          </w:p>
        </w:tc>
        <w:tc>
          <w:tcPr>
            <w:tcW w:type="dxa" w:w="2551"/>
            <w:shd w:val="clear" w:color="auto" w:fill="F1F1F1"/>
            <w:tcMar>
              <w:top w:w="283" w:type="dxa"/>
              <w:left w:w="340" w:type="dxa"/>
              <w:bottom w:w="283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30"/>
              </w:rPr>
              <w:t>4</w:t>
            </w:r>
          </w:p>
          <w:p>
            <w:pPr>
              <w:spacing w:before="0" w:after="0"/>
            </w:pPr>
            <w:r>
              <w:rPr>
                <w:b/>
                <w:color w:val="4A5A52"/>
                <w:sz w:val="14"/>
                <w:spacing w:val="10"/>
              </w:rPr>
              <w:t>IDIOMAS NATIVOS</w:t>
            </w:r>
          </w:p>
        </w:tc>
        <w:tc>
          <w:tcPr>
            <w:tcW w:type="dxa" w:w="2551"/>
            <w:shd w:val="clear" w:color="auto" w:fill="F1F1F1"/>
            <w:tcMar>
              <w:top w:w="283" w:type="dxa"/>
              <w:left w:w="340" w:type="dxa"/>
              <w:bottom w:w="283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30"/>
              </w:rPr>
              <w:t>100%</w:t>
            </w:r>
          </w:p>
          <w:p>
            <w:pPr>
              <w:spacing w:before="0" w:after="0"/>
            </w:pPr>
            <w:r>
              <w:rPr>
                <w:b/>
                <w:color w:val="4A5A52"/>
                <w:sz w:val="14"/>
                <w:spacing w:val="10"/>
              </w:rPr>
              <w:t>WEB + MÓVIL</w:t>
            </w:r>
          </w:p>
        </w:tc>
        <w:tc>
          <w:tcPr>
            <w:tcW w:type="dxa" w:w="2551"/>
            <w:shd w:val="clear" w:color="auto" w:fill="F1F1F1"/>
            <w:tcMar>
              <w:top w:w="283" w:type="dxa"/>
              <w:left w:w="340" w:type="dxa"/>
              <w:bottom w:w="283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30"/>
              </w:rPr>
              <w:t>24/7</w:t>
            </w:r>
          </w:p>
          <w:p>
            <w:pPr>
              <w:spacing w:before="0" w:after="0"/>
            </w:pPr>
            <w:r>
              <w:rPr>
                <w:b/>
                <w:color w:val="4A5A52"/>
                <w:sz w:val="14"/>
                <w:spacing w:val="10"/>
              </w:rPr>
              <w:t>ACCESO EN CAMPO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tcMar>
              <w:top w:w="453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  <w:spacing w:val="30"/>
              </w:rPr>
              <w:t>EL PROBLEMA</w:t>
            </w:r>
          </w:p>
          <w:p>
            <w:pPr>
              <w:spacing w:before="120" w:after="0"/>
            </w:pPr>
            <w:r>
              <w:rPr>
                <w:b w:val="0"/>
                <w:color w:val="0D1F17"/>
                <w:sz w:val="20"/>
              </w:rPr>
              <w:t>La mayoría de ayuntamientos gestionan el programa con hojas de cálculo y grupos de mensajería. Cuando llega una auditoría o una pregunta política, nadie puede responder en minutos.</w:t>
            </w:r>
          </w:p>
          <w:p>
            <w:pPr>
              <w:spacing w:before="120" w:after="120"/>
              <w:pBdr>
                <w:top w:val="single" w:sz="24" w:color="2EE07F" w:space="1"/>
              </w:pBdr>
              <w:ind w:right="8504"/>
            </w:pPr>
          </w:p>
          <w:p>
            <w:pPr>
              <w:spacing w:before="0" w:after="0"/>
            </w:pPr>
            <w:r>
              <w:rPr>
                <w:b/>
              </w:rPr>
              <w:t>CATMetrix</w:t>
            </w:r>
            <w:r>
              <w:t xml:space="preserve"> convierte esta obligación legal en un procedimiento digital, trazable y acreditable desde el primer día.</w:t>
            </w:r>
          </w:p>
          <w:p>
            <w:pPr>
              <w:spacing w:before="8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3402"/>
        <w:gridCol w:w="3402"/>
      </w:tblGrid>
      <w:tr>
        <w:tc>
          <w:tcPr>
            <w:tcW w:type="dxa" w:w="34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Alta en días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Configuración del municipio y catálogos iniciales, sin desarrollo a medida.</w:t>
            </w:r>
          </w:p>
        </w:tc>
        <w:tc>
          <w:tcPr>
            <w:tcW w:type="dxa" w:w="34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Migración incluida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Su hoja de cálculo actual, cargada y validada antes de escribir nada en el censo.</w:t>
            </w:r>
          </w:p>
        </w:tc>
        <w:tc>
          <w:tcPr>
            <w:tcW w:type="dxa" w:w="34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Formación por perfiles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Sesiones diferenciadas para personal técnico, asociaciones y voluntariado.</w:t>
            </w:r>
          </w:p>
        </w:tc>
      </w:tr>
    </w:tbl>
    <w:p>
      <w:pPr>
        <w:spacing w:before="0" w:after="0"/>
      </w:pPr>
      <w:r>
        <w:rPr>
          <w:color w:val="4A5A52"/>
          <w:sz w:val="15"/>
        </w:rPr>
        <w:t>DYN HUB, S.L. · www.dynhub.es</w:t>
        <w:tab/>
        <w:tab/>
        <w:t>1 / 4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5"/>
      </w:tblGrid>
      <w:tr>
        <w:tc>
          <w:tcPr>
            <w:tcW w:type="dxa" w:w="10205"/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  <w:spacing w:val="30"/>
              </w:rPr>
              <w:t>FUNCIONALIDADES</w:t>
            </w:r>
          </w:p>
          <w:p>
            <w:pPr>
              <w:spacing w:before="80" w:after="0" w:line="240" w:lineRule="auto"/>
            </w:pPr>
            <w:r>
              <w:rPr>
                <w:b/>
                <w:color w:val="0D1F17"/>
                <w:sz w:val="48"/>
              </w:rPr>
              <w:t>Seis módulos, un solo registro.</w:t>
            </w:r>
          </w:p>
          <w:p>
            <w:pPr>
              <w:spacing w:before="80" w:after="160"/>
              <w:pBdr>
                <w:top w:val="single" w:sz="24" w:color="2EE07F" w:space="1"/>
              </w:pBdr>
              <w:ind w:right="8504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2"/>
        <w:gridCol w:w="5102"/>
      </w:tblGrid>
      <w:tr>
        <w:tc>
          <w:tcPr>
            <w:tcW w:type="dxa" w:w="51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Censo territorial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Cartografía de seis capas sobre el IGN: colonias, incidencias, zonas sensibles y radios de campeo.</w:t>
            </w:r>
          </w:p>
        </w:tc>
        <w:tc>
          <w:tcPr>
            <w:tcW w:type="dxa" w:w="51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Ficha clínica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Historial completo por gato, con certificados oficiales de esterilización y vacunación en PDF.</w:t>
            </w:r>
          </w:p>
        </w:tc>
      </w:tr>
      <w:tr>
        <w:tc>
          <w:tcPr>
            <w:tcW w:type="dxa" w:w="51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Sistema CER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Captura, esterilización y retorno con indicadores de eficacia y alertas de ciclos estancados.</w:t>
            </w:r>
          </w:p>
        </w:tc>
        <w:tc>
          <w:tcPr>
            <w:tcW w:type="dxa" w:w="51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Incidencias vecinales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Quejas geolocalizadas con flujo de estados y expediente acreditativo completo.</w:t>
            </w:r>
          </w:p>
        </w:tc>
      </w:tr>
      <w:tr>
        <w:tc>
          <w:tcPr>
            <w:tcW w:type="dxa" w:w="51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Voluntariado y asociaciones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Credencial digital, validación municipal de propuestas y mensajería interna por ámbitos.</w:t>
            </w:r>
          </w:p>
        </w:tc>
        <w:tc>
          <w:tcPr>
            <w:tcW w:type="dxa" w:w="51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Cuadro de mando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Informes automáticos, periódicos y exportables, con las mismas cifras que la pantalla.</w:t>
            </w:r>
          </w:p>
        </w:tc>
      </w:tr>
    </w:tbl>
    <w:p>
      <w:pPr>
        <w:spacing w:before="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3402"/>
        <w:gridCol w:w="3402"/>
      </w:tblGrid>
      <w:tr>
        <w:tc>
          <w:tcPr>
            <w:tcW w:type="dxa" w:w="3402"/>
            <w:tcMar>
              <w:top w:w="0" w:type="dxa"/>
              <w:left w:w="0" w:type="dxa"/>
              <w:bottom w:w="0" w:type="dxa"/>
              <w:right w:w="28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980000" cy="226800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2268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tcMar>
              <w:top w:w="0" w:type="dxa"/>
              <w:left w:w="0" w:type="dxa"/>
              <w:bottom w:w="0" w:type="dxa"/>
              <w:right w:w="28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980000" cy="226800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s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2268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tcMar>
              <w:top w:w="0" w:type="dxa"/>
              <w:left w:w="0" w:type="dxa"/>
              <w:bottom w:w="0" w:type="dxa"/>
              <w:right w:w="28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980000" cy="226800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2268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2"/>
            <w:tcMar>
              <w:top w:w="113" w:type="dxa"/>
              <w:left w:w="0" w:type="dxa"/>
              <w:bottom w:w="0" w:type="dxa"/>
              <w:right w:w="283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17"/>
              </w:rPr>
              <w:t>Mapa municipal</w:t>
            </w:r>
          </w:p>
          <w:p>
            <w:pPr>
              <w:spacing w:before="0" w:after="0"/>
            </w:pPr>
            <w:r>
              <w:rPr>
                <w:b w:val="0"/>
                <w:color w:val="4A5A52"/>
                <w:sz w:val="16"/>
              </w:rPr>
              <w:t>Colonias, incidencias y zonas sensibles sobre cartografía del IGN.</w:t>
            </w:r>
          </w:p>
        </w:tc>
        <w:tc>
          <w:tcPr>
            <w:tcW w:type="dxa" w:w="3402"/>
            <w:tcMar>
              <w:top w:w="113" w:type="dxa"/>
              <w:left w:w="0" w:type="dxa"/>
              <w:bottom w:w="0" w:type="dxa"/>
              <w:right w:w="283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17"/>
              </w:rPr>
              <w:t>Cuadro de mando</w:t>
            </w:r>
          </w:p>
          <w:p>
            <w:pPr>
              <w:spacing w:before="0" w:after="0"/>
            </w:pPr>
            <w:r>
              <w:rPr>
                <w:b w:val="0"/>
                <w:color w:val="4A5A52"/>
                <w:sz w:val="16"/>
              </w:rPr>
              <w:t>Indicadores generales y evolución mensual del programa.</w:t>
            </w:r>
          </w:p>
        </w:tc>
        <w:tc>
          <w:tcPr>
            <w:tcW w:type="dxa" w:w="3402"/>
            <w:tcMar>
              <w:top w:w="113" w:type="dxa"/>
              <w:left w:w="0" w:type="dxa"/>
              <w:bottom w:w="0" w:type="dxa"/>
              <w:right w:w="283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17"/>
              </w:rPr>
              <w:t>Certificado oficial</w:t>
            </w:r>
          </w:p>
          <w:p>
            <w:pPr>
              <w:spacing w:before="0" w:after="0"/>
            </w:pPr>
            <w:r>
              <w:rPr>
                <w:b w:val="0"/>
                <w:color w:val="4A5A52"/>
                <w:sz w:val="16"/>
              </w:rPr>
              <w:t>Generado en PDF con el escudo y el sello del Ayuntamiento.</w:t>
            </w:r>
          </w:p>
        </w:tc>
      </w:tr>
    </w:tbl>
    <w:p>
      <w:pPr>
        <w:spacing w:before="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5386"/>
      </w:tblGrid>
      <w:tr>
        <w:tc>
          <w:tcPr>
            <w:tcW w:type="dxa" w:w="4819"/>
            <w:tcMar>
              <w:top w:w="0" w:type="dxa"/>
              <w:left w:w="0" w:type="dxa"/>
              <w:bottom w:w="0" w:type="dxa"/>
              <w:right w:w="34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80000" cy="206310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or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63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Mar>
              <w:top w:w="680" w:type="dxa"/>
              <w:left w:w="34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26"/>
              </w:rPr>
              <w:t>Exportación e interoperabilidad</w:t>
            </w:r>
          </w:p>
          <w:p>
            <w:pPr>
              <w:spacing w:before="120" w:after="0" w:line="312" w:lineRule="auto"/>
            </w:pPr>
            <w:r>
              <w:rPr>
                <w:b w:val="0"/>
                <w:color w:val="0D1F17"/>
                <w:sz w:val="19"/>
              </w:rPr>
              <w:t>Cualquier entidad, o el volcado completo del programa, se exporta a Excel y CSV. El censo se publica también en GeoJSON estándar a través de la API, listo para cualquier sistema de información geográfica municipal.</w:t>
            </w:r>
          </w:p>
        </w:tc>
      </w:tr>
    </w:tbl>
    <w:p>
      <w:pPr>
        <w:spacing w:before="0" w:after="0"/>
      </w:pPr>
    </w:p>
    <w:p>
      <w:pPr>
        <w:spacing w:before="0" w:after="0"/>
      </w:pPr>
      <w:r>
        <w:rPr>
          <w:color w:val="4A5A52"/>
          <w:sz w:val="15"/>
        </w:rPr>
        <w:t>DYN HUB, S.L. · www.dynhub.es</w:t>
        <w:tab/>
        <w:tab/>
        <w:t>2 / 4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5"/>
      </w:tblGrid>
      <w:tr>
        <w:tc>
          <w:tcPr>
            <w:tcW w:type="dxa" w:w="10205"/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  <w:spacing w:val="30"/>
              </w:rPr>
              <w:t>TRABAJO EN CAMPO</w:t>
            </w:r>
          </w:p>
          <w:p>
            <w:pPr>
              <w:spacing w:before="80" w:after="0" w:line="240" w:lineRule="auto"/>
            </w:pPr>
            <w:r>
              <w:rPr>
                <w:b/>
                <w:color w:val="0D1F17"/>
                <w:sz w:val="48"/>
              </w:rPr>
              <w:t>La misma aplicación, lista para la calle.</w:t>
            </w:r>
          </w:p>
          <w:p>
            <w:pPr>
              <w:spacing w:before="80" w:after="160"/>
              <w:pBdr>
                <w:top w:val="single" w:sz="24" w:color="2EE07F" w:space="1"/>
              </w:pBdr>
              <w:ind w:right="8504"/>
            </w:pPr>
          </w:p>
          <w:p>
            <w:pPr>
              <w:spacing w:before="0" w:after="200" w:line="312" w:lineRule="auto"/>
            </w:pPr>
            <w:r>
              <w:rPr>
                <w:b w:val="0"/>
                <w:color w:val="4A5A52"/>
                <w:sz w:val="20"/>
              </w:rPr>
              <w:t>La aplicación móvil, disponible para Android y para iOS, comparte con la web el mismo modelo de datos y las mismas reglas. No es una versión reducida: es la misma herramienta, pensada para el trabajo en el punto exacto donde ocurre.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3402"/>
        <w:gridCol w:w="3402"/>
      </w:tblGrid>
      <w:tr>
        <w:tc>
          <w:tcPr>
            <w:tcW w:type="dxa" w:w="34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Geolocalización real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La ubicación la toma el mismo dispositivo al dar de alta una colonia, un punto de alimentación o un aviso.</w:t>
            </w:r>
          </w:p>
        </w:tc>
        <w:tc>
          <w:tcPr>
            <w:tcW w:type="dxa" w:w="34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Fotografía desde la cámara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Para la ficha del animal y para el recinto de la colonia, sin pasos intermedios.</w:t>
            </w:r>
          </w:p>
        </w:tc>
        <w:tc>
          <w:tcPr>
            <w:tcW w:type="dxa" w:w="3402"/>
            <w:tcMar>
              <w:top w:w="113" w:type="dxa"/>
              <w:left w:w="0" w:type="dxa"/>
              <w:bottom w:w="34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Mismo registro que la web</w:t>
            </w:r>
          </w:p>
          <w:p>
            <w:pPr>
              <w:spacing w:before="40" w:after="0" w:line="300" w:lineRule="auto"/>
            </w:pPr>
            <w:r>
              <w:rPr>
                <w:b w:val="0"/>
                <w:color w:val="4A5A52"/>
                <w:sz w:val="18"/>
              </w:rPr>
              <w:t>Colonias, gatos, CER, incidencias y voluntariado, dados de alta directamente en el punto de trabajo.</w:t>
            </w:r>
          </w:p>
        </w:tc>
      </w:tr>
    </w:tbl>
    <w:p>
      <w:pPr>
        <w:spacing w:before="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3402"/>
        <w:gridCol w:w="3402"/>
      </w:tblGrid>
      <w:tr>
        <w:tc>
          <w:tcPr>
            <w:tcW w:type="dxa" w:w="3402"/>
            <w:tcMar>
              <w:top w:w="0" w:type="dxa"/>
              <w:left w:w="170" w:type="dxa"/>
              <w:bottom w:w="0" w:type="dxa"/>
              <w:right w:w="17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306935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30693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tcMar>
              <w:top w:w="0" w:type="dxa"/>
              <w:left w:w="170" w:type="dxa"/>
              <w:bottom w:w="0" w:type="dxa"/>
              <w:right w:w="17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307934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30793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tcMar>
              <w:top w:w="0" w:type="dxa"/>
              <w:left w:w="170" w:type="dxa"/>
              <w:bottom w:w="0" w:type="dxa"/>
              <w:right w:w="17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307934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30793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2"/>
          </w:tcPr>
          <w:p>
            <w:pPr>
              <w:spacing w:before="60" w:after="0"/>
              <w:jc w:val="center"/>
            </w:pPr>
            <w:r>
              <w:rPr>
                <w:b/>
                <w:color w:val="444444"/>
                <w:sz w:val="16"/>
              </w:rPr>
              <w:t>Mapa con capas activables</w:t>
            </w:r>
          </w:p>
        </w:tc>
        <w:tc>
          <w:tcPr>
            <w:tcW w:type="dxa" w:w="3402"/>
          </w:tcPr>
          <w:p>
            <w:pPr>
              <w:spacing w:before="60" w:after="0"/>
              <w:jc w:val="center"/>
            </w:pPr>
            <w:r>
              <w:rPr>
                <w:b/>
                <w:color w:val="444444"/>
                <w:sz w:val="16"/>
              </w:rPr>
              <w:t>Ficha clínica con cámara</w:t>
            </w:r>
          </w:p>
        </w:tc>
        <w:tc>
          <w:tcPr>
            <w:tcW w:type="dxa" w:w="3402"/>
          </w:tcPr>
          <w:p>
            <w:pPr>
              <w:spacing w:before="60" w:after="0"/>
              <w:jc w:val="center"/>
            </w:pPr>
            <w:r>
              <w:rPr>
                <w:b/>
                <w:color w:val="444444"/>
                <w:sz w:val="16"/>
              </w:rPr>
              <w:t>Sistema CER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tcMar>
              <w:top w:w="340" w:type="dxa"/>
              <w:left w:w="0" w:type="dxa"/>
              <w:bottom w:w="0" w:type="dxa"/>
              <w:right w:w="2268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El efecto sobre la calidad del censo es inmediato: el dato se registra donde y cuando se observa, que es el único momento en que es exacto.</w:t>
            </w:r>
          </w:p>
          <w:p>
            <w:pPr>
              <w:spacing w:before="120" w:after="120"/>
              <w:pBdr>
                <w:top w:val="single" w:sz="24" w:color="2EE07F" w:space="1"/>
              </w:pBdr>
              <w:ind w:right="8504"/>
            </w:pPr>
          </w:p>
        </w:tc>
      </w:tr>
    </w:tbl>
    <w:p>
      <w:pPr>
        <w:spacing w:before="0" w:after="0"/>
      </w:pPr>
    </w:p>
    <w:p>
      <w:pPr>
        <w:spacing w:before="0" w:after="0"/>
      </w:pPr>
      <w:r>
        <w:rPr>
          <w:color w:val="4A5A52"/>
          <w:sz w:val="15"/>
        </w:rPr>
        <w:t>DYN HUB, S.L. · www.dynhub.es</w:t>
        <w:tab/>
        <w:tab/>
        <w:t>3 / 4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5"/>
      </w:tblGrid>
      <w:tr>
        <w:tc>
          <w:tcPr>
            <w:tcW w:type="dxa" w:w="10205"/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  <w:spacing w:val="30"/>
              </w:rPr>
              <w:t>POR QUÉ DYN HUB</w:t>
            </w:r>
          </w:p>
          <w:p>
            <w:pPr>
              <w:spacing w:before="80" w:after="0" w:line="240" w:lineRule="auto"/>
            </w:pPr>
            <w:r>
              <w:rPr>
                <w:b/>
                <w:color w:val="0D1F17"/>
                <w:sz w:val="48"/>
              </w:rPr>
              <w:t>Producto propio. Sin intermediarios.</w:t>
            </w:r>
          </w:p>
          <w:p>
            <w:pPr>
              <w:spacing w:before="80" w:after="160"/>
              <w:pBdr>
                <w:top w:val="single" w:sz="24" w:color="2EE07F" w:space="1"/>
              </w:pBdr>
              <w:ind w:right="8504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94"/>
        <w:gridCol w:w="9411"/>
      </w:tblGrid>
      <w:tr>
        <w:tc>
          <w:tcPr>
            <w:tcW w:type="dxa" w:w="794"/>
            <w:tcMar>
              <w:top w:w="113" w:type="dxa"/>
              <w:left w:w="0" w:type="dxa"/>
              <w:bottom w:w="34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8AD7B0"/>
                <w:sz w:val="24"/>
              </w:rPr>
              <w:t>01</w:t>
            </w:r>
          </w:p>
        </w:tc>
        <w:tc>
          <w:tcPr>
            <w:tcW w:type="dxa" w:w="9411"/>
            <w:tcMar>
              <w:top w:w="113" w:type="dxa"/>
              <w:left w:w="0" w:type="dxa"/>
              <w:bottom w:w="34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Arquitectura multimunicipio</w:t>
            </w:r>
          </w:p>
          <w:p>
            <w:pPr>
              <w:spacing w:before="40" w:after="0"/>
            </w:pPr>
            <w:r>
              <w:rPr>
                <w:b w:val="0"/>
                <w:color w:val="4A5A52"/>
                <w:sz w:val="18"/>
              </w:rPr>
              <w:t>Cada ayuntamiento configura su propio entorno: identidad, catálogos y encuadre, sin tocar código.</w:t>
            </w:r>
          </w:p>
        </w:tc>
      </w:tr>
      <w:tr>
        <w:tc>
          <w:tcPr>
            <w:tcW w:type="dxa" w:w="794"/>
            <w:tcMar>
              <w:top w:w="113" w:type="dxa"/>
              <w:left w:w="0" w:type="dxa"/>
              <w:bottom w:w="34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8AD7B0"/>
                <w:sz w:val="24"/>
              </w:rPr>
              <w:t>02</w:t>
            </w:r>
          </w:p>
        </w:tc>
        <w:tc>
          <w:tcPr>
            <w:tcW w:type="dxa" w:w="9411"/>
            <w:tcMar>
              <w:top w:w="113" w:type="dxa"/>
              <w:left w:w="0" w:type="dxa"/>
              <w:bottom w:w="34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Multiidioma nativo</w:t>
            </w:r>
          </w:p>
          <w:p>
            <w:pPr>
              <w:spacing w:before="40" w:after="0"/>
            </w:pPr>
            <w:r>
              <w:rPr>
                <w:b w:val="0"/>
                <w:color w:val="4A5A52"/>
                <w:sz w:val="18"/>
              </w:rPr>
              <w:t>Catalán, castellano, euskera y gallego, también en los certificados e informes en PDF.</w:t>
            </w:r>
          </w:p>
        </w:tc>
      </w:tr>
      <w:tr>
        <w:tc>
          <w:tcPr>
            <w:tcW w:type="dxa" w:w="794"/>
            <w:tcMar>
              <w:top w:w="113" w:type="dxa"/>
              <w:left w:w="0" w:type="dxa"/>
              <w:bottom w:w="34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8AD7B0"/>
                <w:sz w:val="24"/>
              </w:rPr>
              <w:t>03</w:t>
            </w:r>
          </w:p>
        </w:tc>
        <w:tc>
          <w:tcPr>
            <w:tcW w:type="dxa" w:w="9411"/>
            <w:tcMar>
              <w:top w:w="113" w:type="dxa"/>
              <w:left w:w="0" w:type="dxa"/>
              <w:bottom w:w="34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Seguridad y RGPD</w:t>
            </w:r>
          </w:p>
          <w:p>
            <w:pPr>
              <w:spacing w:before="40" w:after="0"/>
            </w:pPr>
            <w:r>
              <w:rPr>
                <w:b w:val="0"/>
                <w:color w:val="4A5A52"/>
                <w:sz w:val="18"/>
              </w:rPr>
              <w:t>Autenticación obligatoria, cifrado en tránsito, copias diarias y trazabilidad de autoría en cada acción.</w:t>
            </w:r>
          </w:p>
        </w:tc>
      </w:tr>
      <w:tr>
        <w:tc>
          <w:tcPr>
            <w:tcW w:type="dxa" w:w="794"/>
            <w:tcMar>
              <w:top w:w="113" w:type="dxa"/>
              <w:left w:w="0" w:type="dxa"/>
              <w:bottom w:w="34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8AD7B0"/>
                <w:sz w:val="24"/>
              </w:rPr>
              <w:t>04</w:t>
            </w:r>
          </w:p>
        </w:tc>
        <w:tc>
          <w:tcPr>
            <w:tcW w:type="dxa" w:w="9411"/>
            <w:tcMar>
              <w:top w:w="113" w:type="dxa"/>
              <w:left w:w="0" w:type="dxa"/>
              <w:bottom w:w="34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20"/>
              </w:rPr>
              <w:t>Evolución continua</w:t>
            </w:r>
          </w:p>
          <w:p>
            <w:pPr>
              <w:spacing w:before="40" w:after="0"/>
            </w:pPr>
            <w:r>
              <w:rPr>
                <w:b w:val="0"/>
                <w:color w:val="4A5A52"/>
                <w:sz w:val="18"/>
              </w:rPr>
              <w:t>Mantenimiento correctivo, adaptativo y evolutivo incluido durante toda la vigencia del contrato.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tcMar>
              <w:top w:w="34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  <w:spacing w:val="30"/>
              </w:rPr>
              <w:t>CUMPLIMIENTO NORMATIVO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551"/>
        <w:gridCol w:w="2551"/>
        <w:gridCol w:w="3969"/>
      </w:tblGrid>
      <w:tr>
        <w:tc>
          <w:tcPr>
            <w:tcW w:type="dxa" w:w="2551"/>
            <w:shd w:val="clear" w:color="auto" w:fill="E9F7EF"/>
            <w:tcMar>
              <w:top w:w="170" w:type="dxa"/>
              <w:left w:w="226" w:type="dxa"/>
              <w:bottom w:w="17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</w:rPr>
              <w:t>Ley 7/2023 · art. 39</w:t>
            </w:r>
          </w:p>
        </w:tc>
        <w:tc>
          <w:tcPr>
            <w:tcW w:type="dxa" w:w="2551"/>
            <w:shd w:val="clear" w:color="auto" w:fill="E9F7EF"/>
            <w:tcMar>
              <w:top w:w="170" w:type="dxa"/>
              <w:left w:w="226" w:type="dxa"/>
              <w:bottom w:w="17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</w:rPr>
              <w:t>RGPD · LO 3/2018</w:t>
            </w:r>
          </w:p>
        </w:tc>
        <w:tc>
          <w:tcPr>
            <w:tcW w:type="dxa" w:w="3969"/>
            <w:shd w:val="clear" w:color="auto" w:fill="E9F7EF"/>
            <w:tcMar>
              <w:top w:w="170" w:type="dxa"/>
              <w:left w:w="226" w:type="dxa"/>
              <w:bottom w:w="170" w:type="dxa"/>
              <w:right w:w="226" w:type="dxa"/>
            </w:tcMar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</w:rPr>
              <w:t>RD 1112/2018 · WCAG 2.1 AA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</w:tcPr>
          <w:p>
            <w:pPr>
              <w:spacing w:before="0" w:after="0"/>
            </w:pPr>
            <w:r>
              <w:rPr>
                <w:b/>
                <w:color w:val="14684A"/>
                <w:sz w:val="16"/>
                <w:spacing w:val="30"/>
              </w:rPr>
              <w:t>Y ADEMÁS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989"/>
        <w:gridCol w:w="5216"/>
      </w:tblGrid>
      <w:tr>
        <w:tc>
          <w:tcPr>
            <w:tcW w:type="dxa" w:w="4989"/>
            <w:shd w:val="clear" w:color="auto" w:fill="F1F1F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19"/>
              </w:rPr>
              <w:t>Catalán · Castellano · Euskera · Gallego</w:t>
            </w:r>
          </w:p>
          <w:p>
            <w:pPr>
              <w:spacing w:before="40" w:after="0"/>
            </w:pPr>
            <w:r>
              <w:rPr>
                <w:b w:val="0"/>
                <w:color w:val="4A5A52"/>
                <w:sz w:val="18"/>
              </w:rPr>
              <w:t>También en certificados e informes.</w:t>
            </w:r>
          </w:p>
        </w:tc>
        <w:tc>
          <w:tcPr>
            <w:tcW w:type="dxa" w:w="5216"/>
            <w:shd w:val="clear" w:color="auto" w:fill="F1F1F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0"/>
            </w:pPr>
            <w:r>
              <w:rPr>
                <w:b/>
                <w:color w:val="0D1F17"/>
                <w:sz w:val="19"/>
              </w:rPr>
              <w:t>Migración incluida</w:t>
            </w:r>
          </w:p>
          <w:p>
            <w:pPr>
              <w:spacing w:before="40" w:after="0"/>
            </w:pPr>
            <w:r>
              <w:rPr>
                <w:b w:val="0"/>
                <w:color w:val="4A5A52"/>
                <w:sz w:val="18"/>
              </w:rPr>
              <w:t>Su hoja de cálculo actual, cargada y validada.</w:t>
            </w:r>
          </w:p>
        </w:tc>
      </w:tr>
    </w:tbl>
    <w:p>
      <w:pPr>
        <w:spacing w:before="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6236"/>
        <w:gridCol w:w="3969"/>
      </w:tblGrid>
      <w:tr>
        <w:tc>
          <w:tcPr>
            <w:tcW w:type="dxa" w:w="6236"/>
            <w:shd w:val="clear" w:color="auto" w:fill="1F9D63"/>
            <w:tcMar>
              <w:top w:w="453" w:type="dxa"/>
              <w:left w:w="453" w:type="dxa"/>
              <w:bottom w:w="453" w:type="dxa"/>
              <w:right w:w="453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32"/>
              </w:rPr>
              <w:t>Hablemos.</w:t>
            </w:r>
          </w:p>
          <w:p>
            <w:pPr>
              <w:spacing w:before="80" w:after="0"/>
            </w:pPr>
            <w:r>
              <w:rPr>
                <w:b w:val="0"/>
                <w:color w:val="FFFFFF"/>
                <w:sz w:val="18"/>
              </w:rPr>
              <w:t>Le ofrecemos una demostración sin compromiso sobre datos reales de su municipio.</w:t>
            </w:r>
          </w:p>
          <w:p>
            <w:pPr>
              <w:spacing w:before="160" w:after="0"/>
            </w:pPr>
            <w:r>
              <w:rPr>
                <w:b/>
                <w:color w:val="FFFFFF"/>
                <w:sz w:val="17"/>
              </w:rPr>
              <w:t>WEB: www.dynhub.es   ·   TELÉFONO: 620 082 395   ·   EMAIL: ignacio.moure@dynhub.es</w:t>
            </w:r>
          </w:p>
        </w:tc>
        <w:tc>
          <w:tcPr>
            <w:tcW w:type="dxa" w:w="3969"/>
            <w:shd w:val="clear" w:color="auto" w:fill="1F9D63"/>
            <w:tcMar>
              <w:top w:w="567" w:type="dxa"/>
              <w:left w:w="453" w:type="dxa"/>
              <w:bottom w:w="453" w:type="dxa"/>
              <w:right w:w="453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512000" cy="39544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dyn2_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3954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6" w:h="16838"/>
      <w:pgMar w:top="680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