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0233" w14:textId="77777777" w:rsidR="00775A0A" w:rsidRPr="007F620C" w:rsidRDefault="00000000">
      <w:pPr>
        <w:spacing w:before="600" w:after="200"/>
        <w:jc w:val="center"/>
        <w:rPr>
          <w:color w:val="196B24" w:themeColor="accent3"/>
        </w:rPr>
      </w:pPr>
      <w:r w:rsidRPr="007F620C">
        <w:rPr>
          <w:b/>
          <w:bCs/>
          <w:color w:val="196B24" w:themeColor="accent3"/>
          <w:sz w:val="28"/>
          <w:szCs w:val="28"/>
        </w:rPr>
        <w:t>University Honors Program</w:t>
      </w:r>
    </w:p>
    <w:p w14:paraId="3BAD0FC1" w14:textId="77777777" w:rsidR="00775A0A" w:rsidRPr="007F620C" w:rsidRDefault="00000000">
      <w:pPr>
        <w:spacing w:after="400"/>
        <w:jc w:val="center"/>
        <w:rPr>
          <w:b/>
          <w:bCs/>
        </w:rPr>
      </w:pPr>
      <w:r w:rsidRPr="007F620C">
        <w:rPr>
          <w:b/>
          <w:bCs/>
          <w:i/>
          <w:iCs/>
          <w:color w:val="555555"/>
          <w:sz w:val="22"/>
          <w:szCs w:val="22"/>
        </w:rPr>
        <w:t>Al Akhawayn University in Ifrane</w:t>
      </w:r>
    </w:p>
    <w:p w14:paraId="794245E9" w14:textId="77777777" w:rsidR="00775A0A" w:rsidRDefault="00775A0A">
      <w:pPr>
        <w:pBdr>
          <w:bottom w:val="single" w:sz="4" w:space="1" w:color="1A3A5C"/>
        </w:pBdr>
        <w:spacing w:before="120" w:after="120"/>
      </w:pPr>
    </w:p>
    <w:p w14:paraId="7E8103F0" w14:textId="77777777" w:rsidR="00775A0A" w:rsidRPr="007F620C" w:rsidRDefault="00000000">
      <w:pPr>
        <w:spacing w:before="400" w:after="160"/>
        <w:jc w:val="center"/>
        <w:rPr>
          <w:i/>
          <w:iCs/>
        </w:rPr>
      </w:pPr>
      <w:r w:rsidRPr="007F620C">
        <w:rPr>
          <w:b/>
          <w:bCs/>
          <w:i/>
          <w:iCs/>
          <w:color w:val="555555"/>
          <w:sz w:val="22"/>
          <w:szCs w:val="22"/>
        </w:rPr>
        <w:t>Capstone with Honors Component (CapHC)</w:t>
      </w:r>
    </w:p>
    <w:p w14:paraId="3680F79D" w14:textId="77777777" w:rsidR="00775A0A" w:rsidRPr="007F620C" w:rsidRDefault="00000000">
      <w:pPr>
        <w:spacing w:after="600"/>
        <w:jc w:val="center"/>
        <w:rPr>
          <w:color w:val="196B24" w:themeColor="accent3"/>
        </w:rPr>
      </w:pPr>
      <w:r w:rsidRPr="007F620C">
        <w:rPr>
          <w:b/>
          <w:bCs/>
          <w:color w:val="196B24" w:themeColor="accent3"/>
          <w:sz w:val="28"/>
          <w:szCs w:val="28"/>
        </w:rPr>
        <w:t>Proposal for Interdisciplinary Research</w:t>
      </w:r>
    </w:p>
    <w:p w14:paraId="0CA80B65" w14:textId="77777777" w:rsidR="00775A0A" w:rsidRDefault="00000000">
      <w:pPr>
        <w:spacing w:after="160"/>
        <w:jc w:val="center"/>
      </w:pPr>
      <w:r>
        <w:rPr>
          <w:b/>
          <w:bCs/>
          <w:sz w:val="28"/>
          <w:szCs w:val="28"/>
        </w:rPr>
        <w:t>Can Tactical Playing Style Profiles Derived from Event-Based Football Data Predict Match Outcomes for Teams with No Historical Record?</w:t>
      </w:r>
    </w:p>
    <w:p w14:paraId="25C9CE80" w14:textId="77777777" w:rsidR="00775A0A" w:rsidRDefault="00775A0A">
      <w:pPr>
        <w:spacing w:before="400"/>
      </w:pPr>
    </w:p>
    <w:p w14:paraId="4A03CFCD" w14:textId="77777777" w:rsidR="00775A0A" w:rsidRDefault="00000000">
      <w:pPr>
        <w:spacing w:before="80" w:after="60"/>
        <w:jc w:val="center"/>
      </w:pPr>
      <w:r>
        <w:rPr>
          <w:b/>
          <w:bCs/>
          <w:sz w:val="22"/>
          <w:szCs w:val="22"/>
        </w:rPr>
        <w:t>Student: Mouad Zemzoumi</w:t>
      </w:r>
    </w:p>
    <w:p w14:paraId="0F47DA5F" w14:textId="77777777" w:rsidR="00775A0A" w:rsidRDefault="00000000">
      <w:pPr>
        <w:spacing w:after="60"/>
        <w:jc w:val="center"/>
      </w:pPr>
      <w:r>
        <w:rPr>
          <w:sz w:val="22"/>
          <w:szCs w:val="22"/>
        </w:rPr>
        <w:t>School Supervisor: Dr. Amine Abouaomar</w:t>
      </w:r>
    </w:p>
    <w:p w14:paraId="52911B65" w14:textId="77777777" w:rsidR="00775A0A" w:rsidRDefault="00000000">
      <w:pPr>
        <w:spacing w:after="60"/>
        <w:jc w:val="center"/>
      </w:pPr>
      <w:r>
        <w:rPr>
          <w:sz w:val="22"/>
          <w:szCs w:val="22"/>
        </w:rPr>
        <w:t>Affiliation: University Honors Program</w:t>
      </w:r>
    </w:p>
    <w:p w14:paraId="23D4C3F7" w14:textId="2FB27053" w:rsidR="00775A0A" w:rsidRDefault="00000000">
      <w:pPr>
        <w:spacing w:after="60"/>
        <w:jc w:val="center"/>
      </w:pPr>
      <w:r>
        <w:rPr>
          <w:sz w:val="22"/>
          <w:szCs w:val="22"/>
        </w:rPr>
        <w:t xml:space="preserve">Date: </w:t>
      </w:r>
      <w:r w:rsidR="007F620C">
        <w:rPr>
          <w:sz w:val="22"/>
          <w:szCs w:val="22"/>
        </w:rPr>
        <w:t>May</w:t>
      </w:r>
      <w:r>
        <w:rPr>
          <w:sz w:val="22"/>
          <w:szCs w:val="22"/>
        </w:rPr>
        <w:t xml:space="preserve"> 2026</w:t>
      </w:r>
    </w:p>
    <w:p w14:paraId="346E9F24" w14:textId="77777777" w:rsidR="00775A0A" w:rsidRDefault="00000000">
      <w:r>
        <w:br w:type="page"/>
      </w:r>
    </w:p>
    <w:p w14:paraId="12DBFBB4" w14:textId="77777777" w:rsidR="00775A0A" w:rsidRPr="007F620C" w:rsidRDefault="00000000">
      <w:pPr>
        <w:pStyle w:val="Heading1"/>
        <w:rPr>
          <w:color w:val="196B24" w:themeColor="accent3"/>
        </w:rPr>
      </w:pPr>
      <w:r w:rsidRPr="007F620C">
        <w:rPr>
          <w:color w:val="196B24" w:themeColor="accent3"/>
        </w:rPr>
        <w:lastRenderedPageBreak/>
        <w:t>A. Background and Problem Statement</w:t>
      </w:r>
    </w:p>
    <w:p w14:paraId="1C53D0C8" w14:textId="77777777" w:rsidR="00775A0A" w:rsidRPr="007F620C" w:rsidRDefault="00000000">
      <w:pPr>
        <w:pStyle w:val="Heading2"/>
        <w:rPr>
          <w:color w:val="000000" w:themeColor="text1"/>
        </w:rPr>
      </w:pPr>
      <w:r w:rsidRPr="007F620C">
        <w:rPr>
          <w:color w:val="000000" w:themeColor="text1"/>
        </w:rPr>
        <w:t>Summary of the Capstone Project</w:t>
      </w:r>
    </w:p>
    <w:p w14:paraId="567D3876" w14:textId="792C25E3" w:rsidR="00775A0A" w:rsidRDefault="00000000">
      <w:pPr>
        <w:spacing w:before="80" w:after="80" w:line="360" w:lineRule="auto"/>
        <w:jc w:val="both"/>
      </w:pPr>
      <w:r>
        <w:t xml:space="preserve">Sim2Win is a team-agnostic, event-based pre-match tactical recommendation system for football. The project was developed as a capstone contribution at the School of Science and Engineering and addresses a gap at the intersection of machine learning, sports analytics, and decision support systems. The system ingests historical match event data from eleven professional football competitions spanning 178 teams and uses it to </w:t>
      </w:r>
      <w:proofErr w:type="gramStart"/>
      <w:r>
        <w:t>construct rolling</w:t>
      </w:r>
      <w:proofErr w:type="gramEnd"/>
      <w:r>
        <w:t xml:space="preserve"> tactical profiles, cluster team behaviors into eight interpretable playstyle archetypes, and train a </w:t>
      </w:r>
      <w:proofErr w:type="spellStart"/>
      <w:r w:rsidR="00D47D12">
        <w:t>CatBoost</w:t>
      </w:r>
      <w:proofErr w:type="spellEnd"/>
      <w:r>
        <w:t xml:space="preserve"> classifier to estimate the probability of winning, drawing, or losing for each of multiple tactical configurations tested against a given opponent. The output is a ranked set of pre-match tactical recommendations</w:t>
      </w:r>
      <w:r w:rsidR="009F4F9B">
        <w:t xml:space="preserve"> </w:t>
      </w:r>
      <w:r>
        <w:t xml:space="preserve">specific formations and playstyles that </w:t>
      </w:r>
      <w:r w:rsidR="009F4F9B">
        <w:t>maximize</w:t>
      </w:r>
      <w:r>
        <w:t xml:space="preserve"> win probability against the opponent's tactical identity accompanied by feature-driven explanations of why each recommendation was generated.</w:t>
      </w:r>
    </w:p>
    <w:p w14:paraId="1CEBDC5D" w14:textId="77777777" w:rsidR="00775A0A" w:rsidRDefault="00775A0A">
      <w:pPr>
        <w:spacing w:before="80"/>
      </w:pPr>
    </w:p>
    <w:p w14:paraId="1F7198EE" w14:textId="32D2308A" w:rsidR="00775A0A" w:rsidRDefault="00000000">
      <w:pPr>
        <w:spacing w:before="80" w:after="80" w:line="360" w:lineRule="auto"/>
        <w:jc w:val="both"/>
      </w:pPr>
      <w:r>
        <w:t>The project was validated using a Leave-One-Competition-Out (LOCO) generalization protocol, in which the model was trained on all competitions except one and tested exclusively on teams from the held-out competition that had never appeared in training. Sim2Win achieved a mean ROC-AUC of 0.704 across seven held-out competitions, outperforming three identity-based rating system baselines ELO-G (Hvattum &amp; Arntzen, 2010), Pi-Rating (Constantinou &amp; Fenton, 2013), and GAP (Wheatcroft, 2021) on every competition and every metric, despite using no team names, historical rankings, or identity features of any kind.</w:t>
      </w:r>
    </w:p>
    <w:p w14:paraId="64049E54" w14:textId="77777777" w:rsidR="00775A0A" w:rsidRPr="007F620C" w:rsidRDefault="00000000">
      <w:pPr>
        <w:pStyle w:val="Heading2"/>
        <w:rPr>
          <w:color w:val="000000" w:themeColor="text1"/>
        </w:rPr>
      </w:pPr>
      <w:r w:rsidRPr="007F620C">
        <w:rPr>
          <w:color w:val="000000" w:themeColor="text1"/>
        </w:rPr>
        <w:t>Problem Description</w:t>
      </w:r>
    </w:p>
    <w:p w14:paraId="203ADB61" w14:textId="53359066" w:rsidR="00775A0A" w:rsidRDefault="00000000">
      <w:pPr>
        <w:spacing w:before="80" w:after="80" w:line="360" w:lineRule="auto"/>
        <w:jc w:val="both"/>
      </w:pPr>
      <w:r>
        <w:t>The central operational challenge in professional football is pre-match tactical preparation. Coaching staff must decide before each match which formation to deploy, which pressing intensity to apply, and how directly or patiently to play all in response to a specific opponent's tendencies. This process is consequential: tactical mismatches at the pre-match stage are widely recognized as primary drivers of performance variation across matches played by the same team (Liu et al., 2013; Yamanaka et al., 2020).</w:t>
      </w:r>
    </w:p>
    <w:p w14:paraId="0CFECA12" w14:textId="77777777" w:rsidR="00775A0A" w:rsidRDefault="00775A0A">
      <w:pPr>
        <w:spacing w:before="80"/>
      </w:pPr>
    </w:p>
    <w:p w14:paraId="259AC000" w14:textId="687B5933" w:rsidR="00775A0A" w:rsidRDefault="00000000">
      <w:pPr>
        <w:spacing w:before="80" w:after="80" w:line="360" w:lineRule="auto"/>
        <w:jc w:val="both"/>
      </w:pPr>
      <w:r>
        <w:t xml:space="preserve">Existing data-driven approaches address this challenge in two fundamentally inadequate ways. The majority focus on outcome </w:t>
      </w:r>
      <w:r w:rsidR="009F4F9B">
        <w:t>predictions</w:t>
      </w:r>
      <w:r>
        <w:t xml:space="preserve"> estimating who will win a given match rather than on </w:t>
      </w:r>
      <w:r>
        <w:lastRenderedPageBreak/>
        <w:t xml:space="preserve">tactical </w:t>
      </w:r>
      <w:r w:rsidR="007F620C">
        <w:t>recommendations</w:t>
      </w:r>
      <w:r>
        <w:t xml:space="preserve"> advising what the coaching staff should do to maximize their probability of winning. Outcome prediction is descriptive; tactical recommendation is prescriptive, and it is the prescriptive form that has operational value in practice. Additionally, almost all existing predictive models rely on team identity features: names, accumulated ELO ratings, historical head-to-head records, or league rankings. These features are powerful for teams with long documented histories but fail entirely for newly promoted clubs, national teams with rotating compositions, teams from less-documented competitions, or any team entering a context outside its historical distribution.</w:t>
      </w:r>
    </w:p>
    <w:p w14:paraId="3CC480F7" w14:textId="77777777" w:rsidR="00775A0A" w:rsidRDefault="00775A0A">
      <w:pPr>
        <w:spacing w:before="80"/>
      </w:pPr>
    </w:p>
    <w:p w14:paraId="599449B6" w14:textId="6E5DD593" w:rsidR="00775A0A" w:rsidRDefault="00000000">
      <w:pPr>
        <w:spacing w:before="80" w:after="80" w:line="360" w:lineRule="auto"/>
        <w:jc w:val="both"/>
      </w:pPr>
      <w:r>
        <w:t xml:space="preserve">The significance of this problem extends beyond football. Any domain where decision-makers must select strategies against a counterpart whose behavior can be characterized from observable </w:t>
      </w:r>
      <w:r w:rsidR="009F4F9B">
        <w:t>data,</w:t>
      </w:r>
      <w:r>
        <w:t xml:space="preserve"> but whose historical record is incomplete or absent faces the same structural challenge. Football is an accessible, data-rich domain in which to study it, but the underlying problem is general.</w:t>
      </w:r>
    </w:p>
    <w:p w14:paraId="28DCBDFC" w14:textId="77777777" w:rsidR="00775A0A" w:rsidRPr="007F620C" w:rsidRDefault="00000000">
      <w:pPr>
        <w:pStyle w:val="Heading2"/>
        <w:rPr>
          <w:color w:val="000000" w:themeColor="text1"/>
        </w:rPr>
      </w:pPr>
      <w:r w:rsidRPr="007F620C">
        <w:rPr>
          <w:color w:val="000000" w:themeColor="text1"/>
        </w:rPr>
        <w:t>Problem Statement</w:t>
      </w:r>
    </w:p>
    <w:p w14:paraId="3771317B" w14:textId="7E66BC74" w:rsidR="00775A0A" w:rsidRDefault="00000000">
      <w:pPr>
        <w:spacing w:before="80" w:after="80" w:line="360" w:lineRule="auto"/>
        <w:jc w:val="both"/>
      </w:pPr>
      <w:r>
        <w:t xml:space="preserve">Can a machine learning system </w:t>
      </w:r>
      <w:r w:rsidR="007F620C">
        <w:t>train</w:t>
      </w:r>
      <w:r>
        <w:t xml:space="preserve"> exclusively on tactical feature profiles derived from event-based match data with no access to team names, historical rankings, or identity features generate reliable pre-match tactical recommendations for teams it has never encountered during training, and if so, which statistical and behavioral features of tactical play carry the most predictive signal?</w:t>
      </w:r>
    </w:p>
    <w:p w14:paraId="0C8419B9" w14:textId="77777777" w:rsidR="00775A0A" w:rsidRDefault="00000000">
      <w:r>
        <w:br w:type="page"/>
      </w:r>
    </w:p>
    <w:p w14:paraId="42DB801C" w14:textId="77777777" w:rsidR="00775A0A" w:rsidRDefault="00000000">
      <w:pPr>
        <w:pStyle w:val="Heading1"/>
      </w:pPr>
      <w:r w:rsidRPr="009F4F9B">
        <w:rPr>
          <w:color w:val="275317" w:themeColor="accent6" w:themeShade="80"/>
        </w:rPr>
        <w:lastRenderedPageBreak/>
        <w:t>B. Research Question and Hypothesis</w:t>
      </w:r>
    </w:p>
    <w:p w14:paraId="79CE8AF5" w14:textId="77777777" w:rsidR="00775A0A" w:rsidRPr="009F4F9B" w:rsidRDefault="00000000">
      <w:pPr>
        <w:pStyle w:val="Heading2"/>
        <w:rPr>
          <w:color w:val="000000" w:themeColor="text1"/>
        </w:rPr>
      </w:pPr>
      <w:r w:rsidRPr="009F4F9B">
        <w:rPr>
          <w:color w:val="000000" w:themeColor="text1"/>
        </w:rPr>
        <w:t>Research Question</w:t>
      </w:r>
    </w:p>
    <w:p w14:paraId="03B5E294" w14:textId="72A67B5C" w:rsidR="00775A0A" w:rsidRDefault="00000000">
      <w:pPr>
        <w:spacing w:before="80" w:after="80" w:line="360" w:lineRule="auto"/>
        <w:jc w:val="both"/>
      </w:pPr>
      <w:r>
        <w:t xml:space="preserve">To what extent do rolling tactical feature profiles constructed from event-based football data enable generalizable match outcome prediction and actionable pre-match tactical recommendation for teams absent from the training distribution, and which tactical dimensions pressing intensity, </w:t>
      </w:r>
      <w:proofErr w:type="spellStart"/>
      <w:r>
        <w:t>xG</w:t>
      </w:r>
      <w:proofErr w:type="spellEnd"/>
      <w:r>
        <w:t xml:space="preserve"> output, passing directness, shot quality, or their interaction contribute most to predictive accuracy under team-agnostic conditions?</w:t>
      </w:r>
    </w:p>
    <w:p w14:paraId="73C1E7C2" w14:textId="77777777" w:rsidR="00775A0A" w:rsidRPr="009F4F9B" w:rsidRDefault="00000000">
      <w:pPr>
        <w:pStyle w:val="Heading2"/>
        <w:rPr>
          <w:color w:val="000000" w:themeColor="text1"/>
        </w:rPr>
      </w:pPr>
      <w:r w:rsidRPr="009F4F9B">
        <w:rPr>
          <w:color w:val="000000" w:themeColor="text1"/>
        </w:rPr>
        <w:t>Hypothesis</w:t>
      </w:r>
    </w:p>
    <w:p w14:paraId="70E4ECD1" w14:textId="7C5CD10B" w:rsidR="00775A0A" w:rsidRDefault="00000000">
      <w:pPr>
        <w:spacing w:before="80" w:after="80" w:line="360" w:lineRule="auto"/>
        <w:jc w:val="both"/>
      </w:pPr>
      <w:r>
        <w:t xml:space="preserve">Rolling tactical profile vectors constructed from event-based match data carry sufficient predictive signal to enable a </w:t>
      </w:r>
      <w:proofErr w:type="spellStart"/>
      <w:r w:rsidR="00D47D12">
        <w:t>CatBoost</w:t>
      </w:r>
      <w:proofErr w:type="spellEnd"/>
      <w:r>
        <w:t xml:space="preserve"> classifier to outperform identity-based rating systems on unseen teams, because they capture stylistic behavioral regularities that are generalizable across teams and competitions rather than team-specific reputation effects. Specifically, we hypothesize that pressing-related features pressing efficiency and pressures per game and shot quality metrics will emerge as the dominant predictors of match outcome under team-agnostic conditions, as they are the tactical dimensions most directly linked to controlling territorial and scoring advantage independent of team identity. The Tactical Agreement Score of the system is expected to exceed 60% on unseen competitions, indicating that the model's recommendations align with winning tactical choices more often than chance.</w:t>
      </w:r>
    </w:p>
    <w:p w14:paraId="195E0B22" w14:textId="77777777" w:rsidR="00775A0A" w:rsidRDefault="00000000">
      <w:r>
        <w:br w:type="page"/>
      </w:r>
    </w:p>
    <w:p w14:paraId="47DDDEE8" w14:textId="77777777" w:rsidR="00775A0A" w:rsidRPr="007F620C" w:rsidRDefault="00000000">
      <w:pPr>
        <w:pStyle w:val="Heading1"/>
        <w:rPr>
          <w:color w:val="196B24" w:themeColor="accent3"/>
        </w:rPr>
      </w:pPr>
      <w:r w:rsidRPr="007F620C">
        <w:rPr>
          <w:color w:val="196B24" w:themeColor="accent3"/>
        </w:rPr>
        <w:lastRenderedPageBreak/>
        <w:t>C. Disciplines</w:t>
      </w:r>
    </w:p>
    <w:p w14:paraId="25BD5608" w14:textId="3B019E73" w:rsidR="00775A0A" w:rsidRPr="009F4F9B" w:rsidRDefault="00000000">
      <w:pPr>
        <w:pStyle w:val="Heading2"/>
        <w:rPr>
          <w:color w:val="000000" w:themeColor="text1"/>
        </w:rPr>
      </w:pPr>
      <w:r w:rsidRPr="009F4F9B">
        <w:rPr>
          <w:color w:val="000000" w:themeColor="text1"/>
        </w:rPr>
        <w:t>Leading Discipline: Computer Science</w:t>
      </w:r>
      <w:r w:rsidR="007F620C">
        <w:rPr>
          <w:color w:val="000000" w:themeColor="text1"/>
        </w:rPr>
        <w:t xml:space="preserve"> (</w:t>
      </w:r>
      <w:r w:rsidRPr="009F4F9B">
        <w:rPr>
          <w:color w:val="000000" w:themeColor="text1"/>
        </w:rPr>
        <w:t>Machine Learning and Data Science</w:t>
      </w:r>
      <w:r w:rsidR="007F620C">
        <w:rPr>
          <w:color w:val="000000" w:themeColor="text1"/>
        </w:rPr>
        <w:t>)</w:t>
      </w:r>
    </w:p>
    <w:p w14:paraId="6B9A2C06" w14:textId="1EA0019F" w:rsidR="00775A0A" w:rsidRDefault="00000000">
      <w:pPr>
        <w:spacing w:before="80" w:after="80" w:line="360" w:lineRule="auto"/>
        <w:jc w:val="both"/>
      </w:pPr>
      <w:r>
        <w:t xml:space="preserve">The leading discipline is Computer Science, specifically the sub-disciplines of machine learning, applied data science, and information retrieval. The answer to the research question lies primarily within this discipline because the central technical problem is one of supervised classification and unsupervised clustering: how to represent complex multi-dimensional behavioral data as generalizable feature vectors, how to train a probabilistic classifier that avoids identity-based memorization, and how to evaluate generalization rigorously using out-of-distribution test protocols. The methodological </w:t>
      </w:r>
      <w:r w:rsidR="00D47D12">
        <w:t>contributions to</w:t>
      </w:r>
      <w:r>
        <w:t xml:space="preserve"> the LOCO evaluation design, the rolling window pipeline, the K-Means playstyle clustering, and the multi-model comparison are all grounded in the theoretical and empirical tradition of machine learning research.</w:t>
      </w:r>
    </w:p>
    <w:p w14:paraId="1497C816" w14:textId="77777777" w:rsidR="00775A0A" w:rsidRDefault="00775A0A">
      <w:pPr>
        <w:spacing w:before="80"/>
      </w:pPr>
    </w:p>
    <w:p w14:paraId="1DE3A8AB" w14:textId="5391127B" w:rsidR="00775A0A" w:rsidRDefault="00000000">
      <w:pPr>
        <w:spacing w:before="80" w:after="80" w:line="360" w:lineRule="auto"/>
        <w:jc w:val="both"/>
      </w:pPr>
      <w:r>
        <w:t xml:space="preserve">The sub-discipline of information retrieval is also relevant because the recommendation component of Sim2Win frames the problem as a ranking </w:t>
      </w:r>
      <w:r w:rsidR="00D47D12">
        <w:t>task</w:t>
      </w:r>
      <w:r>
        <w:t xml:space="preserve"> given an opponent's tactical profile, retrieve and rank the tactical configurations that maximize win probability. This is structurally analogous to query-document matching in information retrieval, where a query (opponent profile) is matched against a document space (tactical configurations) to return a ranked list of relevant results (recommendations).</w:t>
      </w:r>
    </w:p>
    <w:p w14:paraId="41CA7632" w14:textId="77777777" w:rsidR="00775A0A" w:rsidRPr="009F4F9B" w:rsidRDefault="00000000">
      <w:pPr>
        <w:pStyle w:val="Heading2"/>
        <w:rPr>
          <w:color w:val="000000" w:themeColor="text1"/>
        </w:rPr>
      </w:pPr>
      <w:r w:rsidRPr="009F4F9B">
        <w:rPr>
          <w:color w:val="000000" w:themeColor="text1"/>
        </w:rPr>
        <w:t>Helping Disciplines</w:t>
      </w:r>
    </w:p>
    <w:p w14:paraId="0F254059" w14:textId="77777777" w:rsidR="00775A0A" w:rsidRDefault="00000000">
      <w:pPr>
        <w:spacing w:before="80" w:after="80" w:line="360" w:lineRule="auto"/>
        <w:jc w:val="both"/>
      </w:pPr>
      <w:r>
        <w:t>Several disciplines contribute supporting frameworks to the research question:</w:t>
      </w:r>
    </w:p>
    <w:p w14:paraId="23224431" w14:textId="567FDF7C" w:rsidR="00775A0A" w:rsidRPr="009F4F9B" w:rsidRDefault="00000000">
      <w:pPr>
        <w:pStyle w:val="ListParagraph"/>
        <w:numPr>
          <w:ilvl w:val="0"/>
          <w:numId w:val="2"/>
        </w:numPr>
        <w:spacing w:before="60" w:after="60"/>
      </w:pPr>
      <w:r w:rsidRPr="009F4F9B">
        <w:t xml:space="preserve">Sports Science and Performance Analysis </w:t>
      </w:r>
      <w:r w:rsidR="009F4F9B" w:rsidRPr="009F4F9B">
        <w:t>provide</w:t>
      </w:r>
      <w:r w:rsidRPr="009F4F9B">
        <w:t xml:space="preserve"> </w:t>
      </w:r>
      <w:r w:rsidR="009F4F9B" w:rsidRPr="009F4F9B">
        <w:t>domain</w:t>
      </w:r>
      <w:r w:rsidRPr="009F4F9B">
        <w:t xml:space="preserve"> vocabulary and empirical context for tactical features: the significance of pressing intensity, </w:t>
      </w:r>
      <w:proofErr w:type="spellStart"/>
      <w:r w:rsidRPr="009F4F9B">
        <w:t>xG</w:t>
      </w:r>
      <w:proofErr w:type="spellEnd"/>
      <w:r w:rsidRPr="009F4F9B">
        <w:t xml:space="preserve"> as a performance metric, the role of formation in shaping team behavior, and the literature on situational variables in football (Liu et al., 2013; Collet, 2013; Lago-Penas et al., 2013). Without grounding in sports science, feature engineering decisions would be arbitrary rather than </w:t>
      </w:r>
      <w:r w:rsidR="009F4F9B" w:rsidRPr="009F4F9B">
        <w:t>domain informed</w:t>
      </w:r>
      <w:r w:rsidRPr="009F4F9B">
        <w:t>.</w:t>
      </w:r>
    </w:p>
    <w:p w14:paraId="749EC591" w14:textId="0149089A" w:rsidR="00775A0A" w:rsidRPr="009F4F9B" w:rsidRDefault="00000000">
      <w:pPr>
        <w:pStyle w:val="ListParagraph"/>
        <w:numPr>
          <w:ilvl w:val="0"/>
          <w:numId w:val="2"/>
        </w:numPr>
        <w:spacing w:before="60" w:after="60"/>
      </w:pPr>
      <w:r w:rsidRPr="009F4F9B">
        <w:t>Statistics contributes the evaluation methodology: stratified cross-validation, confidence interval estimation via t-distribution, McNemar's exact test for significance of paired classifier comparison, and the Winsorization approach to outlier handling. These tools are necessary to make defensible claims about model performance under small-</w:t>
      </w:r>
      <w:r w:rsidR="009F4F9B" w:rsidRPr="009F4F9B">
        <w:t>data set</w:t>
      </w:r>
      <w:r w:rsidRPr="009F4F9B">
        <w:t xml:space="preserve"> conditions.</w:t>
      </w:r>
    </w:p>
    <w:p w14:paraId="0A0E4D9B" w14:textId="2BA936A0" w:rsidR="00775A0A" w:rsidRPr="009F4F9B" w:rsidRDefault="00000000">
      <w:pPr>
        <w:pStyle w:val="ListParagraph"/>
        <w:numPr>
          <w:ilvl w:val="0"/>
          <w:numId w:val="2"/>
        </w:numPr>
        <w:spacing w:before="60" w:after="60"/>
      </w:pPr>
      <w:r w:rsidRPr="009F4F9B">
        <w:t xml:space="preserve">Decision Science and Management Information Systems </w:t>
      </w:r>
      <w:r w:rsidR="009F4F9B" w:rsidRPr="009F4F9B">
        <w:t>provide</w:t>
      </w:r>
      <w:r w:rsidRPr="009F4F9B">
        <w:t xml:space="preserve"> the framing of Sim2Win as a decision support system rather than a prediction oracle. The distinction between descriptive systems (predicting outcomes) and prescriptive systems </w:t>
      </w:r>
      <w:r w:rsidRPr="009F4F9B">
        <w:lastRenderedPageBreak/>
        <w:t>(recommending actions) is a core concept in decision science, and it is what differentiates Sim2Win's contribution from prior work in football ML.</w:t>
      </w:r>
    </w:p>
    <w:p w14:paraId="61C3E595" w14:textId="731727DA" w:rsidR="00775A0A" w:rsidRPr="009F4F9B" w:rsidRDefault="00000000">
      <w:pPr>
        <w:pStyle w:val="ListParagraph"/>
        <w:numPr>
          <w:ilvl w:val="0"/>
          <w:numId w:val="2"/>
        </w:numPr>
        <w:spacing w:before="60" w:after="60"/>
      </w:pPr>
      <w:r w:rsidRPr="009F4F9B">
        <w:t>Economics and Game Theory (</w:t>
      </w:r>
      <w:r w:rsidR="009F4F9B" w:rsidRPr="009F4F9B">
        <w:t>minor)</w:t>
      </w:r>
      <w:r w:rsidRPr="009F4F9B">
        <w:t xml:space="preserve"> the tactical matchup framing in which one team's optimal strategy depends on the other team's strategy is structurally related to game-theoretic reasoning about strategic complementarity and counter-strategy selection.</w:t>
      </w:r>
    </w:p>
    <w:p w14:paraId="334B80C3" w14:textId="77777777" w:rsidR="00775A0A" w:rsidRDefault="00775A0A">
      <w:pPr>
        <w:spacing w:before="120"/>
      </w:pPr>
    </w:p>
    <w:p w14:paraId="72978770" w14:textId="77777777" w:rsidR="00775A0A" w:rsidRPr="009F4F9B" w:rsidRDefault="00000000">
      <w:pPr>
        <w:pStyle w:val="Heading2"/>
        <w:rPr>
          <w:color w:val="000000" w:themeColor="text1"/>
        </w:rPr>
      </w:pPr>
      <w:r w:rsidRPr="009F4F9B">
        <w:rPr>
          <w:color w:val="000000" w:themeColor="text1"/>
        </w:rPr>
        <w:t>Chosen Helping Discipline: Sports Science and Performance Analysis</w:t>
      </w:r>
    </w:p>
    <w:p w14:paraId="3A33C248" w14:textId="3F762F51" w:rsidR="00775A0A" w:rsidRDefault="00000000">
      <w:pPr>
        <w:spacing w:before="80" w:after="80" w:line="360" w:lineRule="auto"/>
        <w:jc w:val="both"/>
      </w:pPr>
      <w:r>
        <w:t xml:space="preserve">Sports Science is selected as the primary helping discipline because it is the domain in which the research question has direct practical consequences. The feature engineering choices pressing efficiency as ball recoveries divided by total pressures, shot quality as </w:t>
      </w:r>
      <w:proofErr w:type="spellStart"/>
      <w:r>
        <w:t>xG</w:t>
      </w:r>
      <w:proofErr w:type="spellEnd"/>
      <w:r>
        <w:t xml:space="preserve"> per shot, directness index as passes per possession event, and chaos index as a weighted composite of disciplinary actions are motivated by the sports science literature on tactical indicators and their relationships to match outcomes (</w:t>
      </w:r>
      <w:proofErr w:type="spellStart"/>
      <w:r>
        <w:t>Baattite</w:t>
      </w:r>
      <w:proofErr w:type="spellEnd"/>
      <w:r>
        <w:t>, 2023; Liu et al., 2013; Yamanaka et al., 2020). Without this disciplinary grounding, the system could produce statistically valid but tactically meaningless recommendations. The Tactical Agreement Score metric was specifically designed to connect statistical model performance to sports-science-meaningful outcome alignment, bridging the two disciplines in the evaluation design.</w:t>
      </w:r>
    </w:p>
    <w:p w14:paraId="6EB121E4" w14:textId="77777777" w:rsidR="00775A0A" w:rsidRDefault="00000000">
      <w:r>
        <w:br w:type="page"/>
      </w:r>
    </w:p>
    <w:p w14:paraId="1C6E0A96" w14:textId="77777777" w:rsidR="00775A0A" w:rsidRPr="007F620C" w:rsidRDefault="00000000">
      <w:pPr>
        <w:pStyle w:val="Heading1"/>
        <w:rPr>
          <w:color w:val="196B24" w:themeColor="accent3"/>
        </w:rPr>
      </w:pPr>
      <w:r w:rsidRPr="007F620C">
        <w:rPr>
          <w:color w:val="196B24" w:themeColor="accent3"/>
        </w:rPr>
        <w:lastRenderedPageBreak/>
        <w:t>D. Methodology</w:t>
      </w:r>
    </w:p>
    <w:p w14:paraId="4498DF8E" w14:textId="77777777" w:rsidR="00775A0A" w:rsidRPr="009F4F9B" w:rsidRDefault="00000000">
      <w:pPr>
        <w:pStyle w:val="Heading2"/>
        <w:rPr>
          <w:color w:val="000000" w:themeColor="text1"/>
        </w:rPr>
      </w:pPr>
      <w:r w:rsidRPr="009F4F9B">
        <w:rPr>
          <w:color w:val="000000" w:themeColor="text1"/>
        </w:rPr>
        <w:t>Data Collection</w:t>
      </w:r>
    </w:p>
    <w:p w14:paraId="37C513DE" w14:textId="77777777" w:rsidR="00775A0A" w:rsidRDefault="00000000">
      <w:pPr>
        <w:spacing w:before="80" w:after="80" w:line="360" w:lineRule="auto"/>
        <w:jc w:val="both"/>
      </w:pPr>
      <w:r>
        <w:t xml:space="preserve">Data was collected from the StatsBomb open data API using the </w:t>
      </w:r>
      <w:proofErr w:type="spellStart"/>
      <w:r>
        <w:t>statsbombpy</w:t>
      </w:r>
      <w:proofErr w:type="spellEnd"/>
      <w:r>
        <w:t xml:space="preserve"> Python library. The dataset spans eleven professional competitions including the German Bundesliga, English Premier League, Spanish La Liga, French Ligue 1, FIFA World Cup, UEFA Euro, Women's World Cup, Africa Cup of Nations, Copa America, FA Women's Super League, and Major League Soccer. After preprocessing, the final dataset contains 1,411 team-match rows representing approximately 706 matches across 178 teams. No personal data or human subject data was collected. All data is publicly available under </w:t>
      </w:r>
      <w:proofErr w:type="spellStart"/>
      <w:r>
        <w:t>StatsBomb's</w:t>
      </w:r>
      <w:proofErr w:type="spellEnd"/>
      <w:r>
        <w:t xml:space="preserve"> open data license for non-commercial research.</w:t>
      </w:r>
    </w:p>
    <w:p w14:paraId="1E97F7DA" w14:textId="77777777" w:rsidR="00775A0A" w:rsidRPr="009F4F9B" w:rsidRDefault="00000000">
      <w:pPr>
        <w:pStyle w:val="Heading2"/>
        <w:rPr>
          <w:color w:val="000000" w:themeColor="text1"/>
        </w:rPr>
      </w:pPr>
      <w:r w:rsidRPr="009F4F9B">
        <w:rPr>
          <w:color w:val="000000" w:themeColor="text1"/>
        </w:rPr>
        <w:t>Feature Engineering</w:t>
      </w:r>
    </w:p>
    <w:p w14:paraId="470C359F" w14:textId="72E5A6D4" w:rsidR="00775A0A" w:rsidRDefault="00000000">
      <w:pPr>
        <w:spacing w:before="80" w:after="80" w:line="360" w:lineRule="auto"/>
        <w:jc w:val="both"/>
      </w:pPr>
      <w:r>
        <w:t>Raw event counts per match were transformed into pre-match tactical profiles using a five-match rolling window. Features include rolling averages of passes, shots, expected goals (</w:t>
      </w:r>
      <w:proofErr w:type="spellStart"/>
      <w:r>
        <w:t>xG</w:t>
      </w:r>
      <w:proofErr w:type="spellEnd"/>
      <w:r>
        <w:t>), pressures, ball recoveries, interceptions, possession events, fouls, and dribbles, alongside four engineered tactical ratios: pressing efficiency (ball recoveries per pressure), shot quality (</w:t>
      </w:r>
      <w:proofErr w:type="spellStart"/>
      <w:r>
        <w:t>xG</w:t>
      </w:r>
      <w:proofErr w:type="spellEnd"/>
      <w:r>
        <w:t xml:space="preserve"> per shot), directness index (passes per possession event), and chaos index (weighted composite of disciplinary events). Contextual features include home/away status, days of rest since the previous match, and </w:t>
      </w:r>
      <w:proofErr w:type="spellStart"/>
      <w:r>
        <w:t>xG</w:t>
      </w:r>
      <w:proofErr w:type="spellEnd"/>
      <w:r>
        <w:t xml:space="preserve"> volatility and momentum over recent fixtures. Two-sided Winsorization at the 1st and 99th percentiles </w:t>
      </w:r>
      <w:r w:rsidR="00D47D12">
        <w:t>were</w:t>
      </w:r>
      <w:r>
        <w:t xml:space="preserve"> applied to all volume metrics to prevent outlier contamination of rolling averages.</w:t>
      </w:r>
    </w:p>
    <w:p w14:paraId="3A71DCEB" w14:textId="48EF7695" w:rsidR="00775A0A" w:rsidRPr="009F4F9B" w:rsidRDefault="00000000">
      <w:pPr>
        <w:pStyle w:val="Heading2"/>
        <w:rPr>
          <w:color w:val="000000" w:themeColor="text1"/>
        </w:rPr>
      </w:pPr>
      <w:r w:rsidRPr="009F4F9B">
        <w:rPr>
          <w:color w:val="000000" w:themeColor="text1"/>
        </w:rPr>
        <w:t xml:space="preserve">Unsupervised Clustering </w:t>
      </w:r>
      <w:r w:rsidR="009F4F9B" w:rsidRPr="009F4F9B">
        <w:rPr>
          <w:color w:val="000000" w:themeColor="text1"/>
        </w:rPr>
        <w:t>(</w:t>
      </w:r>
      <w:r w:rsidRPr="009F4F9B">
        <w:rPr>
          <w:color w:val="000000" w:themeColor="text1"/>
        </w:rPr>
        <w:t>Playstyle Identification</w:t>
      </w:r>
      <w:r w:rsidR="009F4F9B" w:rsidRPr="009F4F9B">
        <w:rPr>
          <w:color w:val="000000" w:themeColor="text1"/>
        </w:rPr>
        <w:t>)</w:t>
      </w:r>
    </w:p>
    <w:p w14:paraId="3D34FA23" w14:textId="77777777" w:rsidR="00775A0A" w:rsidRDefault="00000000">
      <w:pPr>
        <w:spacing w:before="80" w:after="80" w:line="360" w:lineRule="auto"/>
        <w:jc w:val="both"/>
      </w:pPr>
      <w:r>
        <w:t xml:space="preserve">K-Means clustering was applied to the thirteen rolling tactical features after </w:t>
      </w:r>
      <w:proofErr w:type="spellStart"/>
      <w:r>
        <w:t>StandardScaler</w:t>
      </w:r>
      <w:proofErr w:type="spellEnd"/>
      <w:r>
        <w:t xml:space="preserve"> normalization to partition team match states into eight discrete playstyle archetypes. The optimal cluster count was determined using both the elbow method on inertia and the silhouette score. K=8 was selected over the mathematically optimal K=5 to achieve greater tactical diversity in the recommendation space, a decision justified by a favorable elbow-silhouette trade-off and by the domain requirement for fine-grained tactical differentiation. Principal Component Analysis was deliberately excluded to preserve feature interpretability.</w:t>
      </w:r>
    </w:p>
    <w:p w14:paraId="346CF798" w14:textId="4599D3F2" w:rsidR="00775A0A" w:rsidRPr="009F4F9B" w:rsidRDefault="00000000">
      <w:pPr>
        <w:pStyle w:val="Heading2"/>
        <w:rPr>
          <w:color w:val="000000" w:themeColor="text1"/>
        </w:rPr>
      </w:pPr>
      <w:r w:rsidRPr="009F4F9B">
        <w:rPr>
          <w:color w:val="000000" w:themeColor="text1"/>
        </w:rPr>
        <w:t xml:space="preserve">Supervised Classification </w:t>
      </w:r>
    </w:p>
    <w:p w14:paraId="536344C1" w14:textId="77777777" w:rsidR="00775A0A" w:rsidRDefault="00000000">
      <w:pPr>
        <w:spacing w:before="80" w:after="80" w:line="360" w:lineRule="auto"/>
        <w:jc w:val="both"/>
      </w:pPr>
      <w:r>
        <w:lastRenderedPageBreak/>
        <w:t xml:space="preserve">Team-level rolling profiles were merged into head-to-head matchup rows pairing each home team's profile with its opponent's. Thirteen classifiers were trained and evaluated using </w:t>
      </w:r>
      <w:proofErr w:type="spellStart"/>
      <w:r>
        <w:t>RandomizedSearchCV</w:t>
      </w:r>
      <w:proofErr w:type="spellEnd"/>
      <w:r>
        <w:t xml:space="preserve"> with five-fold cross-validation: Logistic Regression, SVM with RBF kernel, K-Nearest Neighbors, Random Forest, Extra Trees, Bagging, AdaBoost, Gradient Boosting,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an MLP, and </w:t>
      </w:r>
      <w:proofErr w:type="spellStart"/>
      <w:r>
        <w:t>TabPFN</w:t>
      </w:r>
      <w:proofErr w:type="spellEnd"/>
      <w:r>
        <w:t xml:space="preserve"> (a zero-shot transformer foundation model for tabular data). The primary evaluation protocol used a stratified 80/20 holdout split. A secondary protocol used ten-fold cross-validation with 95% confidence intervals computed via t-distribution to produce variance-aware estimates robust to the small dataset size.</w:t>
      </w:r>
    </w:p>
    <w:p w14:paraId="22518558" w14:textId="3129D820" w:rsidR="00775A0A" w:rsidRPr="009F4F9B" w:rsidRDefault="00000000">
      <w:pPr>
        <w:pStyle w:val="Heading2"/>
        <w:rPr>
          <w:color w:val="000000" w:themeColor="text1"/>
        </w:rPr>
      </w:pPr>
      <w:r w:rsidRPr="009F4F9B">
        <w:rPr>
          <w:color w:val="000000" w:themeColor="text1"/>
        </w:rPr>
        <w:t xml:space="preserve">Generalization Evaluation </w:t>
      </w:r>
      <w:r w:rsidR="009F4F9B" w:rsidRPr="009F4F9B">
        <w:rPr>
          <w:color w:val="000000" w:themeColor="text1"/>
        </w:rPr>
        <w:t>(</w:t>
      </w:r>
      <w:r w:rsidRPr="009F4F9B">
        <w:rPr>
          <w:color w:val="000000" w:themeColor="text1"/>
        </w:rPr>
        <w:t>LOCO Protocol</w:t>
      </w:r>
      <w:r w:rsidR="009F4F9B" w:rsidRPr="009F4F9B">
        <w:rPr>
          <w:color w:val="000000" w:themeColor="text1"/>
        </w:rPr>
        <w:t>)</w:t>
      </w:r>
    </w:p>
    <w:p w14:paraId="2C7543A8" w14:textId="1D566A0E" w:rsidR="00775A0A" w:rsidRDefault="00000000">
      <w:pPr>
        <w:spacing w:before="80" w:after="80" w:line="360" w:lineRule="auto"/>
        <w:jc w:val="both"/>
      </w:pPr>
      <w:r>
        <w:t xml:space="preserve">The core generalization claim was evaluated using a Leave-One-Competition-Out protocol. For each of seven held-out competitions, the model was trained </w:t>
      </w:r>
      <w:proofErr w:type="gramStart"/>
      <w:r w:rsidR="00D47D12">
        <w:t>on</w:t>
      </w:r>
      <w:proofErr w:type="gramEnd"/>
      <w:r w:rsidR="00D47D12">
        <w:t xml:space="preserve"> </w:t>
      </w:r>
      <w:r>
        <w:t xml:space="preserve">all remaining competitions and tested exclusively on teams from the held-out competition teams entirely absent from the training data. </w:t>
      </w:r>
      <w:proofErr w:type="spellStart"/>
      <w:r>
        <w:t>KMeans</w:t>
      </w:r>
      <w:proofErr w:type="spellEnd"/>
      <w:r>
        <w:t xml:space="preserve"> and </w:t>
      </w:r>
      <w:proofErr w:type="spellStart"/>
      <w:r>
        <w:t>StandardScaler</w:t>
      </w:r>
      <w:proofErr w:type="spellEnd"/>
      <w:r>
        <w:t xml:space="preserve"> were fit on training data only at each fold to prevent data leakage. Three identity-based rating systems ELO-G, </w:t>
      </w:r>
      <w:proofErr w:type="gramStart"/>
      <w:r>
        <w:t>Pi-Rating</w:t>
      </w:r>
      <w:proofErr w:type="gramEnd"/>
      <w:r>
        <w:t>, and GAP were implemented from their original papers and evaluated under the same LOCO protocol as direct baselines.</w:t>
      </w:r>
    </w:p>
    <w:p w14:paraId="29B150D6" w14:textId="77777777" w:rsidR="00775A0A" w:rsidRPr="009F4F9B" w:rsidRDefault="00000000">
      <w:pPr>
        <w:pStyle w:val="Heading2"/>
        <w:rPr>
          <w:color w:val="000000" w:themeColor="text1"/>
        </w:rPr>
      </w:pPr>
      <w:r w:rsidRPr="009F4F9B">
        <w:rPr>
          <w:color w:val="000000" w:themeColor="text1"/>
        </w:rPr>
        <w:t>Statistical Significance</w:t>
      </w:r>
    </w:p>
    <w:p w14:paraId="1276DC30" w14:textId="77777777" w:rsidR="00775A0A" w:rsidRDefault="00000000">
      <w:pPr>
        <w:spacing w:before="80" w:after="80" w:line="360" w:lineRule="auto"/>
        <w:jc w:val="both"/>
      </w:pPr>
      <w:r>
        <w:t xml:space="preserve">McNemar's exact test was applied to compare paired predictions between </w:t>
      </w:r>
      <w:proofErr w:type="spellStart"/>
      <w:r>
        <w:t>CatBoost</w:t>
      </w:r>
      <w:proofErr w:type="spellEnd"/>
      <w:r>
        <w:t xml:space="preserve"> and competing models on the holdout set. An ablation study across eight configurations (removing each pipeline component individually) assessed the marginal contribution of each feature group. Five draw prediction improvement strategies were evaluated including cost-sensitive learning, probability threshold adjustment, two-stage classification, and SMOTE oversampling.</w:t>
      </w:r>
    </w:p>
    <w:p w14:paraId="74E9EAFC" w14:textId="7F2EE880" w:rsidR="00775A0A" w:rsidRPr="009F4F9B" w:rsidRDefault="00000000">
      <w:pPr>
        <w:pStyle w:val="Heading2"/>
        <w:rPr>
          <w:color w:val="000000" w:themeColor="text1"/>
        </w:rPr>
      </w:pPr>
      <w:r w:rsidRPr="009F4F9B">
        <w:rPr>
          <w:color w:val="000000" w:themeColor="text1"/>
        </w:rPr>
        <w:t xml:space="preserve">Custom Evaluation Metric </w:t>
      </w:r>
      <w:r w:rsidR="009F4F9B" w:rsidRPr="009F4F9B">
        <w:rPr>
          <w:color w:val="000000" w:themeColor="text1"/>
        </w:rPr>
        <w:t>(</w:t>
      </w:r>
      <w:r w:rsidRPr="009F4F9B">
        <w:rPr>
          <w:color w:val="000000" w:themeColor="text1"/>
        </w:rPr>
        <w:t>Tactical Agreement Score</w:t>
      </w:r>
      <w:r w:rsidR="009F4F9B" w:rsidRPr="009F4F9B">
        <w:rPr>
          <w:color w:val="000000" w:themeColor="text1"/>
        </w:rPr>
        <w:t>)</w:t>
      </w:r>
    </w:p>
    <w:p w14:paraId="4CE8C5AC" w14:textId="77777777" w:rsidR="00775A0A" w:rsidRDefault="00000000">
      <w:pPr>
        <w:spacing w:before="80" w:after="80" w:line="360" w:lineRule="auto"/>
        <w:jc w:val="both"/>
      </w:pPr>
      <w:r>
        <w:t>The Tactical Agreement Score (TAS) measures the percentage of unseen test matches in which the model's top-recommended tactical configuration aligns with the tactic used by the winning team. This metric connects statistical classification performance to domain-meaningful recommendation quality and provides interpretable evidence for the system's practical utility beyond standard ML metrics.</w:t>
      </w:r>
    </w:p>
    <w:p w14:paraId="18F448B4" w14:textId="77777777" w:rsidR="00775A0A" w:rsidRPr="009F4F9B" w:rsidRDefault="00000000">
      <w:pPr>
        <w:pStyle w:val="Heading2"/>
        <w:rPr>
          <w:color w:val="000000" w:themeColor="text1"/>
        </w:rPr>
      </w:pPr>
      <w:r w:rsidRPr="009F4F9B">
        <w:rPr>
          <w:color w:val="000000" w:themeColor="text1"/>
        </w:rPr>
        <w:t>Literature Review Relevance</w:t>
      </w:r>
    </w:p>
    <w:p w14:paraId="6E95E679" w14:textId="77777777" w:rsidR="00775A0A" w:rsidRDefault="00000000">
      <w:pPr>
        <w:spacing w:before="80" w:after="80" w:line="360" w:lineRule="auto"/>
        <w:jc w:val="both"/>
      </w:pPr>
      <w:r>
        <w:lastRenderedPageBreak/>
        <w:t>The methodology builds directly on fifteen primary sources spanning machine learning for football prediction, identity-based rating systems, tactical analysis, and tabular foundation models. The sports science literature (</w:t>
      </w:r>
      <w:proofErr w:type="spellStart"/>
      <w:r>
        <w:t>Baattite</w:t>
      </w:r>
      <w:proofErr w:type="spellEnd"/>
      <w:r>
        <w:t xml:space="preserve">, 2023; Liu et al., 2013; Collet, 2013; Yamanaka et al., 2020) informs feature engineering. The rating systems literature (Hvattum &amp; Arntzen, 2010; Constantinou &amp; Fenton, 2013; Wheatcroft, 2021; Lasek, 2016) provides the baseline comparison framework. The broader ML literature (Moya et al., 2025; Bunker &amp; Susnjak, 2022) contextualizes the contribution within the existing landscape of football prediction research. The </w:t>
      </w:r>
      <w:proofErr w:type="spellStart"/>
      <w:r>
        <w:t>TabPFN</w:t>
      </w:r>
      <w:proofErr w:type="spellEnd"/>
      <w:r>
        <w:t xml:space="preserve"> paper (Hollmann et al., 2023) motivated the inclusion of a foundation model comparison.</w:t>
      </w:r>
    </w:p>
    <w:p w14:paraId="07B79BEF" w14:textId="77777777" w:rsidR="00775A0A" w:rsidRDefault="00000000">
      <w:r>
        <w:br w:type="page"/>
      </w:r>
    </w:p>
    <w:p w14:paraId="0FF8878C" w14:textId="2CBE9828" w:rsidR="00775A0A" w:rsidRDefault="007F620C" w:rsidP="007F620C">
      <w:pPr>
        <w:pStyle w:val="Heading1"/>
        <w:jc w:val="center"/>
      </w:pPr>
      <w:r>
        <w:lastRenderedPageBreak/>
        <w:t>References</w:t>
      </w:r>
    </w:p>
    <w:p w14:paraId="4C74C9D2" w14:textId="77777777" w:rsidR="00775A0A" w:rsidRDefault="00000000">
      <w:pPr>
        <w:spacing w:before="80" w:after="80"/>
        <w:ind w:left="720" w:hanging="720"/>
      </w:pPr>
      <w:proofErr w:type="spellStart"/>
      <w:r>
        <w:rPr>
          <w:sz w:val="20"/>
          <w:szCs w:val="20"/>
        </w:rPr>
        <w:t>Baattite</w:t>
      </w:r>
      <w:proofErr w:type="spellEnd"/>
      <w:r>
        <w:rPr>
          <w:sz w:val="20"/>
          <w:szCs w:val="20"/>
        </w:rPr>
        <w:t>, A. (2023). Machine learning-based football tactic and style analysis (Capstone design final report). Al Akhawayn University.</w:t>
      </w:r>
    </w:p>
    <w:p w14:paraId="376F4D77" w14:textId="77777777" w:rsidR="00775A0A" w:rsidRDefault="00000000">
      <w:pPr>
        <w:spacing w:before="80" w:after="80"/>
        <w:ind w:left="720" w:hanging="720"/>
      </w:pPr>
      <w:r>
        <w:rPr>
          <w:sz w:val="20"/>
          <w:szCs w:val="20"/>
        </w:rPr>
        <w:t>Bunker, R., &amp; Susnjak, T. (2022). The application of machine learning techniques for predicting match results in team sport: A review. Journal of Artificial Intelligence Research, 73, 1285–1322.</w:t>
      </w:r>
    </w:p>
    <w:p w14:paraId="43FB8F58" w14:textId="77777777" w:rsidR="00775A0A" w:rsidRDefault="00000000">
      <w:pPr>
        <w:spacing w:before="80" w:after="80"/>
        <w:ind w:left="720" w:hanging="720"/>
      </w:pPr>
      <w:r>
        <w:rPr>
          <w:sz w:val="20"/>
          <w:szCs w:val="20"/>
        </w:rPr>
        <w:t>Collet, C. (2013). The possession game? A comparative analysis of ball retention and team success in European and international football, 2007–2010. Journal of Sports Sciences, 31(2), 123–136.</w:t>
      </w:r>
    </w:p>
    <w:p w14:paraId="24B6F6E4" w14:textId="77777777" w:rsidR="00775A0A" w:rsidRDefault="00000000">
      <w:pPr>
        <w:spacing w:before="80" w:after="80"/>
        <w:ind w:left="720" w:hanging="720"/>
      </w:pPr>
      <w:r>
        <w:rPr>
          <w:sz w:val="20"/>
          <w:szCs w:val="20"/>
        </w:rPr>
        <w:t>Constantinou, A. C., &amp; Fenton, N. E. (2013). Determining the level of ability of football teams by dynamic ratings based on the relative discrepancies in scores between adversaries. Journal of Quantitative Analysis in Sports, 9(1), 37–50.</w:t>
      </w:r>
    </w:p>
    <w:p w14:paraId="1A2A4D17" w14:textId="77777777" w:rsidR="00775A0A" w:rsidRDefault="00000000">
      <w:pPr>
        <w:spacing w:before="80" w:after="80"/>
        <w:ind w:left="720" w:hanging="720"/>
      </w:pPr>
      <w:r>
        <w:rPr>
          <w:sz w:val="20"/>
          <w:szCs w:val="20"/>
        </w:rPr>
        <w:t>Constantinou, A. C., Fenton, N. E., &amp; Neil, M. (2012). pi-football: A Bayesian network model for forecasting Association Football match outcomes. Knowledge-Based Systems, 36, 322–339.</w:t>
      </w:r>
    </w:p>
    <w:p w14:paraId="63DC3109" w14:textId="77777777" w:rsidR="00775A0A" w:rsidRDefault="00000000">
      <w:pPr>
        <w:spacing w:before="80" w:after="80"/>
        <w:ind w:left="720" w:hanging="720"/>
      </w:pPr>
      <w:proofErr w:type="spellStart"/>
      <w:r>
        <w:rPr>
          <w:sz w:val="20"/>
          <w:szCs w:val="20"/>
        </w:rPr>
        <w:t>Eggels</w:t>
      </w:r>
      <w:proofErr w:type="spellEnd"/>
      <w:r>
        <w:rPr>
          <w:sz w:val="20"/>
          <w:szCs w:val="20"/>
        </w:rPr>
        <w:t>, H., van Elk, R., &amp; Pechenizkiy, M. (2016). Explaining soccer match outcomes with goal scoring opportunities predictive analytics. Eindhoven University of Technology.</w:t>
      </w:r>
    </w:p>
    <w:p w14:paraId="115223A1" w14:textId="77777777" w:rsidR="00775A0A" w:rsidRDefault="00000000">
      <w:pPr>
        <w:spacing w:before="80" w:after="80"/>
        <w:ind w:left="720" w:hanging="720"/>
      </w:pPr>
      <w:r>
        <w:rPr>
          <w:sz w:val="20"/>
          <w:szCs w:val="20"/>
        </w:rPr>
        <w:t xml:space="preserve">Hollmann, N., Muller, S., </w:t>
      </w:r>
      <w:proofErr w:type="spellStart"/>
      <w:r>
        <w:rPr>
          <w:sz w:val="20"/>
          <w:szCs w:val="20"/>
        </w:rPr>
        <w:t>Eggensperger</w:t>
      </w:r>
      <w:proofErr w:type="spellEnd"/>
      <w:r>
        <w:rPr>
          <w:sz w:val="20"/>
          <w:szCs w:val="20"/>
        </w:rPr>
        <w:t xml:space="preserve">, K., &amp; Hutter, F. (2023). </w:t>
      </w:r>
      <w:proofErr w:type="spellStart"/>
      <w:r>
        <w:rPr>
          <w:sz w:val="20"/>
          <w:szCs w:val="20"/>
        </w:rPr>
        <w:t>TabPFN</w:t>
      </w:r>
      <w:proofErr w:type="spellEnd"/>
      <w:r>
        <w:rPr>
          <w:sz w:val="20"/>
          <w:szCs w:val="20"/>
        </w:rPr>
        <w:t>: A transformer that solves small tabular classification problems in a second. International Conference on Learning Representations (ICLR 2023).</w:t>
      </w:r>
    </w:p>
    <w:p w14:paraId="172D868C" w14:textId="77777777" w:rsidR="00775A0A" w:rsidRDefault="00000000">
      <w:pPr>
        <w:spacing w:before="80" w:after="80"/>
        <w:ind w:left="720" w:hanging="720"/>
      </w:pPr>
      <w:r>
        <w:rPr>
          <w:sz w:val="20"/>
          <w:szCs w:val="20"/>
        </w:rPr>
        <w:t>Hvattum, L. M., &amp; Arntzen, H. (2010). Using ELO ratings for match result prediction in association football. International Journal of Forecasting, 26(3), 460–470.</w:t>
      </w:r>
    </w:p>
    <w:p w14:paraId="488F5F08" w14:textId="77777777" w:rsidR="00775A0A" w:rsidRDefault="00000000">
      <w:pPr>
        <w:spacing w:before="80" w:after="80"/>
        <w:ind w:left="720" w:hanging="720"/>
      </w:pPr>
      <w:r>
        <w:rPr>
          <w:sz w:val="20"/>
          <w:szCs w:val="20"/>
        </w:rPr>
        <w:t>Joseph, A., Fenton, N., &amp; Neil, M. (2006). Predicting football results using Bayesian nets and other machine learning techniques. Knowledge-Based Systems, 19(7), 544–553.</w:t>
      </w:r>
    </w:p>
    <w:p w14:paraId="3F3D9C42" w14:textId="77777777" w:rsidR="00775A0A" w:rsidRDefault="00000000">
      <w:pPr>
        <w:spacing w:before="80" w:after="80"/>
        <w:ind w:left="720" w:hanging="720"/>
      </w:pPr>
      <w:r>
        <w:rPr>
          <w:sz w:val="20"/>
          <w:szCs w:val="20"/>
        </w:rPr>
        <w:t>Lago-Penas, C., &amp; Pollard, R. (2013). Situational variables and team performance in soccer. Research Quarterly for Exercise and Sport, 84(4), 470–481.</w:t>
      </w:r>
    </w:p>
    <w:p w14:paraId="39A06E76" w14:textId="77777777" w:rsidR="00775A0A" w:rsidRDefault="00000000">
      <w:pPr>
        <w:spacing w:before="80" w:after="80"/>
        <w:ind w:left="720" w:hanging="720"/>
      </w:pPr>
      <w:r>
        <w:rPr>
          <w:sz w:val="20"/>
          <w:szCs w:val="20"/>
        </w:rPr>
        <w:t>Lasek, J. (2016). Euro 2016 predictions using team rating systems. ECML/PKDD Workshop Proceedings.</w:t>
      </w:r>
    </w:p>
    <w:p w14:paraId="5ABA8094" w14:textId="77777777" w:rsidR="00775A0A" w:rsidRDefault="00000000">
      <w:pPr>
        <w:spacing w:before="80" w:after="80"/>
        <w:ind w:left="720" w:hanging="720"/>
      </w:pPr>
      <w:r>
        <w:rPr>
          <w:sz w:val="20"/>
          <w:szCs w:val="20"/>
        </w:rPr>
        <w:t xml:space="preserve">Liu, H., Hopkins, W. G., Gomez, M. A., &amp; </w:t>
      </w:r>
      <w:proofErr w:type="spellStart"/>
      <w:r>
        <w:rPr>
          <w:sz w:val="20"/>
          <w:szCs w:val="20"/>
        </w:rPr>
        <w:t>Molinuevo</w:t>
      </w:r>
      <w:proofErr w:type="spellEnd"/>
      <w:r>
        <w:rPr>
          <w:sz w:val="20"/>
          <w:szCs w:val="20"/>
        </w:rPr>
        <w:t>, J. S. (2013). Modelling relationships between match events and match outcome in elite football. European Journal of Sport Science, 13(5), 516–525.</w:t>
      </w:r>
    </w:p>
    <w:p w14:paraId="3FE39431" w14:textId="77777777" w:rsidR="00775A0A" w:rsidRDefault="00000000">
      <w:pPr>
        <w:spacing w:before="80" w:after="80"/>
        <w:ind w:left="720" w:hanging="720"/>
      </w:pPr>
      <w:r>
        <w:rPr>
          <w:sz w:val="20"/>
          <w:szCs w:val="20"/>
        </w:rPr>
        <w:t xml:space="preserve">Moya, D., </w:t>
      </w:r>
      <w:proofErr w:type="spellStart"/>
      <w:r>
        <w:rPr>
          <w:sz w:val="20"/>
          <w:szCs w:val="20"/>
        </w:rPr>
        <w:t>Tipantuna</w:t>
      </w:r>
      <w:proofErr w:type="spellEnd"/>
      <w:r>
        <w:rPr>
          <w:sz w:val="20"/>
          <w:szCs w:val="20"/>
        </w:rPr>
        <w:t>, C., Villa, G., Calderon-Hinojosa, X., Rivadeneira, B., &amp; Alvarez, R. (2025). Machine learning applied to professional football. Machine Learning and Knowledge Extraction, 7(3), 85.</w:t>
      </w:r>
    </w:p>
    <w:p w14:paraId="18B90142" w14:textId="77777777" w:rsidR="00775A0A" w:rsidRDefault="00000000">
      <w:pPr>
        <w:spacing w:before="80" w:after="80"/>
        <w:ind w:left="720" w:hanging="720"/>
      </w:pPr>
      <w:r>
        <w:rPr>
          <w:sz w:val="20"/>
          <w:szCs w:val="20"/>
        </w:rPr>
        <w:t>Wheatcroft, E. (2021). Forecasting football matches by predicting match statistics. Journal of Sports Analytics, 7(2), 77–97.</w:t>
      </w:r>
    </w:p>
    <w:p w14:paraId="0C71F235" w14:textId="77777777" w:rsidR="00775A0A" w:rsidRDefault="00000000">
      <w:pPr>
        <w:spacing w:before="80" w:after="80"/>
        <w:ind w:left="720" w:hanging="720"/>
      </w:pPr>
      <w:r>
        <w:rPr>
          <w:sz w:val="20"/>
          <w:szCs w:val="20"/>
        </w:rPr>
        <w:t>Yamanaka, A., Otsuka, H., Deguchi, T., Okihara, K., Otsuka, D., Uchida, S., Garcia, J. D., Khoo, S., Stroud, D., &amp; Sugiyama, M. (2020). Tactical analysis through objective data in football. Insight – Sports Science, 2(1).</w:t>
      </w:r>
    </w:p>
    <w:sectPr w:rsidR="00775A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E1A4" w14:textId="77777777" w:rsidR="00256CA3" w:rsidRDefault="00256CA3">
      <w:r>
        <w:separator/>
      </w:r>
    </w:p>
  </w:endnote>
  <w:endnote w:type="continuationSeparator" w:id="0">
    <w:p w14:paraId="3B49DC00" w14:textId="77777777" w:rsidR="00256CA3" w:rsidRDefault="0025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84BB" w14:textId="77777777" w:rsidR="00775A0A" w:rsidRDefault="00000000">
    <w:pPr>
      <w:pBdr>
        <w:top w:val="single" w:sz="4" w:space="1" w:color="1A3A5C"/>
      </w:pBdr>
      <w:spacing w:before="120"/>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4F0B44">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A931A" w14:textId="77777777" w:rsidR="00256CA3" w:rsidRDefault="00256CA3">
      <w:r>
        <w:separator/>
      </w:r>
    </w:p>
  </w:footnote>
  <w:footnote w:type="continuationSeparator" w:id="0">
    <w:p w14:paraId="55A6EEA4" w14:textId="77777777" w:rsidR="00256CA3" w:rsidRDefault="00256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FBC8B" w14:textId="0F5C5F8D" w:rsidR="00775A0A" w:rsidRPr="009F4F9B" w:rsidRDefault="00000000" w:rsidP="009F4F9B">
    <w:pPr>
      <w:pBdr>
        <w:bottom w:val="single" w:sz="4" w:space="1" w:color="1A3A5C"/>
      </w:pBdr>
      <w:spacing w:after="120"/>
      <w:rPr>
        <w:color w:val="555555"/>
        <w:sz w:val="18"/>
        <w:szCs w:val="18"/>
      </w:rPr>
    </w:pPr>
    <w:proofErr w:type="spellStart"/>
    <w:r>
      <w:rPr>
        <w:color w:val="555555"/>
        <w:sz w:val="18"/>
        <w:szCs w:val="18"/>
      </w:rPr>
      <w:t>CapHC</w:t>
    </w:r>
    <w:proofErr w:type="spellEnd"/>
    <w:r>
      <w:rPr>
        <w:color w:val="555555"/>
        <w:sz w:val="18"/>
        <w:szCs w:val="18"/>
      </w:rPr>
      <w:t xml:space="preserve"> </w:t>
    </w:r>
    <w:r w:rsidR="004F0B44">
      <w:rPr>
        <w:color w:val="555555"/>
        <w:sz w:val="18"/>
        <w:szCs w:val="18"/>
      </w:rPr>
      <w:t xml:space="preserve">| </w:t>
    </w:r>
    <w:r>
      <w:rPr>
        <w:color w:val="555555"/>
        <w:sz w:val="18"/>
        <w:szCs w:val="18"/>
      </w:rPr>
      <w:t xml:space="preserve">University Honors </w:t>
    </w:r>
    <w:r w:rsidR="009F4F9B">
      <w:rPr>
        <w:color w:val="555555"/>
        <w:sz w:val="18"/>
        <w:szCs w:val="18"/>
      </w:rPr>
      <w:t>Program | Mouad</w:t>
    </w:r>
    <w:r>
      <w:rPr>
        <w:color w:val="555555"/>
        <w:sz w:val="18"/>
        <w:szCs w:val="18"/>
      </w:rPr>
      <w:t xml:space="preserve"> </w:t>
    </w:r>
    <w:r w:rsidR="009F4F9B">
      <w:rPr>
        <w:color w:val="555555"/>
        <w:sz w:val="18"/>
        <w:szCs w:val="18"/>
      </w:rPr>
      <w:t>Zemzoumi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D5D"/>
    <w:multiLevelType w:val="hybridMultilevel"/>
    <w:tmpl w:val="F87668AE"/>
    <w:lvl w:ilvl="0" w:tplc="31B44646">
      <w:start w:val="1"/>
      <w:numFmt w:val="decimal"/>
      <w:lvlText w:val="%1."/>
      <w:lvlJc w:val="left"/>
      <w:pPr>
        <w:ind w:left="720" w:hanging="360"/>
      </w:pPr>
    </w:lvl>
    <w:lvl w:ilvl="1" w:tplc="46161F54">
      <w:numFmt w:val="decimal"/>
      <w:lvlText w:val=""/>
      <w:lvlJc w:val="left"/>
    </w:lvl>
    <w:lvl w:ilvl="2" w:tplc="52389426">
      <w:numFmt w:val="decimal"/>
      <w:lvlText w:val=""/>
      <w:lvlJc w:val="left"/>
    </w:lvl>
    <w:lvl w:ilvl="3" w:tplc="1994B98E">
      <w:numFmt w:val="decimal"/>
      <w:lvlText w:val=""/>
      <w:lvlJc w:val="left"/>
    </w:lvl>
    <w:lvl w:ilvl="4" w:tplc="1CF8A77C">
      <w:numFmt w:val="decimal"/>
      <w:lvlText w:val=""/>
      <w:lvlJc w:val="left"/>
    </w:lvl>
    <w:lvl w:ilvl="5" w:tplc="C75C97F2">
      <w:numFmt w:val="decimal"/>
      <w:lvlText w:val=""/>
      <w:lvlJc w:val="left"/>
    </w:lvl>
    <w:lvl w:ilvl="6" w:tplc="C066AF0C">
      <w:numFmt w:val="decimal"/>
      <w:lvlText w:val=""/>
      <w:lvlJc w:val="left"/>
    </w:lvl>
    <w:lvl w:ilvl="7" w:tplc="F86E2E4C">
      <w:numFmt w:val="decimal"/>
      <w:lvlText w:val=""/>
      <w:lvlJc w:val="left"/>
    </w:lvl>
    <w:lvl w:ilvl="8" w:tplc="5F000F54">
      <w:numFmt w:val="decimal"/>
      <w:lvlText w:val=""/>
      <w:lvlJc w:val="left"/>
    </w:lvl>
  </w:abstractNum>
  <w:abstractNum w:abstractNumId="1" w15:restartNumberingAfterBreak="0">
    <w:nsid w:val="41DE14E4"/>
    <w:multiLevelType w:val="hybridMultilevel"/>
    <w:tmpl w:val="94E0002C"/>
    <w:lvl w:ilvl="0" w:tplc="E2D0C4E2">
      <w:start w:val="1"/>
      <w:numFmt w:val="bullet"/>
      <w:lvlText w:val="●"/>
      <w:lvlJc w:val="left"/>
      <w:pPr>
        <w:ind w:left="720" w:hanging="360"/>
      </w:pPr>
    </w:lvl>
    <w:lvl w:ilvl="1" w:tplc="BD34E402">
      <w:start w:val="1"/>
      <w:numFmt w:val="bullet"/>
      <w:lvlText w:val="○"/>
      <w:lvlJc w:val="left"/>
      <w:pPr>
        <w:ind w:left="1440" w:hanging="360"/>
      </w:pPr>
    </w:lvl>
    <w:lvl w:ilvl="2" w:tplc="BAB2D4A8">
      <w:start w:val="1"/>
      <w:numFmt w:val="bullet"/>
      <w:lvlText w:val="■"/>
      <w:lvlJc w:val="left"/>
      <w:pPr>
        <w:ind w:left="2160" w:hanging="360"/>
      </w:pPr>
    </w:lvl>
    <w:lvl w:ilvl="3" w:tplc="CB76030C">
      <w:start w:val="1"/>
      <w:numFmt w:val="bullet"/>
      <w:lvlText w:val="●"/>
      <w:lvlJc w:val="left"/>
      <w:pPr>
        <w:ind w:left="2880" w:hanging="360"/>
      </w:pPr>
    </w:lvl>
    <w:lvl w:ilvl="4" w:tplc="48CE7178">
      <w:start w:val="1"/>
      <w:numFmt w:val="bullet"/>
      <w:lvlText w:val="○"/>
      <w:lvlJc w:val="left"/>
      <w:pPr>
        <w:ind w:left="3600" w:hanging="360"/>
      </w:pPr>
    </w:lvl>
    <w:lvl w:ilvl="5" w:tplc="8D48AFF6">
      <w:start w:val="1"/>
      <w:numFmt w:val="bullet"/>
      <w:lvlText w:val="■"/>
      <w:lvlJc w:val="left"/>
      <w:pPr>
        <w:ind w:left="4320" w:hanging="360"/>
      </w:pPr>
    </w:lvl>
    <w:lvl w:ilvl="6" w:tplc="0D8028E6">
      <w:start w:val="1"/>
      <w:numFmt w:val="bullet"/>
      <w:lvlText w:val="●"/>
      <w:lvlJc w:val="left"/>
      <w:pPr>
        <w:ind w:left="5040" w:hanging="360"/>
      </w:pPr>
    </w:lvl>
    <w:lvl w:ilvl="7" w:tplc="6A025326">
      <w:start w:val="1"/>
      <w:numFmt w:val="bullet"/>
      <w:lvlText w:val="●"/>
      <w:lvlJc w:val="left"/>
      <w:pPr>
        <w:ind w:left="5760" w:hanging="360"/>
      </w:pPr>
    </w:lvl>
    <w:lvl w:ilvl="8" w:tplc="31EA551A">
      <w:start w:val="1"/>
      <w:numFmt w:val="bullet"/>
      <w:lvlText w:val="●"/>
      <w:lvlJc w:val="left"/>
      <w:pPr>
        <w:ind w:left="6480" w:hanging="360"/>
      </w:pPr>
    </w:lvl>
  </w:abstractNum>
  <w:abstractNum w:abstractNumId="2" w15:restartNumberingAfterBreak="0">
    <w:nsid w:val="4FF52544"/>
    <w:multiLevelType w:val="hybridMultilevel"/>
    <w:tmpl w:val="C784C000"/>
    <w:lvl w:ilvl="0" w:tplc="7C428B0C">
      <w:start w:val="1"/>
      <w:numFmt w:val="bullet"/>
      <w:lvlText w:val="•"/>
      <w:lvlJc w:val="left"/>
      <w:pPr>
        <w:ind w:left="720" w:hanging="360"/>
      </w:pPr>
    </w:lvl>
    <w:lvl w:ilvl="1" w:tplc="DB96B82E">
      <w:numFmt w:val="decimal"/>
      <w:lvlText w:val=""/>
      <w:lvlJc w:val="left"/>
    </w:lvl>
    <w:lvl w:ilvl="2" w:tplc="4E5A210E">
      <w:numFmt w:val="decimal"/>
      <w:lvlText w:val=""/>
      <w:lvlJc w:val="left"/>
    </w:lvl>
    <w:lvl w:ilvl="3" w:tplc="78AE2FAC">
      <w:numFmt w:val="decimal"/>
      <w:lvlText w:val=""/>
      <w:lvlJc w:val="left"/>
    </w:lvl>
    <w:lvl w:ilvl="4" w:tplc="60A86434">
      <w:numFmt w:val="decimal"/>
      <w:lvlText w:val=""/>
      <w:lvlJc w:val="left"/>
    </w:lvl>
    <w:lvl w:ilvl="5" w:tplc="8BE0AF30">
      <w:numFmt w:val="decimal"/>
      <w:lvlText w:val=""/>
      <w:lvlJc w:val="left"/>
    </w:lvl>
    <w:lvl w:ilvl="6" w:tplc="65304488">
      <w:numFmt w:val="decimal"/>
      <w:lvlText w:val=""/>
      <w:lvlJc w:val="left"/>
    </w:lvl>
    <w:lvl w:ilvl="7" w:tplc="9CE80C30">
      <w:numFmt w:val="decimal"/>
      <w:lvlText w:val=""/>
      <w:lvlJc w:val="left"/>
    </w:lvl>
    <w:lvl w:ilvl="8" w:tplc="0AB08054">
      <w:numFmt w:val="decimal"/>
      <w:lvlText w:val=""/>
      <w:lvlJc w:val="left"/>
    </w:lvl>
  </w:abstractNum>
  <w:num w:numId="1" w16cid:durableId="1086421222">
    <w:abstractNumId w:val="1"/>
    <w:lvlOverride w:ilvl="0">
      <w:startOverride w:val="1"/>
    </w:lvlOverride>
  </w:num>
  <w:num w:numId="2" w16cid:durableId="12963684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A0A"/>
    <w:rsid w:val="001F660B"/>
    <w:rsid w:val="00256CA3"/>
    <w:rsid w:val="004F0B44"/>
    <w:rsid w:val="00727AA2"/>
    <w:rsid w:val="00775A0A"/>
    <w:rsid w:val="007F620C"/>
    <w:rsid w:val="009F4F9B"/>
    <w:rsid w:val="00D47D12"/>
    <w:rsid w:val="00F517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B12A"/>
  <w15:docId w15:val="{4423CB65-F1E2-4A2B-AD4A-9DF91E698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F0B44"/>
    <w:pPr>
      <w:tabs>
        <w:tab w:val="center" w:pos="4680"/>
        <w:tab w:val="right" w:pos="9360"/>
      </w:tabs>
    </w:pPr>
  </w:style>
  <w:style w:type="character" w:customStyle="1" w:styleId="HeaderChar">
    <w:name w:val="Header Char"/>
    <w:basedOn w:val="DefaultParagraphFont"/>
    <w:link w:val="Header"/>
    <w:uiPriority w:val="99"/>
    <w:rsid w:val="004F0B44"/>
  </w:style>
  <w:style w:type="paragraph" w:styleId="Footer">
    <w:name w:val="footer"/>
    <w:basedOn w:val="Normal"/>
    <w:link w:val="FooterChar"/>
    <w:uiPriority w:val="99"/>
    <w:unhideWhenUsed/>
    <w:rsid w:val="004F0B44"/>
    <w:pPr>
      <w:tabs>
        <w:tab w:val="center" w:pos="4680"/>
        <w:tab w:val="right" w:pos="9360"/>
      </w:tabs>
    </w:pPr>
  </w:style>
  <w:style w:type="character" w:customStyle="1" w:styleId="FooterChar">
    <w:name w:val="Footer Char"/>
    <w:basedOn w:val="DefaultParagraphFont"/>
    <w:link w:val="Footer"/>
    <w:uiPriority w:val="99"/>
    <w:rsid w:val="004F0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2365</Words>
  <Characters>15114</Characters>
  <Application>Microsoft Office Word</Application>
  <DocSecurity>0</DocSecurity>
  <Lines>232</Lines>
  <Paragraphs>79</Paragraphs>
  <ScaleCrop>false</ScaleCrop>
  <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Mouad Zemzoumi &lt; 119509 &gt;</cp:lastModifiedBy>
  <cp:revision>5</cp:revision>
  <dcterms:created xsi:type="dcterms:W3CDTF">2026-04-11T15:11:00Z</dcterms:created>
  <dcterms:modified xsi:type="dcterms:W3CDTF">2026-04-11T20:12:00Z</dcterms:modified>
</cp:coreProperties>
</file>