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p>
    <w:p>
      <w:pPr>
        <w:spacing w:after="80" w:before="0"/>
        <w:jc w:val="center"/>
      </w:pPr>
      <w:r>
        <w:rPr>
          <w:rFonts w:ascii="Georgia" w:cs="Georgia" w:eastAsia="Georgia" w:hAnsi="Georgia"/>
          <w:b/>
          <w:bCs/>
          <w:color w:val="1F3864"/>
          <w:sz w:val="22"/>
          <w:szCs w:val="22"/>
        </w:rPr>
        <w:t xml:space="preserve">Royaume du Maroc</w:t>
      </w:r>
    </w:p>
    <w:p>
      <w:pPr>
        <w:spacing w:after="60" w:before="0"/>
        <w:jc w:val="center"/>
      </w:pPr>
      <w:r>
        <w:rPr>
          <w:rFonts w:ascii="Georgia" w:cs="Georgia" w:eastAsia="Georgia" w:hAnsi="Georgia"/>
          <w:color w:val="3B4C5A"/>
          <w:sz w:val="20"/>
          <w:szCs w:val="20"/>
        </w:rPr>
        <w:t xml:space="preserve">Ministère de l'Éducation Nationale, de l'Enseignement Préscolaire et des Sports</w:t>
      </w:r>
    </w:p>
    <w:p>
      <w:pPr>
        <w:spacing w:after="300" w:before="0"/>
        <w:jc w:val="center"/>
      </w:pPr>
      <w:r>
        <w:rPr>
          <w:rFonts w:ascii="Georgia" w:cs="Georgia" w:eastAsia="Georgia" w:hAnsi="Georgia"/>
          <w:color w:val="3B4C5A"/>
          <w:sz w:val="20"/>
          <w:szCs w:val="20"/>
        </w:rPr>
        <w:t xml:space="preserve">Centre Régional des Métiers de l'Éducation et de la Formation — Marrakech-Safi</w:t>
      </w:r>
    </w:p>
    <w:p>
      <w:pPr>
        <w:pBdr>
          <w:top w:val="single" w:color="2E75B6" w:sz="6" w:space="8"/>
          <w:bottom w:val="single" w:color="2E75B6" w:sz="6" w:space="8"/>
        </w:pBdr>
        <w:spacing w:after="100" w:before="100"/>
        <w:jc w:val="center"/>
      </w:pPr>
      <w:r>
        <w:rPr>
          <w:rFonts w:ascii="Georgia" w:cs="Georgia" w:eastAsia="Georgia" w:hAnsi="Georgia"/>
          <w:i/>
          <w:iCs/>
          <w:color w:val="1F3864"/>
          <w:sz w:val="22"/>
          <w:szCs w:val="22"/>
        </w:rPr>
        <w:t xml:space="preserve">Rapport du Module — GESTION 1</w:t>
      </w:r>
    </w:p>
    <w:p>
      <w:pPr>
        <w:spacing w:after="80" w:before="0"/>
      </w:pPr>
    </w:p>
    <w:p>
      <w:pPr>
        <w:spacing w:after="80" w:before="200"/>
        <w:jc w:val="center"/>
      </w:pPr>
      <w:r>
        <w:rPr>
          <w:rFonts w:ascii="Georgia" w:cs="Georgia" w:eastAsia="Georgia" w:hAnsi="Georgia"/>
          <w:b/>
          <w:bCs/>
          <w:color w:val="1F3864"/>
          <w:sz w:val="42"/>
          <w:szCs w:val="42"/>
        </w:rPr>
        <w:t xml:space="preserve">La Gestion des Apprentissages en Informatique</w:t>
      </w:r>
    </w:p>
    <w:p>
      <w:pPr>
        <w:spacing w:after="360" w:before="0"/>
        <w:jc w:val="center"/>
      </w:pPr>
      <w:r>
        <w:rPr>
          <w:rFonts w:ascii="Georgia" w:cs="Georgia" w:eastAsia="Georgia" w:hAnsi="Georgia"/>
          <w:i/>
          <w:iCs/>
          <w:color w:val="2E75B6"/>
          <w:sz w:val="30"/>
          <w:szCs w:val="30"/>
        </w:rPr>
        <w:t xml:space="preserve">au Cycle Secondaire Qualifiant</w:t>
      </w:r>
    </w:p>
    <w:p>
      <w:pPr>
        <w:spacing w:after="160" w:before="0"/>
      </w:pPr>
    </w:p>
    <w:p>
      <w:pPr>
        <w:spacing w:after="60" w:before="0"/>
        <w:jc w:val="center"/>
      </w:pPr>
      <w:r>
        <w:rPr>
          <w:rFonts w:ascii="Georgia" w:cs="Georgia" w:eastAsia="Georgia" w:hAnsi="Georgia"/>
          <w:i/>
          <w:iCs/>
          <w:color w:val="3B4C5A"/>
          <w:sz w:val="20"/>
          <w:szCs w:val="20"/>
        </w:rPr>
        <w:t xml:space="preserve">Réalisé par</w:t>
      </w:r>
    </w:p>
    <w:p>
      <w:pPr>
        <w:spacing w:after="60" w:before="0"/>
        <w:jc w:val="center"/>
      </w:pPr>
      <w:r>
        <w:rPr>
          <w:rFonts w:ascii="Georgia" w:cs="Georgia" w:eastAsia="Georgia" w:hAnsi="Georgia"/>
          <w:b/>
          <w:bCs/>
          <w:color w:val="1F3864"/>
          <w:sz w:val="32"/>
          <w:szCs w:val="32"/>
        </w:rPr>
        <w:t xml:space="preserve">MOUAD ALLAOUI</w:t>
      </w:r>
    </w:p>
    <w:p>
      <w:pPr>
        <w:spacing w:after="240" w:before="0"/>
        <w:jc w:val="center"/>
      </w:pPr>
      <w:r>
        <w:rPr>
          <w:rFonts w:ascii="Georgia" w:cs="Georgia" w:eastAsia="Georgia" w:hAnsi="Georgia"/>
          <w:i/>
          <w:iCs/>
          <w:color w:val="3B4C5A"/>
          <w:sz w:val="20"/>
          <w:szCs w:val="20"/>
        </w:rPr>
        <w:t xml:space="preserve">Stagiaire — Spécialité Informatique, Cycle Secondaire</w:t>
      </w:r>
    </w:p>
    <w:p>
      <w:pPr>
        <w:spacing w:after="60" w:before="0"/>
        <w:jc w:val="center"/>
      </w:pPr>
      <w:r>
        <w:rPr>
          <w:rFonts w:ascii="Georgia" w:cs="Georgia" w:eastAsia="Georgia" w:hAnsi="Georgia"/>
          <w:i/>
          <w:iCs/>
          <w:color w:val="3B4C5A"/>
          <w:sz w:val="20"/>
          <w:szCs w:val="20"/>
        </w:rPr>
        <w:t xml:space="preserve">Sous la direction de</w:t>
      </w:r>
    </w:p>
    <w:p>
      <w:pPr>
        <w:spacing w:after="60" w:before="0"/>
        <w:jc w:val="center"/>
      </w:pPr>
      <w:r>
        <w:rPr>
          <w:rFonts w:ascii="Georgia" w:cs="Georgia" w:eastAsia="Georgia" w:hAnsi="Georgia"/>
          <w:b/>
          <w:bCs/>
          <w:color w:val="2E75B6"/>
          <w:sz w:val="26"/>
          <w:szCs w:val="26"/>
        </w:rPr>
        <w:t xml:space="preserve">Dr. Raja TAMRI</w:t>
      </w:r>
    </w:p>
    <w:p>
      <w:pPr>
        <w:spacing w:after="320" w:before="0"/>
        <w:jc w:val="center"/>
      </w:pPr>
      <w:r>
        <w:rPr>
          <w:rFonts w:ascii="Georgia" w:cs="Georgia" w:eastAsia="Georgia" w:hAnsi="Georgia"/>
          <w:i/>
          <w:iCs/>
          <w:color w:val="3B4C5A"/>
          <w:sz w:val="20"/>
          <w:szCs w:val="20"/>
        </w:rPr>
        <w:t xml:space="preserve">CRMEF Marrakech-Safi</w:t>
      </w:r>
    </w:p>
    <w:p>
      <w:pPr>
        <w:spacing w:after="80" w:before="0"/>
        <w:jc w:val="center"/>
      </w:pPr>
      <w:r>
        <w:rPr>
          <w:rFonts w:ascii="Georgia" w:cs="Georgia" w:eastAsia="Georgia" w:hAnsi="Georgia"/>
          <w:b/>
          <w:bCs/>
          <w:color w:val="1F3864"/>
          <w:sz w:val="22"/>
          <w:szCs w:val="22"/>
        </w:rPr>
        <w:t xml:space="preserve">Année scolaire 2025 / 2026</w:t>
      </w:r>
    </w:p>
    <w:p>
      <w:r>
        <w:br w:type="page"/>
      </w:r>
    </w:p>
    <w:p>
      <w:pPr>
        <w:pStyle w:val="Heading1"/>
        <w:pBdr>
          <w:bottom w:val="single" w:color="2E75B6" w:sz="10" w:space="6"/>
        </w:pBdr>
        <w:spacing w:after="180" w:before="400"/>
      </w:pPr>
      <w:r>
        <w:rPr>
          <w:rFonts w:ascii="Georgia" w:cs="Georgia" w:eastAsia="Georgia" w:hAnsi="Georgia"/>
          <w:b/>
          <w:bCs/>
          <w:color w:val="1F3864"/>
          <w:sz w:val="30"/>
          <w:szCs w:val="30"/>
        </w:rPr>
        <w:t xml:space="preserve">Remerciements</w:t>
      </w:r>
    </w:p>
    <w:p>
      <w:pPr>
        <w:spacing w:after="80" w:before="0"/>
      </w:pPr>
    </w:p>
    <w:p>
      <w:pPr>
        <w:spacing w:after="160" w:before="100" w:line="360"/>
        <w:ind w:firstLine="360"/>
        <w:jc w:val="both"/>
      </w:pPr>
      <w:r>
        <w:rPr>
          <w:rFonts w:ascii="Georgia" w:cs="Georgia" w:eastAsia="Georgia" w:hAnsi="Georgia"/>
          <w:b w:val="false"/>
          <w:bCs w:val="false"/>
          <w:i w:val="false"/>
          <w:iCs w:val="false"/>
          <w:color w:val="2C2C2C"/>
          <w:sz w:val="22"/>
          <w:szCs w:val="22"/>
        </w:rPr>
        <w:t xml:space="preserve">Il est des dettes intellectuelles que l'on ne rembourse jamais tout à fait. Celle que j'ai contractée envers Dr. Raja Tamri en est une. Tout au long du module Gestion 1, son enseignement ne s'est jamais contenté de déposer des concepts sur une table ; il les a incarnés, questionnés, retournés sous toutes leurs facettes jusqu'à ce que leur sens pratique devienne évident. C'est à cette école de la rigueur bienveillante que je dois l'essentiel de la réflexion qui traverse ces pages.</w:t>
      </w:r>
    </w:p>
    <w:p>
      <w:pPr>
        <w:spacing w:after="160" w:before="100" w:line="360"/>
        <w:ind w:firstLine="360"/>
        <w:jc w:val="both"/>
      </w:pPr>
      <w:r>
        <w:rPr>
          <w:rFonts w:ascii="Georgia" w:cs="Georgia" w:eastAsia="Georgia" w:hAnsi="Georgia"/>
          <w:b w:val="false"/>
          <w:bCs w:val="false"/>
          <w:i w:val="false"/>
          <w:iCs w:val="false"/>
          <w:color w:val="2C2C2C"/>
          <w:sz w:val="22"/>
          <w:szCs w:val="22"/>
        </w:rPr>
        <w:t xml:space="preserve">Je tiens à exprimer ma gratitude à l'ensemble du corps formateur du CRMEF de Marrakech-Safi, dont l'engagement quotidien constitue, pour nous stagiaires, un modèle de ce que peut être un professionnalisme véritablement éthique. Je pense également à mes collègues de promotion : nos désaccords, parfois vifs, sur telle ou telle posture pédagogique ont souvent été les moments les plus formateurs de cette année — la preuve, s'il en fallait une, que la confrontation des intelligences est une pédagogie à part entière.</w:t>
      </w:r>
    </w:p>
    <w:p>
      <w:r>
        <w:br w:type="page"/>
      </w:r>
    </w:p>
    <w:p>
      <w:pPr>
        <w:pStyle w:val="Heading1"/>
        <w:pBdr>
          <w:bottom w:val="single" w:color="2E75B6" w:sz="10" w:space="6"/>
        </w:pBdr>
        <w:spacing w:after="180" w:before="400"/>
      </w:pPr>
      <w:r>
        <w:rPr>
          <w:rFonts w:ascii="Georgia" w:cs="Georgia" w:eastAsia="Georgia" w:hAnsi="Georgia"/>
          <w:b/>
          <w:bCs/>
          <w:color w:val="1F3864"/>
          <w:sz w:val="30"/>
          <w:szCs w:val="30"/>
        </w:rPr>
        <w:t xml:space="preserve">Introduction — Quand la technique rencontre l'humain</w:t>
      </w:r>
    </w:p>
    <w:p>
      <w:pPr>
        <w:spacing w:after="80" w:before="0"/>
      </w:pPr>
    </w:p>
    <w:p>
      <w:pPr>
        <w:spacing w:after="160" w:before="100" w:line="360"/>
        <w:ind w:firstLine="360"/>
        <w:jc w:val="both"/>
      </w:pPr>
      <w:r>
        <w:rPr>
          <w:rFonts w:ascii="Georgia" w:cs="Georgia" w:eastAsia="Georgia" w:hAnsi="Georgia"/>
          <w:b w:val="false"/>
          <w:bCs w:val="false"/>
          <w:i w:val="false"/>
          <w:iCs w:val="false"/>
          <w:color w:val="2C2C2C"/>
          <w:sz w:val="22"/>
          <w:szCs w:val="22"/>
        </w:rPr>
        <w:t xml:space="preserve">Je me souviens avec précision de ma première séance d'observation au lycée partenaire du CRMEF. Trente élèves, vingt-huit postes allumés, deux qui refusaient de démarrer malgré les relances de l'enseignant. En l'espace de quelques minutes, j'ai été frappé par l'évidence d'une réalité que mes lectures n'avaient qu'effleurée : enseigner l'informatique au cycle secondaire qualifiant au Maroc, c'est accepter d'emblée une tension fondatrice, celle qui s'installe entre la technicité d'une discipline en mutation permanente et l'exigence humaniste d'un acte d'enseignement centré sur l'apprenant. Cette tension n'est pas un obstacle ; elle est la matière première de notre métier.</w:t>
      </w:r>
    </w:p>
    <w:p>
      <w:pPr>
        <w:spacing w:after="160" w:before="100" w:line="360"/>
        <w:ind w:firstLine="360"/>
        <w:jc w:val="both"/>
      </w:pPr>
      <w:r>
        <w:rPr>
          <w:rFonts w:ascii="Georgia" w:cs="Georgia" w:eastAsia="Georgia" w:hAnsi="Georgia"/>
          <w:b w:val="false"/>
          <w:bCs w:val="false"/>
          <w:i w:val="false"/>
          <w:iCs w:val="false"/>
          <w:color w:val="2C2C2C"/>
          <w:sz w:val="22"/>
          <w:szCs w:val="22"/>
        </w:rPr>
        <w:t xml:space="preserve">C'est précisément pour éclairer cette complexité que le module Gestion 1 prend toute sa valeur. La notion de gestion pédagogique, telle que la définit Clermont (1997), dépasse largement la seule question de la discipline ou de la maîtrise du contenu. Elle désigne l'ensemble des actions que l'enseignant conçoit et met en œuvre avec ses apprenants, et pour ses apprenants, en vue de favoriser leur implication, de les soutenir et de développer leurs apprentissages. Le mot « pour » est décisif : il signale que la gestion n'est pas un ensemble de contraintes imposées aux élèves de l'extérieur, mais un système d'intentions pensé à leur service, depuis l'intérieur de la relation pédagogique.</w:t>
      </w:r>
    </w:p>
    <w:p>
      <w:pPr>
        <w:spacing w:after="160" w:before="100" w:line="360"/>
        <w:ind w:firstLine="360"/>
        <w:jc w:val="both"/>
      </w:pPr>
      <w:r>
        <w:rPr>
          <w:rFonts w:ascii="Georgia" w:cs="Georgia" w:eastAsia="Georgia" w:hAnsi="Georgia"/>
          <w:b w:val="false"/>
          <w:bCs w:val="false"/>
          <w:i w:val="false"/>
          <w:iCs w:val="false"/>
          <w:color w:val="2C2C2C"/>
          <w:sz w:val="22"/>
          <w:szCs w:val="22"/>
        </w:rPr>
        <w:t xml:space="preserve">Au fil de ma formation, j'ai progressivement compris que maîtriser un langage de programmation ou un outil bureautique ne constitue qu'une condition nécessaire, jamais suffisante. Ce qui fait la différence entre une séance de travaux pratiques qui produit de réels apprentissages et une séance où les élèves s'activent sans construire de compétences durables, c'est la qualité de la gestion pédagogique déployée. C'est elle qui transforme un espace équipé — souvent mal équipé, à vrai dire — en véritable environnement d'apprentissage.</w:t>
      </w:r>
    </w:p>
    <w:p>
      <w:pPr>
        <w:spacing w:after="160" w:before="100" w:line="360"/>
        <w:ind w:firstLine="360"/>
        <w:jc w:val="both"/>
      </w:pPr>
      <w:r>
        <w:rPr>
          <w:rFonts w:ascii="Georgia" w:cs="Georgia" w:eastAsia="Georgia" w:hAnsi="Georgia"/>
          <w:b w:val="false"/>
          <w:bCs w:val="false"/>
          <w:i w:val="false"/>
          <w:iCs w:val="false"/>
          <w:color w:val="2C2C2C"/>
          <w:sz w:val="22"/>
          <w:szCs w:val="22"/>
        </w:rPr>
        <w:t xml:space="preserve">Ce rapport s'organise en quatre axes complémentaires. Le premier pose les fondements conceptuels de la gestion à travers ses cinq dimensions constitutives. Le deuxième analyse la gestion des situations d'apprentissage dans le cadre de l'Approche Par Compétences, telle qu'elle est prescrite par la Vision Stratégique 2015-2030. Le troisième explore les styles d'enseignement, les profils d'apprenants et les méthodes pédagogiques disponibles. Le quatrième, enfin, examine la communication pédagogique et les leviers de motivation des élèves. Chaque axe s'efforce d'articuler la réflexion théorique avec les réalités du terrain marocain, telles que j'ai commencé à les percevoir, à les ressentir et, parfois, à les subir au fil de mes observations.</w:t>
      </w:r>
    </w:p>
    <w:p>
      <w:r>
        <w:br w:type="page"/>
      </w:r>
    </w:p>
    <w:p>
      <w:pPr>
        <w:pStyle w:val="Heading1"/>
        <w:pBdr>
          <w:bottom w:val="single" w:color="2E75B6" w:sz="10" w:space="6"/>
        </w:pBdr>
        <w:spacing w:after="180" w:before="400"/>
      </w:pPr>
      <w:r>
        <w:rPr>
          <w:rFonts w:ascii="Georgia" w:cs="Georgia" w:eastAsia="Georgia" w:hAnsi="Georgia"/>
          <w:b/>
          <w:bCs/>
          <w:color w:val="1F3864"/>
          <w:sz w:val="30"/>
          <w:szCs w:val="30"/>
        </w:rPr>
        <w:t xml:space="preserve">Axe I — Cinq dimensions pour gouverner l'invisible</w:t>
      </w:r>
    </w:p>
    <w:p>
      <w:pPr>
        <w:spacing w:after="80" w:before="0"/>
      </w:pPr>
    </w:p>
    <w:p>
      <w:pPr>
        <w:spacing w:after="160" w:before="100" w:line="360"/>
        <w:ind w:firstLine="360"/>
        <w:jc w:val="both"/>
      </w:pPr>
      <w:r>
        <w:rPr>
          <w:rFonts w:ascii="Georgia" w:cs="Georgia" w:eastAsia="Georgia" w:hAnsi="Georgia"/>
          <w:b w:val="false"/>
          <w:bCs w:val="false"/>
          <w:i w:val="false"/>
          <w:iCs w:val="false"/>
          <w:color w:val="2C2C2C"/>
          <w:sz w:val="22"/>
          <w:szCs w:val="22"/>
        </w:rPr>
        <w:t xml:space="preserve">Avant mes premières observations, je me représentais la gestion de classe comme une affaire essentiellement disciplinaire : maintenir l'ordre, faire respecter les consignes, éviter les débordements. La réalité que j'ai découverte est infiniment plus riche, et je l'avoue volontiers, bien plus intimidante. Une séance réellement bien gérée est une séance dont chaque variable — le contenu disciplinaire, la dynamique de groupe, la disposition physique de la salle, le tempo pédagogique et le choix des supports — a été pensée de manière cohérente avant même que les élèves ne s'assoient devant leurs machines. Ces cinq dimensions ne s'additionnent pas ; elles se multiplient : négliger l'une d'entre elles fragilise l'ensemble de l'édifice.</w:t>
      </w:r>
    </w:p>
    <w:p>
      <w:pPr>
        <w:pStyle w:val="Heading2"/>
        <w:spacing w:after="140" w:before="320"/>
      </w:pPr>
      <w:r>
        <w:rPr>
          <w:rFonts w:ascii="Georgia" w:cs="Georgia" w:eastAsia="Georgia" w:hAnsi="Georgia"/>
          <w:b/>
          <w:bCs/>
          <w:color w:val="2E75B6"/>
          <w:sz w:val="24"/>
          <w:szCs w:val="24"/>
        </w:rPr>
        <w:t xml:space="preserve">1.1 Transposer sans trahir — la gestion de la matière</w:t>
      </w:r>
    </w:p>
    <w:p>
      <w:pPr>
        <w:spacing w:after="160" w:before="100" w:line="360"/>
        <w:ind w:firstLine="360"/>
        <w:jc w:val="both"/>
      </w:pPr>
      <w:r>
        <w:rPr>
          <w:rFonts w:ascii="Georgia" w:cs="Georgia" w:eastAsia="Georgia" w:hAnsi="Georgia"/>
          <w:b w:val="false"/>
          <w:bCs w:val="false"/>
          <w:i w:val="false"/>
          <w:iCs w:val="false"/>
          <w:color w:val="2C2C2C"/>
          <w:sz w:val="22"/>
          <w:szCs w:val="22"/>
        </w:rPr>
        <w:t xml:space="preserve">J'ai compris, très tôt dans ma formation, que la maîtrise technique d'un contenu informatique ne garantit en rien sa transmissibilité. Ce constat, qui peut sembler banal, est en réalité d'une exigence redoutable. En informatique, la discipline évolue si vite que l'enseignant doit sans cesse arbitrer entre les savoirs fondamentaux — algorithmique, logique, structures de données, réseaux — et les outils du moment, susceptibles de devenir obsolètes en quelques années à peine. Ceci postulé, il devient impératif de ne pas confondre la maîtrise d'un logiciel particulier avec la compétence informatique réelle, qui consiste à résoudre des problèmes en mobilisant un raisonnement logique structuré.</w:t>
      </w:r>
    </w:p>
    <w:p>
      <w:pPr>
        <w:spacing w:after="160" w:before="100" w:line="360"/>
        <w:ind w:firstLine="360"/>
        <w:jc w:val="both"/>
      </w:pPr>
      <w:r>
        <w:rPr>
          <w:rFonts w:ascii="Georgia" w:cs="Georgia" w:eastAsia="Georgia" w:hAnsi="Georgia"/>
          <w:b w:val="false"/>
          <w:bCs w:val="false"/>
          <w:i w:val="false"/>
          <w:iCs w:val="false"/>
          <w:color w:val="2C2C2C"/>
          <w:sz w:val="22"/>
          <w:szCs w:val="22"/>
        </w:rPr>
        <w:t xml:space="preserve">La transposition didactique — cette opération subtile qui consiste à transformer un savoir savant en un savoir enseignable adapté au niveau des élèves — exige une double maîtrise : celle du contenu scientifique, bien sûr, mais aussi celle des représentations et des obstacles cognitifs propres à l'âge et au contexte des apprenants. Un algorithme de tri, parfaitement trivial pour un informaticien rompu aux structures de données, nécessite un découpage progressif en étapes accessibles pour un élève de deuxième année de baccalauréat qui rencontre la notion de comparaison itérative pour la première fois. Nonobstant ces contraintes épistémiques, la réalité du terrain marocain en ajoute une autre, plus prosaïque : des programmes chargés et des volumes horaires souvent insuffisants, qui contraignent à une hiérarchisation rigoureuse des contenus. Distinguer l'essentiel de l'accessoire n'est plus seulement une vertu pédagogique — c'est une obligation de survie dans la planification.</w:t>
      </w:r>
    </w:p>
    <w:p>
      <w:pPr>
        <w:pStyle w:val="Heading2"/>
        <w:spacing w:after="140" w:before="320"/>
      </w:pPr>
      <w:r>
        <w:rPr>
          <w:rFonts w:ascii="Georgia" w:cs="Georgia" w:eastAsia="Georgia" w:hAnsi="Georgia"/>
          <w:b/>
          <w:bCs/>
          <w:color w:val="2E75B6"/>
          <w:sz w:val="24"/>
          <w:szCs w:val="24"/>
        </w:rPr>
        <w:t xml:space="preserve">1.2 Lire la classe comme un texte vivant — la gestion du groupe</w:t>
      </w:r>
    </w:p>
    <w:p>
      <w:pPr>
        <w:spacing w:after="160" w:before="100" w:line="360"/>
        <w:ind w:firstLine="360"/>
        <w:jc w:val="both"/>
      </w:pPr>
      <w:r>
        <w:rPr>
          <w:rFonts w:ascii="Georgia" w:cs="Georgia" w:eastAsia="Georgia" w:hAnsi="Georgia"/>
          <w:b w:val="false"/>
          <w:bCs w:val="false"/>
          <w:i w:val="false"/>
          <w:iCs w:val="false"/>
          <w:color w:val="2C2C2C"/>
          <w:sz w:val="22"/>
          <w:szCs w:val="22"/>
        </w:rPr>
        <w:t xml:space="preserve">Lors de mes séances d'observation dans les établissements partenaires du CRMEF, j'ai découvert que la salle d'informatique marocaine est un espace d'une hétérogénéité à la fois remarquable et sous-estimée. Dans une même classe coexistent des élèves qui ont grandi avec un ordinateur à la maison, souvent connectés en permanence, et d'autres qui n'ont accès au numérique qu'en salle de travaux pratiques. J'ai pu mesurer à quel point cette disparité de prérequis, si elle n'est pas anticipée et pensée en amont, peut transformer une séance de TP en une succession de frustrations symétriques : les uns s'ennuient dans une attente que rien ne structure, les autres se noient dans des consignes qui supposent des acquis qu'ils ne possèdent pas encore, et l'enseignant s'épuise à courir d'un poste à l'autre dans une improvisation qui ne saurait tenir lieu de pédagogie différenciée.</w:t>
      </w:r>
    </w:p>
    <w:p>
      <w:pPr>
        <w:spacing w:after="160" w:before="100" w:line="360"/>
        <w:ind w:firstLine="360"/>
        <w:jc w:val="both"/>
      </w:pPr>
      <w:r>
        <w:rPr>
          <w:rFonts w:ascii="Georgia" w:cs="Georgia" w:eastAsia="Georgia" w:hAnsi="Georgia"/>
          <w:b w:val="false"/>
          <w:bCs w:val="false"/>
          <w:i w:val="false"/>
          <w:iCs w:val="false"/>
          <w:color w:val="2C2C2C"/>
          <w:sz w:val="22"/>
          <w:szCs w:val="22"/>
        </w:rPr>
        <w:t xml:space="preserve">Il en résulte une nécessité de penser la différenciation non comme une exception bienveillante, mais comme la norme structurante de chaque séance. Un travail en amont rigoureux s'impose : l'établissement d'un cadre de travail clair dès la première rencontre, la constitution de binômes réfléchis en fonction des niveaux, et la préparation d'une fiche de TP graduée qui propose un noyau commun accessible à tous, prolongé par des défis pour les élèves les plus avancés. C'est dans cette logique, et dans cette logique seulement, que le contrat didactique prend toute sa valeur : en définissant explicitement les droits et devoirs de chacun, il transforme le cadre disciplinaire en espace de confiance partagée, condition première de tout apprentissage authentique.</w:t>
      </w:r>
    </w:p>
    <w:p>
      <w:pPr>
        <w:pStyle w:val="Heading2"/>
        <w:spacing w:after="140" w:before="320"/>
      </w:pPr>
      <w:r>
        <w:rPr>
          <w:rFonts w:ascii="Georgia" w:cs="Georgia" w:eastAsia="Georgia" w:hAnsi="Georgia"/>
          <w:b/>
          <w:bCs/>
          <w:color w:val="2E75B6"/>
          <w:sz w:val="24"/>
          <w:szCs w:val="24"/>
        </w:rPr>
        <w:t xml:space="preserve">1.3 L'espace comme argument pédagogique — la disposition de la salle</w:t>
      </w:r>
    </w:p>
    <w:p>
      <w:pPr>
        <w:spacing w:after="160" w:before="100" w:line="360"/>
        <w:ind w:firstLine="360"/>
        <w:jc w:val="both"/>
      </w:pPr>
      <w:r>
        <w:rPr>
          <w:rFonts w:ascii="Georgia" w:cs="Georgia" w:eastAsia="Georgia" w:hAnsi="Georgia"/>
          <w:b w:val="false"/>
          <w:bCs w:val="false"/>
          <w:i w:val="false"/>
          <w:iCs w:val="false"/>
          <w:color w:val="2C2C2C"/>
          <w:sz w:val="22"/>
          <w:szCs w:val="22"/>
        </w:rPr>
        <w:t xml:space="preserve">Lors de mes passages dans plusieurs salles du cycle secondaire, j'ai très tôt perçu que la disposition en rangées — configuration par défaut, héritée d'une architecture scolaire pensée pour la transmission frontale — favorise certes la supervision individuelle, mais qu'elle freine de manière significative l'entraide entre pairs, notamment lors de séances de débogage en Python ou de construction collaborative de pages HTML. L'organisation spatiale d'une salle de classe est rarement perçue comme un acte pédagogique à part entière. C'est pourtant l'un des premiers leviers que l'enseignant peut activer pour favoriser ou inhiber certains types d'apprentissages. Dans une salle d'informatique aux contraintes spécifiques — câblage fixe, postes souvent disposés en rangées face au mur — la marge de manœuvre peut sembler limitée. Elle existe néanmoins, et son exploitation intelligente révèle déjà quelque chose de la posture pédagogique de l'enseignant.</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2400"/>
        <w:gridCol w:w="2326"/>
      </w:tblGrid>
      <w:tr>
        <w:trPr>
          <w:tblHeader/>
        </w:trPr>
        <w:tc>
          <w:tcPr>
            <w:tcW w:type="dxa" w:w="2100"/>
            <w:tcBorders>
              <w:top w:val="single" w:color="1F3864" w:sz="4"/>
              <w:left w:val="single" w:color="1F3864" w:sz="4"/>
              <w:bottom w:val="single" w:color="1F3864" w:sz="4"/>
              <w:right w:val="single" w:color="1F3864" w:sz="4"/>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Configuration</w:t>
            </w:r>
          </w:p>
        </w:tc>
        <w:tc>
          <w:tcPr>
            <w:tcW w:type="dxa" w:w="2200"/>
            <w:tcBorders>
              <w:top w:val="single" w:color="1F3864" w:sz="4"/>
              <w:left w:val="single" w:color="1F3864" w:sz="4"/>
              <w:bottom w:val="single" w:color="1F3864" w:sz="4"/>
              <w:right w:val="single" w:color="1F3864" w:sz="4"/>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Atouts principaux</w:t>
            </w:r>
          </w:p>
        </w:tc>
        <w:tc>
          <w:tcPr>
            <w:tcW w:type="dxa" w:w="2400"/>
            <w:tcBorders>
              <w:top w:val="single" w:color="1F3864" w:sz="4"/>
              <w:left w:val="single" w:color="1F3864" w:sz="4"/>
              <w:bottom w:val="single" w:color="1F3864" w:sz="4"/>
              <w:right w:val="single" w:color="1F3864" w:sz="4"/>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Contexte pédagogique idéal</w:t>
            </w:r>
          </w:p>
        </w:tc>
        <w:tc>
          <w:tcPr>
            <w:tcW w:type="dxa" w:w="2326"/>
            <w:tcBorders>
              <w:top w:val="single" w:color="1F3864" w:sz="4"/>
              <w:left w:val="single" w:color="1F3864" w:sz="4"/>
              <w:bottom w:val="single" w:color="1F3864" w:sz="4"/>
              <w:right w:val="single" w:color="1F3864" w:sz="4"/>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Usage recommandé</w:t>
            </w:r>
          </w:p>
        </w:tc>
      </w:tr>
      <w:tr>
        <w:tc>
          <w:tcPr>
            <w:tcW w:type="dxa" w:w="2100"/>
            <w:tcBorders>
              <w:top w:val="single" w:color="C4D8EC" w:sz="4"/>
              <w:left w:val="single" w:color="C4D8EC" w:sz="4"/>
              <w:bottom w:val="single" w:color="C4D8EC" w:sz="4"/>
              <w:right w:val="single" w:color="C4D8EC" w:sz="4"/>
            </w:tcBorders>
            <w:shd w:fill="FFFFFF" w:val="clear"/>
            <w:tcMar>
              <w:top w:type="dxa" w:w="80"/>
              <w:left w:type="dxa" w:w="160"/>
              <w:bottom w:type="dxa" w:w="80"/>
              <w:right w:type="dxa" w:w="160"/>
            </w:tcMar>
          </w:tcPr>
          <w:p>
            <w:pPr>
              <w:jc w:val="both"/>
            </w:pPr>
            <w:r>
              <w:rPr>
                <w:rFonts w:ascii="Arial" w:cs="Arial" w:eastAsia="Arial" w:hAnsi="Arial"/>
                <w:b/>
                <w:bCs/>
                <w:color w:val="2C2C2C"/>
                <w:sz w:val="19"/>
                <w:szCs w:val="19"/>
              </w:rPr>
              <w:t xml:space="preserve">En rangées classiques</w:t>
            </w:r>
          </w:p>
        </w:tc>
        <w:tc>
          <w:tcPr>
            <w:tcW w:type="dxa" w:w="2200"/>
            <w:tcBorders>
              <w:top w:val="single" w:color="C4D8EC" w:sz="4"/>
              <w:left w:val="single" w:color="C4D8EC" w:sz="4"/>
              <w:bottom w:val="single" w:color="C4D8EC" w:sz="4"/>
              <w:right w:val="single" w:color="C4D8EC" w:sz="4"/>
            </w:tcBorders>
            <w:shd w:fill="FFFFFF" w:val="clear"/>
            <w:tcMar>
              <w:top w:type="dxa" w:w="80"/>
              <w:left w:type="dxa" w:w="160"/>
              <w:bottom w:type="dxa" w:w="80"/>
              <w:right w:type="dxa" w:w="160"/>
            </w:tcMar>
          </w:tcPr>
          <w:p>
            <w:pPr>
              <w:jc w:val="both"/>
            </w:pPr>
            <w:r>
              <w:rPr>
                <w:rFonts w:ascii="Arial" w:cs="Arial" w:eastAsia="Arial" w:hAnsi="Arial"/>
                <w:b w:val="false"/>
                <w:bCs w:val="false"/>
                <w:color w:val="2C2C2C"/>
                <w:sz w:val="19"/>
                <w:szCs w:val="19"/>
              </w:rPr>
              <w:t xml:space="preserve">Supervision individuelle aisée ; concentration maximale</w:t>
            </w:r>
          </w:p>
        </w:tc>
        <w:tc>
          <w:tcPr>
            <w:tcW w:type="dxa" w:w="2400"/>
            <w:tcBorders>
              <w:top w:val="single" w:color="C4D8EC" w:sz="4"/>
              <w:left w:val="single" w:color="C4D8EC" w:sz="4"/>
              <w:bottom w:val="single" w:color="C4D8EC" w:sz="4"/>
              <w:right w:val="single" w:color="C4D8EC" w:sz="4"/>
            </w:tcBorders>
            <w:shd w:fill="FFFFFF" w:val="clear"/>
            <w:tcMar>
              <w:top w:type="dxa" w:w="80"/>
              <w:left w:type="dxa" w:w="160"/>
              <w:bottom w:type="dxa" w:w="80"/>
              <w:right w:type="dxa" w:w="160"/>
            </w:tcMar>
          </w:tcPr>
          <w:p>
            <w:pPr>
              <w:jc w:val="both"/>
            </w:pPr>
            <w:r>
              <w:rPr>
                <w:rFonts w:ascii="Arial" w:cs="Arial" w:eastAsia="Arial" w:hAnsi="Arial"/>
                <w:b w:val="false"/>
                <w:bCs w:val="false"/>
                <w:color w:val="2C2C2C"/>
                <w:sz w:val="19"/>
                <w:szCs w:val="19"/>
              </w:rPr>
              <w:t xml:space="preserve">Cours magistral, démonstration, évaluation individuelle</w:t>
            </w:r>
          </w:p>
        </w:tc>
        <w:tc>
          <w:tcPr>
            <w:tcW w:type="dxa" w:w="2326"/>
            <w:tcBorders>
              <w:top w:val="single" w:color="C4D8EC" w:sz="4"/>
              <w:left w:val="single" w:color="C4D8EC" w:sz="4"/>
              <w:bottom w:val="single" w:color="C4D8EC" w:sz="4"/>
              <w:right w:val="single" w:color="C4D8EC" w:sz="4"/>
            </w:tcBorders>
            <w:shd w:fill="FFFFFF" w:val="clear"/>
            <w:tcMar>
              <w:top w:type="dxa" w:w="80"/>
              <w:left w:type="dxa" w:w="160"/>
              <w:bottom w:type="dxa" w:w="80"/>
              <w:right w:type="dxa" w:w="160"/>
            </w:tcMar>
          </w:tcPr>
          <w:p>
            <w:pPr>
              <w:jc w:val="both"/>
            </w:pPr>
            <w:r>
              <w:rPr>
                <w:rFonts w:ascii="Arial" w:cs="Arial" w:eastAsia="Arial" w:hAnsi="Arial"/>
                <w:b w:val="false"/>
                <w:bCs w:val="false"/>
                <w:color w:val="2C2C2C"/>
                <w:sz w:val="19"/>
                <w:szCs w:val="19"/>
              </w:rPr>
              <w:t xml:space="preserve">Exposé inaugural, contrôle</w:t>
            </w:r>
          </w:p>
        </w:tc>
      </w:tr>
      <w:tr>
        <w:tc>
          <w:tcPr>
            <w:tcW w:type="dxa" w:w="2100"/>
            <w:tcBorders>
              <w:top w:val="single" w:color="C4D8EC" w:sz="4"/>
              <w:left w:val="single" w:color="C4D8EC" w:sz="4"/>
              <w:bottom w:val="single" w:color="C4D8EC" w:sz="4"/>
              <w:right w:val="single" w:color="C4D8EC" w:sz="4"/>
            </w:tcBorders>
            <w:shd w:fill="F5F7FA" w:val="clear"/>
            <w:tcMar>
              <w:top w:type="dxa" w:w="80"/>
              <w:left w:type="dxa" w:w="160"/>
              <w:bottom w:type="dxa" w:w="80"/>
              <w:right w:type="dxa" w:w="160"/>
            </w:tcMar>
          </w:tcPr>
          <w:p>
            <w:pPr>
              <w:jc w:val="both"/>
            </w:pPr>
            <w:r>
              <w:rPr>
                <w:rFonts w:ascii="Arial" w:cs="Arial" w:eastAsia="Arial" w:hAnsi="Arial"/>
                <w:b/>
                <w:bCs/>
                <w:color w:val="2C2C2C"/>
                <w:sz w:val="19"/>
                <w:szCs w:val="19"/>
              </w:rPr>
              <w:t xml:space="preserve">En îlots (4-6 élèves)</w:t>
            </w:r>
          </w:p>
        </w:tc>
        <w:tc>
          <w:tcPr>
            <w:tcW w:type="dxa" w:w="2200"/>
            <w:tcBorders>
              <w:top w:val="single" w:color="C4D8EC" w:sz="4"/>
              <w:left w:val="single" w:color="C4D8EC" w:sz="4"/>
              <w:bottom w:val="single" w:color="C4D8EC" w:sz="4"/>
              <w:right w:val="single" w:color="C4D8EC" w:sz="4"/>
            </w:tcBorders>
            <w:shd w:fill="F5F7FA" w:val="clear"/>
            <w:tcMar>
              <w:top w:type="dxa" w:w="80"/>
              <w:left w:type="dxa" w:w="160"/>
              <w:bottom w:type="dxa" w:w="80"/>
              <w:right w:type="dxa" w:w="160"/>
            </w:tcMar>
          </w:tcPr>
          <w:p>
            <w:pPr>
              <w:jc w:val="both"/>
            </w:pPr>
            <w:r>
              <w:rPr>
                <w:rFonts w:ascii="Arial" w:cs="Arial" w:eastAsia="Arial" w:hAnsi="Arial"/>
                <w:b w:val="false"/>
                <w:bCs w:val="false"/>
                <w:color w:val="2C2C2C"/>
                <w:sz w:val="19"/>
                <w:szCs w:val="19"/>
              </w:rPr>
              <w:t xml:space="preserve">Coopération active ; entraide naturelle entre pairs</w:t>
            </w:r>
          </w:p>
        </w:tc>
        <w:tc>
          <w:tcPr>
            <w:tcW w:type="dxa" w:w="2400"/>
            <w:tcBorders>
              <w:top w:val="single" w:color="C4D8EC" w:sz="4"/>
              <w:left w:val="single" w:color="C4D8EC" w:sz="4"/>
              <w:bottom w:val="single" w:color="C4D8EC" w:sz="4"/>
              <w:right w:val="single" w:color="C4D8EC" w:sz="4"/>
            </w:tcBorders>
            <w:shd w:fill="F5F7FA" w:val="clear"/>
            <w:tcMar>
              <w:top w:type="dxa" w:w="80"/>
              <w:left w:type="dxa" w:w="160"/>
              <w:bottom w:type="dxa" w:w="80"/>
              <w:right w:type="dxa" w:w="160"/>
            </w:tcMar>
          </w:tcPr>
          <w:p>
            <w:pPr>
              <w:jc w:val="both"/>
            </w:pPr>
            <w:r>
              <w:rPr>
                <w:rFonts w:ascii="Arial" w:cs="Arial" w:eastAsia="Arial" w:hAnsi="Arial"/>
                <w:b w:val="false"/>
                <w:bCs w:val="false"/>
                <w:color w:val="2C2C2C"/>
                <w:sz w:val="19"/>
                <w:szCs w:val="19"/>
              </w:rPr>
              <w:t xml:space="preserve">Projets collaboratifs, TP en groupe, codage en binôme</w:t>
            </w:r>
          </w:p>
        </w:tc>
        <w:tc>
          <w:tcPr>
            <w:tcW w:type="dxa" w:w="2326"/>
            <w:tcBorders>
              <w:top w:val="single" w:color="C4D8EC" w:sz="4"/>
              <w:left w:val="single" w:color="C4D8EC" w:sz="4"/>
              <w:bottom w:val="single" w:color="C4D8EC" w:sz="4"/>
              <w:right w:val="single" w:color="C4D8EC" w:sz="4"/>
            </w:tcBorders>
            <w:shd w:fill="F5F7FA" w:val="clear"/>
            <w:tcMar>
              <w:top w:type="dxa" w:w="80"/>
              <w:left w:type="dxa" w:w="160"/>
              <w:bottom w:type="dxa" w:w="80"/>
              <w:right w:type="dxa" w:w="160"/>
            </w:tcMar>
          </w:tcPr>
          <w:p>
            <w:pPr>
              <w:jc w:val="both"/>
            </w:pPr>
            <w:r>
              <w:rPr>
                <w:rFonts w:ascii="Arial" w:cs="Arial" w:eastAsia="Arial" w:hAnsi="Arial"/>
                <w:b w:val="false"/>
                <w:bCs w:val="false"/>
                <w:color w:val="2C2C2C"/>
                <w:sz w:val="19"/>
                <w:szCs w:val="19"/>
              </w:rPr>
              <w:t xml:space="preserve">TP, mini-projets</w:t>
            </w:r>
          </w:p>
        </w:tc>
      </w:tr>
      <w:tr>
        <w:tc>
          <w:tcPr>
            <w:tcW w:type="dxa" w:w="2100"/>
            <w:tcBorders>
              <w:top w:val="single" w:color="C4D8EC" w:sz="4"/>
              <w:left w:val="single" w:color="C4D8EC" w:sz="4"/>
              <w:bottom w:val="single" w:color="C4D8EC" w:sz="4"/>
              <w:right w:val="single" w:color="C4D8EC" w:sz="4"/>
            </w:tcBorders>
            <w:shd w:fill="FFFFFF" w:val="clear"/>
            <w:tcMar>
              <w:top w:type="dxa" w:w="80"/>
              <w:left w:type="dxa" w:w="160"/>
              <w:bottom w:type="dxa" w:w="80"/>
              <w:right w:type="dxa" w:w="160"/>
            </w:tcMar>
          </w:tcPr>
          <w:p>
            <w:pPr>
              <w:jc w:val="both"/>
            </w:pPr>
            <w:r>
              <w:rPr>
                <w:rFonts w:ascii="Arial" w:cs="Arial" w:eastAsia="Arial" w:hAnsi="Arial"/>
                <w:b/>
                <w:bCs/>
                <w:color w:val="2C2C2C"/>
                <w:sz w:val="19"/>
                <w:szCs w:val="19"/>
              </w:rPr>
              <w:t xml:space="preserve">En U ou double U</w:t>
            </w:r>
          </w:p>
        </w:tc>
        <w:tc>
          <w:tcPr>
            <w:tcW w:type="dxa" w:w="2200"/>
            <w:tcBorders>
              <w:top w:val="single" w:color="C4D8EC" w:sz="4"/>
              <w:left w:val="single" w:color="C4D8EC" w:sz="4"/>
              <w:bottom w:val="single" w:color="C4D8EC" w:sz="4"/>
              <w:right w:val="single" w:color="C4D8EC" w:sz="4"/>
            </w:tcBorders>
            <w:shd w:fill="FFFFFF" w:val="clear"/>
            <w:tcMar>
              <w:top w:type="dxa" w:w="80"/>
              <w:left w:type="dxa" w:w="160"/>
              <w:bottom w:type="dxa" w:w="80"/>
              <w:right w:type="dxa" w:w="160"/>
            </w:tcMar>
          </w:tcPr>
          <w:p>
            <w:pPr>
              <w:jc w:val="both"/>
            </w:pPr>
            <w:r>
              <w:rPr>
                <w:rFonts w:ascii="Arial" w:cs="Arial" w:eastAsia="Arial" w:hAnsi="Arial"/>
                <w:b w:val="false"/>
                <w:bCs w:val="false"/>
                <w:color w:val="2C2C2C"/>
                <w:sz w:val="19"/>
                <w:szCs w:val="19"/>
              </w:rPr>
              <w:t xml:space="preserve">Contact visuel global ; dynamique dialogique ouverte</w:t>
            </w:r>
          </w:p>
        </w:tc>
        <w:tc>
          <w:tcPr>
            <w:tcW w:type="dxa" w:w="2400"/>
            <w:tcBorders>
              <w:top w:val="single" w:color="C4D8EC" w:sz="4"/>
              <w:left w:val="single" w:color="C4D8EC" w:sz="4"/>
              <w:bottom w:val="single" w:color="C4D8EC" w:sz="4"/>
              <w:right w:val="single" w:color="C4D8EC" w:sz="4"/>
            </w:tcBorders>
            <w:shd w:fill="FFFFFF" w:val="clear"/>
            <w:tcMar>
              <w:top w:type="dxa" w:w="80"/>
              <w:left w:type="dxa" w:w="160"/>
              <w:bottom w:type="dxa" w:w="80"/>
              <w:right w:type="dxa" w:w="160"/>
            </w:tcMar>
          </w:tcPr>
          <w:p>
            <w:pPr>
              <w:jc w:val="both"/>
            </w:pPr>
            <w:r>
              <w:rPr>
                <w:rFonts w:ascii="Arial" w:cs="Arial" w:eastAsia="Arial" w:hAnsi="Arial"/>
                <w:b w:val="false"/>
                <w:bCs w:val="false"/>
                <w:color w:val="2C2C2C"/>
                <w:sz w:val="19"/>
                <w:szCs w:val="19"/>
              </w:rPr>
              <w:t xml:space="preserve">Synthèse, correction collective, débat méthodologique</w:t>
            </w:r>
          </w:p>
        </w:tc>
        <w:tc>
          <w:tcPr>
            <w:tcW w:type="dxa" w:w="2326"/>
            <w:tcBorders>
              <w:top w:val="single" w:color="C4D8EC" w:sz="4"/>
              <w:left w:val="single" w:color="C4D8EC" w:sz="4"/>
              <w:bottom w:val="single" w:color="C4D8EC" w:sz="4"/>
              <w:right w:val="single" w:color="C4D8EC" w:sz="4"/>
            </w:tcBorders>
            <w:shd w:fill="FFFFFF" w:val="clear"/>
            <w:tcMar>
              <w:top w:type="dxa" w:w="80"/>
              <w:left w:type="dxa" w:w="160"/>
              <w:bottom w:type="dxa" w:w="80"/>
              <w:right w:type="dxa" w:w="160"/>
            </w:tcMar>
          </w:tcPr>
          <w:p>
            <w:pPr>
              <w:jc w:val="both"/>
            </w:pPr>
            <w:r>
              <w:rPr>
                <w:rFonts w:ascii="Arial" w:cs="Arial" w:eastAsia="Arial" w:hAnsi="Arial"/>
                <w:b w:val="false"/>
                <w:bCs w:val="false"/>
                <w:color w:val="2C2C2C"/>
                <w:sz w:val="19"/>
                <w:szCs w:val="19"/>
              </w:rPr>
              <w:t xml:space="preserve">Bilan, institutionnalisation</w:t>
            </w:r>
          </w:p>
        </w:tc>
      </w:tr>
      <w:tr>
        <w:tc>
          <w:tcPr>
            <w:tcW w:type="dxa" w:w="2100"/>
            <w:tcBorders>
              <w:top w:val="single" w:color="C4D8EC" w:sz="4"/>
              <w:left w:val="single" w:color="C4D8EC" w:sz="4"/>
              <w:bottom w:val="single" w:color="C4D8EC" w:sz="4"/>
              <w:right w:val="single" w:color="C4D8EC" w:sz="4"/>
            </w:tcBorders>
            <w:shd w:fill="F5F7FA" w:val="clear"/>
            <w:tcMar>
              <w:top w:type="dxa" w:w="80"/>
              <w:left w:type="dxa" w:w="160"/>
              <w:bottom w:type="dxa" w:w="80"/>
              <w:right w:type="dxa" w:w="160"/>
            </w:tcMar>
          </w:tcPr>
          <w:p>
            <w:pPr>
              <w:jc w:val="both"/>
            </w:pPr>
            <w:r>
              <w:rPr>
                <w:rFonts w:ascii="Arial" w:cs="Arial" w:eastAsia="Arial" w:hAnsi="Arial"/>
                <w:b/>
                <w:bCs/>
                <w:color w:val="2C2C2C"/>
                <w:sz w:val="19"/>
                <w:szCs w:val="19"/>
              </w:rPr>
              <w:t xml:space="preserve">En chevrons (diagonal)</w:t>
            </w:r>
          </w:p>
        </w:tc>
        <w:tc>
          <w:tcPr>
            <w:tcW w:type="dxa" w:w="2200"/>
            <w:tcBorders>
              <w:top w:val="single" w:color="C4D8EC" w:sz="4"/>
              <w:left w:val="single" w:color="C4D8EC" w:sz="4"/>
              <w:bottom w:val="single" w:color="C4D8EC" w:sz="4"/>
              <w:right w:val="single" w:color="C4D8EC" w:sz="4"/>
            </w:tcBorders>
            <w:shd w:fill="F5F7FA" w:val="clear"/>
            <w:tcMar>
              <w:top w:type="dxa" w:w="80"/>
              <w:left w:type="dxa" w:w="160"/>
              <w:bottom w:type="dxa" w:w="80"/>
              <w:right w:type="dxa" w:w="160"/>
            </w:tcMar>
          </w:tcPr>
          <w:p>
            <w:pPr>
              <w:jc w:val="both"/>
            </w:pPr>
            <w:r>
              <w:rPr>
                <w:rFonts w:ascii="Arial" w:cs="Arial" w:eastAsia="Arial" w:hAnsi="Arial"/>
                <w:b w:val="false"/>
                <w:bCs w:val="false"/>
                <w:color w:val="2C2C2C"/>
                <w:sz w:val="19"/>
                <w:szCs w:val="19"/>
              </w:rPr>
              <w:t xml:space="preserve">Semi-interactif ; vue tableau conservée</w:t>
            </w:r>
          </w:p>
        </w:tc>
        <w:tc>
          <w:tcPr>
            <w:tcW w:type="dxa" w:w="2400"/>
            <w:tcBorders>
              <w:top w:val="single" w:color="C4D8EC" w:sz="4"/>
              <w:left w:val="single" w:color="C4D8EC" w:sz="4"/>
              <w:bottom w:val="single" w:color="C4D8EC" w:sz="4"/>
              <w:right w:val="single" w:color="C4D8EC" w:sz="4"/>
            </w:tcBorders>
            <w:shd w:fill="F5F7FA" w:val="clear"/>
            <w:tcMar>
              <w:top w:type="dxa" w:w="80"/>
              <w:left w:type="dxa" w:w="160"/>
              <w:bottom w:type="dxa" w:w="80"/>
              <w:right w:type="dxa" w:w="160"/>
            </w:tcMar>
          </w:tcPr>
          <w:p>
            <w:pPr>
              <w:jc w:val="both"/>
            </w:pPr>
            <w:r>
              <w:rPr>
                <w:rFonts w:ascii="Arial" w:cs="Arial" w:eastAsia="Arial" w:hAnsi="Arial"/>
                <w:b w:val="false"/>
                <w:bCs w:val="false"/>
                <w:color w:val="2C2C2C"/>
                <w:sz w:val="19"/>
                <w:szCs w:val="19"/>
              </w:rPr>
              <w:t xml:space="preserve">Cours dialogué mixte, prise de notes guidée</w:t>
            </w:r>
          </w:p>
        </w:tc>
        <w:tc>
          <w:tcPr>
            <w:tcW w:type="dxa" w:w="2326"/>
            <w:tcBorders>
              <w:top w:val="single" w:color="C4D8EC" w:sz="4"/>
              <w:left w:val="single" w:color="C4D8EC" w:sz="4"/>
              <w:bottom w:val="single" w:color="C4D8EC" w:sz="4"/>
              <w:right w:val="single" w:color="C4D8EC" w:sz="4"/>
            </w:tcBorders>
            <w:shd w:fill="F5F7FA" w:val="clear"/>
            <w:tcMar>
              <w:top w:type="dxa" w:w="80"/>
              <w:left w:type="dxa" w:w="160"/>
              <w:bottom w:type="dxa" w:w="80"/>
              <w:right w:type="dxa" w:w="160"/>
            </w:tcMar>
          </w:tcPr>
          <w:p>
            <w:pPr>
              <w:jc w:val="both"/>
            </w:pPr>
            <w:r>
              <w:rPr>
                <w:rFonts w:ascii="Arial" w:cs="Arial" w:eastAsia="Arial" w:hAnsi="Arial"/>
                <w:b w:val="false"/>
                <w:bCs w:val="false"/>
                <w:color w:val="2C2C2C"/>
                <w:sz w:val="19"/>
                <w:szCs w:val="19"/>
              </w:rPr>
              <w:t xml:space="preserve">Cours dialogué</w:t>
            </w:r>
          </w:p>
        </w:tc>
      </w:tr>
    </w:tbl>
    <w:p>
      <w:pPr>
        <w:spacing w:after="200" w:before="60"/>
        <w:jc w:val="center"/>
      </w:pPr>
      <w:r>
        <w:rPr>
          <w:rFonts w:ascii="Georgia" w:cs="Georgia" w:eastAsia="Georgia" w:hAnsi="Georgia"/>
          <w:i/>
          <w:iCs/>
          <w:color w:val="888888"/>
          <w:sz w:val="18"/>
          <w:szCs w:val="18"/>
        </w:rPr>
        <w:t xml:space="preserve">Tableau I : Analyse comparative des environnements spatiaux en salle informatique</w:t>
      </w:r>
    </w:p>
    <w:p>
      <w:pPr>
        <w:spacing w:after="160" w:before="100" w:line="360"/>
        <w:ind w:firstLine="360"/>
        <w:jc w:val="both"/>
      </w:pPr>
      <w:r>
        <w:rPr>
          <w:rFonts w:ascii="Georgia" w:cs="Georgia" w:eastAsia="Georgia" w:hAnsi="Georgia"/>
          <w:b w:val="false"/>
          <w:bCs w:val="false"/>
          <w:i w:val="false"/>
          <w:iCs w:val="false"/>
          <w:color w:val="2C2C2C"/>
          <w:sz w:val="22"/>
          <w:szCs w:val="22"/>
        </w:rPr>
        <w:t xml:space="preserve">Ce qu'il convient de souligner avec insistance, c'est que la valeur pédagogique d'une configuration ne saurait être évaluée indépendamment de l'objectif de la séance. Il n'existe pas de disposition idéale universelle : chaque aménagement produit des effets différents sur les interactions sociales, la supervision et la concentration. L'enseignant qui explique ce choix à ses élèves leur offre, par ce seul geste réflexif, un premier modèle de pensée pédagogique consciente.</w:t>
      </w:r>
    </w:p>
    <w:p>
      <w:pPr>
        <w:pStyle w:val="Heading2"/>
        <w:spacing w:after="140" w:before="320"/>
      </w:pPr>
      <w:r>
        <w:rPr>
          <w:rFonts w:ascii="Georgia" w:cs="Georgia" w:eastAsia="Georgia" w:hAnsi="Georgia"/>
          <w:b/>
          <w:bCs/>
          <w:color w:val="2E75B6"/>
          <w:sz w:val="24"/>
          <w:szCs w:val="24"/>
        </w:rPr>
        <w:t xml:space="preserve">1.4 Le temps : cette ressource qui ne se négocie pas</w:t>
      </w:r>
    </w:p>
    <w:p>
      <w:pPr>
        <w:spacing w:after="160" w:before="100" w:line="360"/>
        <w:ind w:firstLine="360"/>
        <w:jc w:val="both"/>
      </w:pPr>
      <w:r>
        <w:rPr>
          <w:rFonts w:ascii="Georgia" w:cs="Georgia" w:eastAsia="Georgia" w:hAnsi="Georgia"/>
          <w:b w:val="false"/>
          <w:bCs w:val="false"/>
          <w:i w:val="false"/>
          <w:iCs w:val="false"/>
          <w:color w:val="2C2C2C"/>
          <w:sz w:val="22"/>
          <w:szCs w:val="22"/>
        </w:rPr>
        <w:t xml:space="preserve">Il me semble que la gestion du temps est l'une des dimensions les plus douloureuses à apprivoiser pour l'enseignant débutant. Elle renvoie à une tension que j'ai ressentie personnellement lors de mes premières préparations de séances : couvrir le programme officiel, ou prendre le temps nécessaire à la construction effective des compétences ? Ces deux impératifs semblent parfois irréconciliables. La réalité du terrain marocain aggrave encore cette tension : des programmes ambitieux, des volumes horaires insuffisants, et des aléas techniques — coupures de courant, connexions défaillantes, machines récalcitrantes — qui absorbent sans prévenir des portions précieuses de la séance.</w:t>
      </w:r>
    </w:p>
    <w:p>
      <w:pPr>
        <w:spacing w:after="160" w:before="100" w:line="360"/>
        <w:ind w:firstLine="360"/>
        <w:jc w:val="both"/>
      </w:pPr>
      <w:r>
        <w:rPr>
          <w:rFonts w:ascii="Georgia" w:cs="Georgia" w:eastAsia="Georgia" w:hAnsi="Georgia"/>
          <w:b w:val="false"/>
          <w:bCs w:val="false"/>
          <w:i w:val="false"/>
          <w:iCs w:val="false"/>
          <w:color w:val="2C2C2C"/>
          <w:sz w:val="22"/>
          <w:szCs w:val="22"/>
        </w:rPr>
        <w:t xml:space="preserve">La recherche en sciences de l'éducation distingue utilement quatre niveaux de temps pédagogique, dont la connaissance me semble indispensable à tout praticien. Le temps prescrit est la durée officielle fixée par l'emploi du temps. Le temps disponible est ce qui reste après déduction des transitions incompressibles — installation, connexion des machines, distribution des supports. Le temps d'apprentissage désigne la fraction où les élèves sont activement engagés dans une tâche cognitive. Enfin, le temps d'engagement est la portion de ce dernier où l'élève est véritablement concentré sur l'objet d'apprentissage, sans distraction ni décrochage. Il en résulte une nécessité de maximiser ce dernier niveau — et c'est précisément pour cela que les routines d'ouverture et de clôture de séance, souvent perçues comme de simples formalités, jouent un rôle structurant décisif que je compte bien ne jamais sacrifier.</w:t>
      </w:r>
    </w:p>
    <w:p>
      <w:pPr>
        <w:pStyle w:val="Heading2"/>
        <w:spacing w:after="140" w:before="320"/>
      </w:pPr>
      <w:r>
        <w:rPr>
          <w:rFonts w:ascii="Georgia" w:cs="Georgia" w:eastAsia="Georgia" w:hAnsi="Georgia"/>
          <w:b/>
          <w:bCs/>
          <w:color w:val="2E75B6"/>
          <w:sz w:val="24"/>
          <w:szCs w:val="24"/>
        </w:rPr>
        <w:t xml:space="preserve">1.5 Les supports : l'abondance comme piège</w:t>
      </w:r>
    </w:p>
    <w:p>
      <w:pPr>
        <w:spacing w:after="160" w:before="100" w:line="360"/>
        <w:ind w:firstLine="360"/>
        <w:jc w:val="both"/>
      </w:pPr>
      <w:r>
        <w:rPr>
          <w:rFonts w:ascii="Georgia" w:cs="Georgia" w:eastAsia="Georgia" w:hAnsi="Georgia"/>
          <w:b w:val="false"/>
          <w:bCs w:val="false"/>
          <w:i w:val="false"/>
          <w:iCs w:val="false"/>
          <w:color w:val="2C2C2C"/>
          <w:sz w:val="22"/>
          <w:szCs w:val="22"/>
        </w:rPr>
        <w:t xml:space="preserve">En informatique, la tentation de la surcharge didactique est permanente. La discipline dispose d'une richesse quasi infinie d'outils numériques, de plateformes, de tutoriels en ligne, de simulateurs et d'environnements de développement. J'ai réalisé, peut-être plus tôt que prévu, que cette abondance même peut devenir un obstacle : l'enseignant qui multiplie les outils sans les intégrer dans une progression cohérente risque de disperser l'attention des élèves et de transformer la séance en une démonstration de gadgets sans ancrage pédagogique réel.</w:t>
      </w:r>
    </w:p>
    <w:p>
      <w:pPr>
        <w:spacing w:after="160" w:before="100" w:line="360"/>
        <w:ind w:firstLine="360"/>
        <w:jc w:val="both"/>
      </w:pPr>
      <w:r>
        <w:rPr>
          <w:rFonts w:ascii="Georgia" w:cs="Georgia" w:eastAsia="Georgia" w:hAnsi="Georgia"/>
          <w:b w:val="false"/>
          <w:bCs w:val="false"/>
          <w:i w:val="false"/>
          <w:iCs w:val="false"/>
          <w:color w:val="2C2C2C"/>
          <w:sz w:val="22"/>
          <w:szCs w:val="22"/>
        </w:rPr>
        <w:t xml:space="preserve">Ceci postulé, un principe simple guidera ma pratique : chaque outil doit être choisi en fonction de l'objectif d'apprentissage, et non l'inverse. La fiche de TP papier, que certains considèrent comme dépassée, conserve une valeur incomparable en termes de permanence et d'accessibilité en cas de panne technique. Le simulateur de réseau — Filius ou Cisco Packet Tracer — permet d'expérimenter des architectures complexes sans infrastructure coûteuse. La vidéo tutorielle, intégrée dans une démarche de classe inversée, libère du temps en classe pour l'étayage individualisé. Nonobstant ces atouts, la robustesse d'un outil est un critère pédagogique au même titre que sa richesse fonctionnelle : dans les établissements marocains, la salle d'informatique parfaitement fonctionnelle est une exception, jamais une règle, et le plan de secours systématique n'est pas un aveu d'échec — c'est un signe de maturité professionnelle.</w:t>
      </w:r>
    </w:p>
    <w:p>
      <w:r>
        <w:br w:type="page"/>
      </w:r>
    </w:p>
    <w:p>
      <w:pPr>
        <w:pStyle w:val="Heading1"/>
        <w:pBdr>
          <w:bottom w:val="single" w:color="2E75B6" w:sz="10" w:space="6"/>
        </w:pBdr>
        <w:spacing w:after="180" w:before="400"/>
      </w:pPr>
      <w:r>
        <w:rPr>
          <w:rFonts w:ascii="Georgia" w:cs="Georgia" w:eastAsia="Georgia" w:hAnsi="Georgia"/>
          <w:b/>
          <w:bCs/>
          <w:color w:val="1F3864"/>
          <w:sz w:val="30"/>
          <w:szCs w:val="30"/>
        </w:rPr>
        <w:t xml:space="preserve">Axe II — Orchestrer les apprentissages dans le cadre de l'APC</w:t>
      </w:r>
    </w:p>
    <w:p>
      <w:pPr>
        <w:spacing w:after="80" w:before="0"/>
      </w:pPr>
    </w:p>
    <w:p>
      <w:pPr>
        <w:spacing w:after="160" w:before="100" w:line="360"/>
        <w:ind w:firstLine="360"/>
        <w:jc w:val="both"/>
      </w:pPr>
      <w:r>
        <w:rPr>
          <w:rFonts w:ascii="Georgia" w:cs="Georgia" w:eastAsia="Georgia" w:hAnsi="Georgia"/>
          <w:b w:val="false"/>
          <w:bCs w:val="false"/>
          <w:i w:val="false"/>
          <w:iCs w:val="false"/>
          <w:color w:val="2C2C2C"/>
          <w:sz w:val="22"/>
          <w:szCs w:val="22"/>
        </w:rPr>
        <w:t xml:space="preserve">L'Approche Par Compétences a profondément reconfiguré le sens de mon futur rôle. Adoptée dans le curriculum marocain depuis la Charte Nationale de l'Éducation et de la Formation de 2000 et réaffirmée avec force par la Vision Stratégique 2015-2030, elle signifie, dans sa radicalité, que l'enseignant n'est plus un transmetteur de contenus. Il est un architecte de situations dans lesquelles l'élève est amené à mobiliser et à combiner des ressources pour résoudre des problèmes authentiques. Ce déplacement n'est pas cosmétique : il touche à l'identité même du métier.</w:t>
      </w:r>
    </w:p>
    <w:p>
      <w:pPr>
        <w:spacing w:after="80" w:before="0"/>
      </w:pPr>
    </w:p>
    <w:p>
      <w:pPr>
        <w:pBdr>
          <w:left w:val="thick" w:color="2E75B6" w:sz="14" w:space="10"/>
        </w:pBdr>
        <w:spacing w:after="140" w:before="140" w:line="340"/>
        <w:ind w:left="720" w:right="360"/>
        <w:jc w:val="both"/>
      </w:pPr>
      <w:r>
        <w:rPr>
          <w:rFonts w:ascii="Georgia" w:cs="Georgia" w:eastAsia="Georgia" w:hAnsi="Georgia"/>
          <w:i/>
          <w:iCs/>
          <w:color w:val="3B4C5A"/>
          <w:sz w:val="21"/>
          <w:szCs w:val="21"/>
        </w:rPr>
        <w:t xml:space="preserve">« Un savoir-agir complexe prenant appui sur la mobilisation et la combinaison efficaces d'une variété de ressources internes et externes à l'intérieur d'une famille de situations. »  — Tardif, 2006</w:t>
      </w:r>
    </w:p>
    <w:p>
      <w:pPr>
        <w:spacing w:after="80" w:before="0"/>
      </w:pPr>
    </w:p>
    <w:p>
      <w:pPr>
        <w:spacing w:after="160" w:before="100" w:line="360"/>
        <w:ind w:firstLine="360"/>
        <w:jc w:val="both"/>
      </w:pPr>
      <w:r>
        <w:rPr>
          <w:rFonts w:ascii="Georgia" w:cs="Georgia" w:eastAsia="Georgia" w:hAnsi="Georgia"/>
          <w:b w:val="false"/>
          <w:bCs w:val="false"/>
          <w:i w:val="false"/>
          <w:iCs w:val="false"/>
          <w:color w:val="2C2C2C"/>
          <w:sz w:val="22"/>
          <w:szCs w:val="22"/>
        </w:rPr>
        <w:t xml:space="preserve">Cette définition, que Tardif a forgée dans un contexte d'enseignement professionnel québécois, trouve dans l'enseignement de l'informatique marocaine une résonance particulièrement fertile. Être compétent en informatique au cycle secondaire qualifiant, ce n'est pas recopier un code correct : c'est concevoir un algorithme face à un problème nouveau, le traduire en instructions, déboguer les erreurs et, surtout, expliquer sa démarche. Ce dernier point — la verbalisation du raisonnement — est celui que j'entends développer avec la plus grande rigueur dans ma pratique future. Il est le révélateur le plus fiable de la compréhension réelle, par opposition à la simple reproduction mécanique.</w:t>
      </w:r>
    </w:p>
    <w:p>
      <w:pPr>
        <w:spacing w:after="160" w:before="100" w:line="360"/>
        <w:ind w:firstLine="360"/>
        <w:jc w:val="both"/>
      </w:pPr>
      <w:r>
        <w:rPr>
          <w:rFonts w:ascii="Georgia" w:cs="Georgia" w:eastAsia="Georgia" w:hAnsi="Georgia"/>
          <w:b w:val="false"/>
          <w:bCs w:val="false"/>
          <w:i w:val="false"/>
          <w:iCs w:val="false"/>
          <w:color w:val="2C2C2C"/>
          <w:sz w:val="22"/>
          <w:szCs w:val="22"/>
        </w:rPr>
        <w:t xml:space="preserve">Il convient néanmoins d'interroger la pertinence de l'APC face aux défis concrets du numérique marocain. Dans des classes de trente à trente-cinq élèves, avec un parc informatique parfois vétuste et des programmes ambitieux à honorer, la mise en œuvre d'une véritable approche par compétences suppose des conditions que le terrain ne garantit pas toujours. Ce n'est pas une raison d'y renoncer ; c'est une raison de l'adapter intelligemment, en préservant l'esprit — la construction active du savoir par l'élève — quand la lettre — les dispositifs formels — se heurte aux réalités du contexte.</w:t>
      </w:r>
    </w:p>
    <w:p>
      <w:pPr>
        <w:pStyle w:val="Heading2"/>
        <w:spacing w:after="140" w:before="320"/>
      </w:pPr>
      <w:r>
        <w:rPr>
          <w:rFonts w:ascii="Georgia" w:cs="Georgia" w:eastAsia="Georgia" w:hAnsi="Georgia"/>
          <w:b/>
          <w:bCs/>
          <w:color w:val="2E75B6"/>
          <w:sz w:val="24"/>
          <w:szCs w:val="24"/>
        </w:rPr>
        <w:t xml:space="preserve">2.1 L'éveil de la curiosité : l'exploration comme déclencheur</w:t>
      </w:r>
    </w:p>
    <w:p>
      <w:pPr>
        <w:spacing w:after="160" w:before="100" w:line="360"/>
        <w:ind w:firstLine="360"/>
        <w:jc w:val="both"/>
      </w:pPr>
      <w:r>
        <w:rPr>
          <w:rFonts w:ascii="Georgia" w:cs="Georgia" w:eastAsia="Georgia" w:hAnsi="Georgia"/>
          <w:b w:val="false"/>
          <w:bCs w:val="false"/>
          <w:i w:val="false"/>
          <w:iCs w:val="false"/>
          <w:color w:val="2C2C2C"/>
          <w:sz w:val="22"/>
          <w:szCs w:val="22"/>
        </w:rPr>
        <w:t xml:space="preserve">J'ai mesuré lors de mes observations la différence vertigineuse entre un cours qui démarre sur une définition abstraite et un cours qui commence par une énigme concrète. Dans le premier cas, les élèves reçoivent ; dans le second, ils cherchent. La situation d'exploration remplit précisément cette fonction inaugurale : activer les représentations initiales des apprenants, faire émerger leurs conceptions — parfois erronées, toujours révélatrices — et créer ce que Piaget nommait un déséquilibre cognitif productif. Le besoin d'apprendre ne se décrète pas ; il se provoque.</w:t>
      </w:r>
    </w:p>
    <w:p>
      <w:pPr>
        <w:spacing w:after="160" w:before="100" w:line="360"/>
        <w:ind w:firstLine="360"/>
        <w:jc w:val="both"/>
      </w:pPr>
      <w:r>
        <w:rPr>
          <w:rFonts w:ascii="Georgia" w:cs="Georgia" w:eastAsia="Georgia" w:hAnsi="Georgia"/>
          <w:b w:val="false"/>
          <w:bCs w:val="false"/>
          <w:i w:val="false"/>
          <w:iCs w:val="false"/>
          <w:color w:val="2C2C2C"/>
          <w:sz w:val="22"/>
          <w:szCs w:val="22"/>
        </w:rPr>
        <w:t xml:space="preserve">En algorithmique, une mise en scène que j'ai vue fonctionner consiste à demander à deux élèves de s'expliquer mutuellement comment réaliser une tâche du quotidien — préparer un thé, trouver un mot dans un dictionnaire — en n'utilisant que des instructions élémentaires. Les difficultés rencontrées font naître naturellement le besoin d'un langage précis, non ambigu et structuré : c'est-à-dire la notion même d'algorithme. Le rôle de l'enseignant dans cette phase est paradoxalement celui d'un observateur actif : il met en scène la situation, recueille les hypothèses sans les juger, et résiste à la tentation — souvent puissante — d'intervenir trop tôt. Cette retenue n'est pas de la passivité ; c'est un acte pédagogique fort, qui témoigne d'une confiance réelle dans la capacité des élèves à construire du sens.</w:t>
      </w:r>
    </w:p>
    <w:p>
      <w:pPr>
        <w:pStyle w:val="Heading2"/>
        <w:spacing w:after="140" w:before="320"/>
      </w:pPr>
      <w:r>
        <w:rPr>
          <w:rFonts w:ascii="Georgia" w:cs="Georgia" w:eastAsia="Georgia" w:hAnsi="Georgia"/>
          <w:b/>
          <w:bCs/>
          <w:color w:val="2E75B6"/>
          <w:sz w:val="24"/>
          <w:szCs w:val="24"/>
        </w:rPr>
        <w:t xml:space="preserve">2.2 De l'intuition au savoir : la structuration didactique</w:t>
      </w:r>
    </w:p>
    <w:p>
      <w:pPr>
        <w:spacing w:after="160" w:before="100" w:line="360"/>
        <w:ind w:firstLine="360"/>
        <w:jc w:val="both"/>
      </w:pPr>
      <w:r>
        <w:rPr>
          <w:rFonts w:ascii="Georgia" w:cs="Georgia" w:eastAsia="Georgia" w:hAnsi="Georgia"/>
          <w:b w:val="false"/>
          <w:bCs w:val="false"/>
          <w:i w:val="false"/>
          <w:iCs w:val="false"/>
          <w:color w:val="2C2C2C"/>
          <w:sz w:val="22"/>
          <w:szCs w:val="22"/>
        </w:rPr>
        <w:t xml:space="preserve">Une fois le besoin d'apprendre installé, il incombe à l'enseignant de structurer et de formaliser les savoirs que les élèves ont commencé à entrevoir. C'est la fonction de la situation didactique au sens de Brousseau (1998), qui implique un contrat didactique clair dans lequel chaque partie connaît ses responsabilités dans le processus. Cette conception, élaborée dans le contexte de l'enseignement des mathématiques en France, garde toute sa pertinence en informatique marocaine, à condition d'en comprendre la profondeur : ce n'est pas un protocole rigide à appliquer, c'est un cadre relationnel qui organise la dévolution de la responsabilité intellectuelle du problème de l'enseignant vers l'élève.</w:t>
      </w:r>
    </w:p>
    <w:p>
      <w:pPr>
        <w:spacing w:after="160" w:before="100" w:line="360"/>
        <w:ind w:firstLine="360"/>
        <w:jc w:val="both"/>
      </w:pPr>
      <w:r>
        <w:rPr>
          <w:rFonts w:ascii="Georgia" w:cs="Georgia" w:eastAsia="Georgia" w:hAnsi="Georgia"/>
          <w:b w:val="false"/>
          <w:bCs w:val="false"/>
          <w:i w:val="false"/>
          <w:iCs w:val="false"/>
          <w:color w:val="2C2C2C"/>
          <w:sz w:val="22"/>
          <w:szCs w:val="22"/>
        </w:rPr>
        <w:t xml:space="preserve">Ceci postulé, ce qui distingue fondamentalement une situation didactique bien menée d'un exposé magistral, c'est que dans le premier cas, le savoir émerge d'un processus que l'élève a vécu de l'intérieur. Un élève qui a construit le concept de boucle en réalisant que répéter mille fois la même instruction à la main est absurde comprendra intuitivement, et non mécaniquement, la nécessité de l'instruction FOR. Cette compréhension-là est transférable. Elle résiste aux semaines et aux examens. Elle est le contraire de ce que l'on obtient lorsqu'on dicte des définitions à recopier dans un cahier.</w:t>
      </w:r>
    </w:p>
    <w:p>
      <w:pPr>
        <w:pStyle w:val="Heading2"/>
        <w:spacing w:after="140" w:before="320"/>
      </w:pPr>
      <w:r>
        <w:rPr>
          <w:rFonts w:ascii="Georgia" w:cs="Georgia" w:eastAsia="Georgia" w:hAnsi="Georgia"/>
          <w:b/>
          <w:bCs/>
          <w:color w:val="2E75B6"/>
          <w:sz w:val="24"/>
          <w:szCs w:val="24"/>
        </w:rPr>
        <w:t xml:space="preserve">2.3 Le TP, lieu de vérité des apprentissages</w:t>
      </w:r>
    </w:p>
    <w:p>
      <w:pPr>
        <w:spacing w:after="160" w:before="100" w:line="360"/>
        <w:ind w:firstLine="360"/>
        <w:jc w:val="both"/>
      </w:pPr>
      <w:r>
        <w:rPr>
          <w:rFonts w:ascii="Georgia" w:cs="Georgia" w:eastAsia="Georgia" w:hAnsi="Georgia"/>
          <w:b w:val="false"/>
          <w:bCs w:val="false"/>
          <w:i w:val="false"/>
          <w:iCs w:val="false"/>
          <w:color w:val="2C2C2C"/>
          <w:sz w:val="22"/>
          <w:szCs w:val="22"/>
        </w:rPr>
        <w:t xml:space="preserve">La séance de travaux pratiques est, dans l'enseignement de l'informatique, bien plus qu'un exercice d'application mécanique. C'est le lieu où la compétence se construit réellement, où le code rencontre la machine, et où l'erreur — inévitable, précieuse, souvent humiliante pour l'élève qui n'y a pas encore été préparé — devient le principal vecteur d'apprentissage. J'ai compris qu'un TP réussi ne se mesure pas au fait que tous les élèves ont produit un programme qui « fonctionne » : il se mesure à la qualité du raisonnement que chaque élève a engagé pour arriver à son résultat, quelle qu'en soit la forme.</w:t>
      </w:r>
    </w:p>
    <w:p>
      <w:pPr>
        <w:spacing w:after="160" w:before="100" w:line="360"/>
        <w:ind w:firstLine="360"/>
        <w:jc w:val="both"/>
      </w:pPr>
      <w:r>
        <w:rPr>
          <w:rFonts w:ascii="Georgia" w:cs="Georgia" w:eastAsia="Georgia" w:hAnsi="Georgia"/>
          <w:b w:val="false"/>
          <w:bCs w:val="false"/>
          <w:i w:val="false"/>
          <w:iCs w:val="false"/>
          <w:color w:val="2C2C2C"/>
          <w:sz w:val="22"/>
          <w:szCs w:val="22"/>
        </w:rPr>
        <w:t xml:space="preserve">Pendant le TP, l'enseignant adopte une posture d'étayage du processus de résolution : il circule entre les postes, identifie les blocages, pose des questions qui orientent sans livrer la solution, et gère le rythme différencié des apprenants. Un défi classique dans les salles marocaines est la grande disparité de vitesse : certains élèves terminent en vingt minutes, d'autres n'en voient pas le bout après une heure. La réponse n'est pas de ralentir les uns ni de presser les autres ; elle est d'avoir préparé des défis d'approfondissement suffisamment stimulants pour les plus rapides, et des jalons intermédiaires qui permettent aux plus lents de repartir de chaque étape franchie. La mise en commun finale — souvent sacrifiée par manque de temps — est pourtant décisive : c'est elle qui transforme l'expérience individuelle en savoir collectif, qui ancre le vocabulaire technique précis que l'élève réinvestira lors des séances suivantes.</w:t>
      </w:r>
    </w:p>
    <w:p>
      <w:pPr>
        <w:pStyle w:val="Heading2"/>
        <w:spacing w:after="140" w:before="320"/>
      </w:pPr>
      <w:r>
        <w:rPr>
          <w:rFonts w:ascii="Georgia" w:cs="Georgia" w:eastAsia="Georgia" w:hAnsi="Georgia"/>
          <w:b/>
          <w:bCs/>
          <w:color w:val="2E75B6"/>
          <w:sz w:val="24"/>
          <w:szCs w:val="24"/>
        </w:rPr>
        <w:t xml:space="preserve">2.4 La situation complexe : évaluer par la vie réelle</w:t>
      </w:r>
    </w:p>
    <w:p>
      <w:pPr>
        <w:spacing w:after="160" w:before="100" w:line="360"/>
        <w:ind w:firstLine="360"/>
        <w:jc w:val="both"/>
      </w:pPr>
      <w:r>
        <w:rPr>
          <w:rFonts w:ascii="Georgia" w:cs="Georgia" w:eastAsia="Georgia" w:hAnsi="Georgia"/>
          <w:b w:val="false"/>
          <w:bCs w:val="false"/>
          <w:i w:val="false"/>
          <w:iCs w:val="false"/>
          <w:color w:val="2C2C2C"/>
          <w:sz w:val="22"/>
          <w:szCs w:val="22"/>
        </w:rPr>
        <w:t xml:space="preserve">La situation complexe est la pièce maîtresse du dispositif APC. Elle propose à l'élève une tâche authentique — proche d'une situation réelle ou professionnelle — qui ne peut être résolue en mobilisant une seule compétence ni en appliquant un algorithme mémorisé. Elle est, par définition, ouverte et intégratrice : pour la mener à bien, l'élève doit combiner des ressources disciplinaires multiples et des compétences transversales — organisation du travail, communication écrite, sens esthétique, capacité de décision sous contrainte.</w:t>
      </w:r>
    </w:p>
    <w:p>
      <w:pPr>
        <w:spacing w:after="80" w:before="0"/>
      </w:pPr>
    </w:p>
    <w:p>
      <w:pPr>
        <w:pBdr>
          <w:left w:val="thick" w:color="2E75B6" w:sz="14" w:space="10"/>
        </w:pBdr>
        <w:spacing w:after="140" w:before="140" w:line="340"/>
        <w:ind w:left="720" w:right="360"/>
        <w:jc w:val="both"/>
      </w:pPr>
      <w:r>
        <w:rPr>
          <w:rFonts w:ascii="Georgia" w:cs="Georgia" w:eastAsia="Georgia" w:hAnsi="Georgia"/>
          <w:i/>
          <w:iCs/>
          <w:color w:val="3B4C5A"/>
          <w:sz w:val="21"/>
          <w:szCs w:val="21"/>
        </w:rPr>
        <w:t xml:space="preserve">Exemple : « Le lycée X organise une Journée Portes Ouvertes. Vous êtes chargés de concevoir et de développer le site web statique officiel de l'événement. Ce site devra comporter au moins trois pages liées, une galerie photographique des activités du club informatique et un formulaire de contact fonctionnel. » — Cette situation mobilise simultanément HTML, CSS, design web, communication écrite et collaboration. Elle ne peut être résolue par la simple application d'une technique isolée.</w:t>
      </w:r>
    </w:p>
    <w:p>
      <w:pPr>
        <w:spacing w:after="80" w:before="0"/>
      </w:pPr>
    </w:p>
    <w:p>
      <w:pPr>
        <w:spacing w:after="160" w:before="100" w:line="360"/>
        <w:ind w:firstLine="360"/>
        <w:jc w:val="both"/>
      </w:pPr>
      <w:r>
        <w:rPr>
          <w:rFonts w:ascii="Georgia" w:cs="Georgia" w:eastAsia="Georgia" w:hAnsi="Georgia"/>
          <w:b w:val="false"/>
          <w:bCs w:val="false"/>
          <w:i w:val="false"/>
          <w:iCs w:val="false"/>
          <w:color w:val="2C2C2C"/>
          <w:sz w:val="22"/>
          <w:szCs w:val="22"/>
        </w:rPr>
        <w:t xml:space="preserve">Ce qui rend la gestion d'une telle situation exigeante, c'est précisément son caractère ouvert : l'enseignant ne peut plus se contenter de circuler et de corriger des erreurs de syntaxe. Il doit accompagner des démarches différentes, questionner les choix des élèves, les aider à expliciter leur raisonnement de conception. C'est ici que la figure de l'enseignant-chef d'orchestre prend tout son sens — et toute sa difficulté.</w:t>
      </w:r>
    </w:p>
    <w:p>
      <w:pPr>
        <w:pStyle w:val="Heading2"/>
        <w:spacing w:after="140" w:before="320"/>
      </w:pPr>
      <w:r>
        <w:rPr>
          <w:rFonts w:ascii="Georgia" w:cs="Georgia" w:eastAsia="Georgia" w:hAnsi="Georgia"/>
          <w:b/>
          <w:bCs/>
          <w:color w:val="2E75B6"/>
          <w:sz w:val="24"/>
          <w:szCs w:val="24"/>
        </w:rPr>
        <w:t xml:space="preserve">2.5 L'évaluation comme dialogue continu</w:t>
      </w:r>
    </w:p>
    <w:p>
      <w:pPr>
        <w:spacing w:after="160" w:before="100" w:line="360"/>
        <w:ind w:firstLine="360"/>
        <w:jc w:val="both"/>
      </w:pPr>
      <w:r>
        <w:rPr>
          <w:rFonts w:ascii="Georgia" w:cs="Georgia" w:eastAsia="Georgia" w:hAnsi="Georgia"/>
          <w:b w:val="false"/>
          <w:bCs w:val="false"/>
          <w:i w:val="false"/>
          <w:iCs w:val="false"/>
          <w:color w:val="2C2C2C"/>
          <w:sz w:val="22"/>
          <w:szCs w:val="22"/>
        </w:rPr>
        <w:t xml:space="preserve">Dans le cadre de l'APC, l'évaluation rompt avec la vision réductrice du contrôle ponctuel des connaissances. Elle s'inscrit dans une temporalité étendue — avant, pendant et après la séquence — et remplit des fonctions distinctes selon le moment où elle intervient. Il me semble crucial d'insister sur ce point, car c'est là que réside l'une des ruptures les plus importantes avec la tradition évaluative marocaine, encore largement centrée sur la certification sommative en fin de séquence.</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726"/>
        <w:gridCol w:w="2500"/>
      </w:tblGrid>
      <w:tr>
        <w:trPr>
          <w:tblHeader/>
        </w:trPr>
        <w:tc>
          <w:tcPr>
            <w:tcW w:type="dxa" w:w="1700"/>
            <w:tcBorders>
              <w:top w:val="single" w:color="1F3864" w:sz="4"/>
              <w:left w:val="single" w:color="1F3864" w:sz="4"/>
              <w:bottom w:val="single" w:color="1F3864" w:sz="4"/>
              <w:right w:val="single" w:color="1F3864" w:sz="4"/>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Type</w:t>
            </w:r>
          </w:p>
        </w:tc>
        <w:tc>
          <w:tcPr>
            <w:tcW w:type="dxa" w:w="2100"/>
            <w:tcBorders>
              <w:top w:val="single" w:color="1F3864" w:sz="4"/>
              <w:left w:val="single" w:color="1F3864" w:sz="4"/>
              <w:bottom w:val="single" w:color="1F3864" w:sz="4"/>
              <w:right w:val="single" w:color="1F3864" w:sz="4"/>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Finalité</w:t>
            </w:r>
          </w:p>
        </w:tc>
        <w:tc>
          <w:tcPr>
            <w:tcW w:type="dxa" w:w="2726"/>
            <w:tcBorders>
              <w:top w:val="single" w:color="1F3864" w:sz="4"/>
              <w:left w:val="single" w:color="1F3864" w:sz="4"/>
              <w:bottom w:val="single" w:color="1F3864" w:sz="4"/>
              <w:right w:val="single" w:color="1F3864" w:sz="4"/>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Modalité en informatique</w:t>
            </w:r>
          </w:p>
        </w:tc>
        <w:tc>
          <w:tcPr>
            <w:tcW w:type="dxa" w:w="2500"/>
            <w:tcBorders>
              <w:top w:val="single" w:color="1F3864" w:sz="4"/>
              <w:left w:val="single" w:color="1F3864" w:sz="4"/>
              <w:bottom w:val="single" w:color="1F3864" w:sz="4"/>
              <w:right w:val="single" w:color="1F3864" w:sz="4"/>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Moment d'usage</w:t>
            </w:r>
          </w:p>
        </w:tc>
      </w:tr>
      <w:tr>
        <w:tc>
          <w:tcPr>
            <w:tcW w:type="dxa" w:w="1700"/>
            <w:tcBorders>
              <w:top w:val="single" w:color="C4D8EC" w:sz="4"/>
              <w:left w:val="single" w:color="C4D8EC" w:sz="4"/>
              <w:bottom w:val="single" w:color="C4D8EC" w:sz="4"/>
              <w:right w:val="single" w:color="C4D8EC" w:sz="4"/>
            </w:tcBorders>
            <w:shd w:fill="FFFFFF" w:val="clear"/>
            <w:tcMar>
              <w:top w:type="dxa" w:w="80"/>
              <w:left w:type="dxa" w:w="160"/>
              <w:bottom w:type="dxa" w:w="80"/>
              <w:right w:type="dxa" w:w="160"/>
            </w:tcMar>
          </w:tcPr>
          <w:p>
            <w:pPr>
              <w:jc w:val="both"/>
            </w:pPr>
            <w:r>
              <w:rPr>
                <w:rFonts w:ascii="Arial" w:cs="Arial" w:eastAsia="Arial" w:hAnsi="Arial"/>
                <w:b/>
                <w:bCs/>
                <w:color w:val="2C2C2C"/>
                <w:sz w:val="19"/>
                <w:szCs w:val="19"/>
              </w:rPr>
              <w:t xml:space="preserve">Diagnostique</w:t>
            </w:r>
          </w:p>
        </w:tc>
        <w:tc>
          <w:tcPr>
            <w:tcW w:type="dxa" w:w="2100"/>
            <w:tcBorders>
              <w:top w:val="single" w:color="C4D8EC" w:sz="4"/>
              <w:left w:val="single" w:color="C4D8EC" w:sz="4"/>
              <w:bottom w:val="single" w:color="C4D8EC" w:sz="4"/>
              <w:right w:val="single" w:color="C4D8EC" w:sz="4"/>
            </w:tcBorders>
            <w:shd w:fill="FFFFFF" w:val="clear"/>
            <w:tcMar>
              <w:top w:type="dxa" w:w="80"/>
              <w:left w:type="dxa" w:w="160"/>
              <w:bottom w:type="dxa" w:w="80"/>
              <w:right w:type="dxa" w:w="160"/>
            </w:tcMar>
          </w:tcPr>
          <w:p>
            <w:pPr>
              <w:jc w:val="both"/>
            </w:pPr>
            <w:r>
              <w:rPr>
                <w:rFonts w:ascii="Arial" w:cs="Arial" w:eastAsia="Arial" w:hAnsi="Arial"/>
                <w:b w:val="false"/>
                <w:bCs w:val="false"/>
                <w:color w:val="2C2C2C"/>
                <w:sz w:val="19"/>
                <w:szCs w:val="19"/>
              </w:rPr>
              <w:t xml:space="preserve">Repérer les prérequis et représentations initiales</w:t>
            </w:r>
          </w:p>
        </w:tc>
        <w:tc>
          <w:tcPr>
            <w:tcW w:type="dxa" w:w="2726"/>
            <w:tcBorders>
              <w:top w:val="single" w:color="C4D8EC" w:sz="4"/>
              <w:left w:val="single" w:color="C4D8EC" w:sz="4"/>
              <w:bottom w:val="single" w:color="C4D8EC" w:sz="4"/>
              <w:right w:val="single" w:color="C4D8EC" w:sz="4"/>
            </w:tcBorders>
            <w:shd w:fill="FFFFFF" w:val="clear"/>
            <w:tcMar>
              <w:top w:type="dxa" w:w="80"/>
              <w:left w:type="dxa" w:w="160"/>
              <w:bottom w:type="dxa" w:w="80"/>
              <w:right w:type="dxa" w:w="160"/>
            </w:tcMar>
          </w:tcPr>
          <w:p>
            <w:pPr>
              <w:jc w:val="both"/>
            </w:pPr>
            <w:r>
              <w:rPr>
                <w:rFonts w:ascii="Arial" w:cs="Arial" w:eastAsia="Arial" w:hAnsi="Arial"/>
                <w:b w:val="false"/>
                <w:bCs w:val="false"/>
                <w:color w:val="2C2C2C"/>
                <w:sz w:val="19"/>
                <w:szCs w:val="19"/>
              </w:rPr>
              <w:t xml:space="preserve">Quiz d'entrée, remue-méninges, entretien oral</w:t>
            </w:r>
          </w:p>
        </w:tc>
        <w:tc>
          <w:tcPr>
            <w:tcW w:type="dxa" w:w="2500"/>
            <w:tcBorders>
              <w:top w:val="single" w:color="C4D8EC" w:sz="4"/>
              <w:left w:val="single" w:color="C4D8EC" w:sz="4"/>
              <w:bottom w:val="single" w:color="C4D8EC" w:sz="4"/>
              <w:right w:val="single" w:color="C4D8EC" w:sz="4"/>
            </w:tcBorders>
            <w:shd w:fill="FFFFFF" w:val="clear"/>
            <w:tcMar>
              <w:top w:type="dxa" w:w="80"/>
              <w:left w:type="dxa" w:w="160"/>
              <w:bottom w:type="dxa" w:w="80"/>
              <w:right w:type="dxa" w:w="160"/>
            </w:tcMar>
          </w:tcPr>
          <w:p>
            <w:pPr>
              <w:jc w:val="both"/>
            </w:pPr>
            <w:r>
              <w:rPr>
                <w:rFonts w:ascii="Arial" w:cs="Arial" w:eastAsia="Arial" w:hAnsi="Arial"/>
                <w:b w:val="false"/>
                <w:bCs w:val="false"/>
                <w:color w:val="2C2C2C"/>
                <w:sz w:val="19"/>
                <w:szCs w:val="19"/>
              </w:rPr>
              <w:t xml:space="preserve">Avant la séquence</w:t>
            </w:r>
          </w:p>
        </w:tc>
      </w:tr>
      <w:tr>
        <w:tc>
          <w:tcPr>
            <w:tcW w:type="dxa" w:w="1700"/>
            <w:tcBorders>
              <w:top w:val="single" w:color="C4D8EC" w:sz="4"/>
              <w:left w:val="single" w:color="C4D8EC" w:sz="4"/>
              <w:bottom w:val="single" w:color="C4D8EC" w:sz="4"/>
              <w:right w:val="single" w:color="C4D8EC" w:sz="4"/>
            </w:tcBorders>
            <w:shd w:fill="F5F7FA" w:val="clear"/>
            <w:tcMar>
              <w:top w:type="dxa" w:w="80"/>
              <w:left w:type="dxa" w:w="160"/>
              <w:bottom w:type="dxa" w:w="80"/>
              <w:right w:type="dxa" w:w="160"/>
            </w:tcMar>
          </w:tcPr>
          <w:p>
            <w:pPr>
              <w:jc w:val="both"/>
            </w:pPr>
            <w:r>
              <w:rPr>
                <w:rFonts w:ascii="Arial" w:cs="Arial" w:eastAsia="Arial" w:hAnsi="Arial"/>
                <w:b/>
                <w:bCs/>
                <w:color w:val="2C2C2C"/>
                <w:sz w:val="19"/>
                <w:szCs w:val="19"/>
              </w:rPr>
              <w:t xml:space="preserve">Formative</w:t>
            </w:r>
          </w:p>
        </w:tc>
        <w:tc>
          <w:tcPr>
            <w:tcW w:type="dxa" w:w="2100"/>
            <w:tcBorders>
              <w:top w:val="single" w:color="C4D8EC" w:sz="4"/>
              <w:left w:val="single" w:color="C4D8EC" w:sz="4"/>
              <w:bottom w:val="single" w:color="C4D8EC" w:sz="4"/>
              <w:right w:val="single" w:color="C4D8EC" w:sz="4"/>
            </w:tcBorders>
            <w:shd w:fill="F5F7FA" w:val="clear"/>
            <w:tcMar>
              <w:top w:type="dxa" w:w="80"/>
              <w:left w:type="dxa" w:w="160"/>
              <w:bottom w:type="dxa" w:w="80"/>
              <w:right w:type="dxa" w:w="160"/>
            </w:tcMar>
          </w:tcPr>
          <w:p>
            <w:pPr>
              <w:jc w:val="both"/>
            </w:pPr>
            <w:r>
              <w:rPr>
                <w:rFonts w:ascii="Arial" w:cs="Arial" w:eastAsia="Arial" w:hAnsi="Arial"/>
                <w:b w:val="false"/>
                <w:bCs w:val="false"/>
                <w:color w:val="2C2C2C"/>
                <w:sz w:val="19"/>
                <w:szCs w:val="19"/>
              </w:rPr>
              <w:t xml:space="preserve">Réguler les apprentissages en temps réel</w:t>
            </w:r>
          </w:p>
        </w:tc>
        <w:tc>
          <w:tcPr>
            <w:tcW w:type="dxa" w:w="2726"/>
            <w:tcBorders>
              <w:top w:val="single" w:color="C4D8EC" w:sz="4"/>
              <w:left w:val="single" w:color="C4D8EC" w:sz="4"/>
              <w:bottom w:val="single" w:color="C4D8EC" w:sz="4"/>
              <w:right w:val="single" w:color="C4D8EC" w:sz="4"/>
            </w:tcBorders>
            <w:shd w:fill="F5F7FA" w:val="clear"/>
            <w:tcMar>
              <w:top w:type="dxa" w:w="80"/>
              <w:left w:type="dxa" w:w="160"/>
              <w:bottom w:type="dxa" w:w="80"/>
              <w:right w:type="dxa" w:w="160"/>
            </w:tcMar>
          </w:tcPr>
          <w:p>
            <w:pPr>
              <w:jc w:val="both"/>
            </w:pPr>
            <w:r>
              <w:rPr>
                <w:rFonts w:ascii="Arial" w:cs="Arial" w:eastAsia="Arial" w:hAnsi="Arial"/>
                <w:b w:val="false"/>
                <w:bCs w:val="false"/>
                <w:color w:val="2C2C2C"/>
                <w:sz w:val="19"/>
                <w:szCs w:val="19"/>
              </w:rPr>
              <w:t xml:space="preserve">Exercices en séance, observation, Kahoot, exit ticket</w:t>
            </w:r>
          </w:p>
        </w:tc>
        <w:tc>
          <w:tcPr>
            <w:tcW w:type="dxa" w:w="2500"/>
            <w:tcBorders>
              <w:top w:val="single" w:color="C4D8EC" w:sz="4"/>
              <w:left w:val="single" w:color="C4D8EC" w:sz="4"/>
              <w:bottom w:val="single" w:color="C4D8EC" w:sz="4"/>
              <w:right w:val="single" w:color="C4D8EC" w:sz="4"/>
            </w:tcBorders>
            <w:shd w:fill="F5F7FA" w:val="clear"/>
            <w:tcMar>
              <w:top w:type="dxa" w:w="80"/>
              <w:left w:type="dxa" w:w="160"/>
              <w:bottom w:type="dxa" w:w="80"/>
              <w:right w:type="dxa" w:w="160"/>
            </w:tcMar>
          </w:tcPr>
          <w:p>
            <w:pPr>
              <w:jc w:val="both"/>
            </w:pPr>
            <w:r>
              <w:rPr>
                <w:rFonts w:ascii="Arial" w:cs="Arial" w:eastAsia="Arial" w:hAnsi="Arial"/>
                <w:b w:val="false"/>
                <w:bCs w:val="false"/>
                <w:color w:val="2C2C2C"/>
                <w:sz w:val="19"/>
                <w:szCs w:val="19"/>
              </w:rPr>
              <w:t xml:space="preserve">En cours de séquence</w:t>
            </w:r>
          </w:p>
        </w:tc>
      </w:tr>
      <w:tr>
        <w:tc>
          <w:tcPr>
            <w:tcW w:type="dxa" w:w="1700"/>
            <w:tcBorders>
              <w:top w:val="single" w:color="C4D8EC" w:sz="4"/>
              <w:left w:val="single" w:color="C4D8EC" w:sz="4"/>
              <w:bottom w:val="single" w:color="C4D8EC" w:sz="4"/>
              <w:right w:val="single" w:color="C4D8EC" w:sz="4"/>
            </w:tcBorders>
            <w:shd w:fill="FFFFFF" w:val="clear"/>
            <w:tcMar>
              <w:top w:type="dxa" w:w="80"/>
              <w:left w:type="dxa" w:w="160"/>
              <w:bottom w:type="dxa" w:w="80"/>
              <w:right w:type="dxa" w:w="160"/>
            </w:tcMar>
          </w:tcPr>
          <w:p>
            <w:pPr>
              <w:jc w:val="both"/>
            </w:pPr>
            <w:r>
              <w:rPr>
                <w:rFonts w:ascii="Arial" w:cs="Arial" w:eastAsia="Arial" w:hAnsi="Arial"/>
                <w:b/>
                <w:bCs/>
                <w:color w:val="2C2C2C"/>
                <w:sz w:val="19"/>
                <w:szCs w:val="19"/>
              </w:rPr>
              <w:t xml:space="preserve">Sommative</w:t>
            </w:r>
          </w:p>
        </w:tc>
        <w:tc>
          <w:tcPr>
            <w:tcW w:type="dxa" w:w="2100"/>
            <w:tcBorders>
              <w:top w:val="single" w:color="C4D8EC" w:sz="4"/>
              <w:left w:val="single" w:color="C4D8EC" w:sz="4"/>
              <w:bottom w:val="single" w:color="C4D8EC" w:sz="4"/>
              <w:right w:val="single" w:color="C4D8EC" w:sz="4"/>
            </w:tcBorders>
            <w:shd w:fill="FFFFFF" w:val="clear"/>
            <w:tcMar>
              <w:top w:type="dxa" w:w="80"/>
              <w:left w:type="dxa" w:w="160"/>
              <w:bottom w:type="dxa" w:w="80"/>
              <w:right w:type="dxa" w:w="160"/>
            </w:tcMar>
          </w:tcPr>
          <w:p>
            <w:pPr>
              <w:jc w:val="both"/>
            </w:pPr>
            <w:r>
              <w:rPr>
                <w:rFonts w:ascii="Arial" w:cs="Arial" w:eastAsia="Arial" w:hAnsi="Arial"/>
                <w:b w:val="false"/>
                <w:bCs w:val="false"/>
                <w:color w:val="2C2C2C"/>
                <w:sz w:val="19"/>
                <w:szCs w:val="19"/>
              </w:rPr>
              <w:t xml:space="preserve">Certifier l'acquisition des compétences</w:t>
            </w:r>
          </w:p>
        </w:tc>
        <w:tc>
          <w:tcPr>
            <w:tcW w:type="dxa" w:w="2726"/>
            <w:tcBorders>
              <w:top w:val="single" w:color="C4D8EC" w:sz="4"/>
              <w:left w:val="single" w:color="C4D8EC" w:sz="4"/>
              <w:bottom w:val="single" w:color="C4D8EC" w:sz="4"/>
              <w:right w:val="single" w:color="C4D8EC" w:sz="4"/>
            </w:tcBorders>
            <w:shd w:fill="FFFFFF" w:val="clear"/>
            <w:tcMar>
              <w:top w:type="dxa" w:w="80"/>
              <w:left w:type="dxa" w:w="160"/>
              <w:bottom w:type="dxa" w:w="80"/>
              <w:right w:type="dxa" w:w="160"/>
            </w:tcMar>
          </w:tcPr>
          <w:p>
            <w:pPr>
              <w:jc w:val="both"/>
            </w:pPr>
            <w:r>
              <w:rPr>
                <w:rFonts w:ascii="Arial" w:cs="Arial" w:eastAsia="Arial" w:hAnsi="Arial"/>
                <w:b w:val="false"/>
                <w:bCs w:val="false"/>
                <w:color w:val="2C2C2C"/>
                <w:sz w:val="19"/>
                <w:szCs w:val="19"/>
              </w:rPr>
              <w:t xml:space="preserve">Devoir surveillé, TP noté, projet final</w:t>
            </w:r>
          </w:p>
        </w:tc>
        <w:tc>
          <w:tcPr>
            <w:tcW w:type="dxa" w:w="2500"/>
            <w:tcBorders>
              <w:top w:val="single" w:color="C4D8EC" w:sz="4"/>
              <w:left w:val="single" w:color="C4D8EC" w:sz="4"/>
              <w:bottom w:val="single" w:color="C4D8EC" w:sz="4"/>
              <w:right w:val="single" w:color="C4D8EC" w:sz="4"/>
            </w:tcBorders>
            <w:shd w:fill="FFFFFF" w:val="clear"/>
            <w:tcMar>
              <w:top w:type="dxa" w:w="80"/>
              <w:left w:type="dxa" w:w="160"/>
              <w:bottom w:type="dxa" w:w="80"/>
              <w:right w:type="dxa" w:w="160"/>
            </w:tcMar>
          </w:tcPr>
          <w:p>
            <w:pPr>
              <w:jc w:val="both"/>
            </w:pPr>
            <w:r>
              <w:rPr>
                <w:rFonts w:ascii="Arial" w:cs="Arial" w:eastAsia="Arial" w:hAnsi="Arial"/>
                <w:b w:val="false"/>
                <w:bCs w:val="false"/>
                <w:color w:val="2C2C2C"/>
                <w:sz w:val="19"/>
                <w:szCs w:val="19"/>
              </w:rPr>
              <w:t xml:space="preserve">Fin de séquence</w:t>
            </w:r>
          </w:p>
        </w:tc>
      </w:tr>
      <w:tr>
        <w:tc>
          <w:tcPr>
            <w:tcW w:type="dxa" w:w="1700"/>
            <w:tcBorders>
              <w:top w:val="single" w:color="C4D8EC" w:sz="4"/>
              <w:left w:val="single" w:color="C4D8EC" w:sz="4"/>
              <w:bottom w:val="single" w:color="C4D8EC" w:sz="4"/>
              <w:right w:val="single" w:color="C4D8EC" w:sz="4"/>
            </w:tcBorders>
            <w:shd w:fill="F5F7FA" w:val="clear"/>
            <w:tcMar>
              <w:top w:type="dxa" w:w="80"/>
              <w:left w:type="dxa" w:w="160"/>
              <w:bottom w:type="dxa" w:w="80"/>
              <w:right w:type="dxa" w:w="160"/>
            </w:tcMar>
          </w:tcPr>
          <w:p>
            <w:pPr>
              <w:jc w:val="both"/>
            </w:pPr>
            <w:r>
              <w:rPr>
                <w:rFonts w:ascii="Arial" w:cs="Arial" w:eastAsia="Arial" w:hAnsi="Arial"/>
                <w:b/>
                <w:bCs/>
                <w:color w:val="2C2C2C"/>
                <w:sz w:val="19"/>
                <w:szCs w:val="19"/>
              </w:rPr>
              <w:t xml:space="preserve">Par les pairs</w:t>
            </w:r>
          </w:p>
        </w:tc>
        <w:tc>
          <w:tcPr>
            <w:tcW w:type="dxa" w:w="2100"/>
            <w:tcBorders>
              <w:top w:val="single" w:color="C4D8EC" w:sz="4"/>
              <w:left w:val="single" w:color="C4D8EC" w:sz="4"/>
              <w:bottom w:val="single" w:color="C4D8EC" w:sz="4"/>
              <w:right w:val="single" w:color="C4D8EC" w:sz="4"/>
            </w:tcBorders>
            <w:shd w:fill="F5F7FA" w:val="clear"/>
            <w:tcMar>
              <w:top w:type="dxa" w:w="80"/>
              <w:left w:type="dxa" w:w="160"/>
              <w:bottom w:type="dxa" w:w="80"/>
              <w:right w:type="dxa" w:w="160"/>
            </w:tcMar>
          </w:tcPr>
          <w:p>
            <w:pPr>
              <w:jc w:val="both"/>
            </w:pPr>
            <w:r>
              <w:rPr>
                <w:rFonts w:ascii="Arial" w:cs="Arial" w:eastAsia="Arial" w:hAnsi="Arial"/>
                <w:b w:val="false"/>
                <w:bCs w:val="false"/>
                <w:color w:val="2C2C2C"/>
                <w:sz w:val="19"/>
                <w:szCs w:val="19"/>
              </w:rPr>
              <w:t xml:space="preserve">Développer le regard critique et la métacognition</w:t>
            </w:r>
          </w:p>
        </w:tc>
        <w:tc>
          <w:tcPr>
            <w:tcW w:type="dxa" w:w="2726"/>
            <w:tcBorders>
              <w:top w:val="single" w:color="C4D8EC" w:sz="4"/>
              <w:left w:val="single" w:color="C4D8EC" w:sz="4"/>
              <w:bottom w:val="single" w:color="C4D8EC" w:sz="4"/>
              <w:right w:val="single" w:color="C4D8EC" w:sz="4"/>
            </w:tcBorders>
            <w:shd w:fill="F5F7FA" w:val="clear"/>
            <w:tcMar>
              <w:top w:type="dxa" w:w="80"/>
              <w:left w:type="dxa" w:w="160"/>
              <w:bottom w:type="dxa" w:w="80"/>
              <w:right w:type="dxa" w:w="160"/>
            </w:tcMar>
          </w:tcPr>
          <w:p>
            <w:pPr>
              <w:jc w:val="both"/>
            </w:pPr>
            <w:r>
              <w:rPr>
                <w:rFonts w:ascii="Arial" w:cs="Arial" w:eastAsia="Arial" w:hAnsi="Arial"/>
                <w:b w:val="false"/>
                <w:bCs w:val="false"/>
                <w:color w:val="2C2C2C"/>
                <w:sz w:val="19"/>
                <w:szCs w:val="19"/>
              </w:rPr>
              <w:t xml:space="preserve">Correction croisée, code review, présentation orale</w:t>
            </w:r>
          </w:p>
        </w:tc>
        <w:tc>
          <w:tcPr>
            <w:tcW w:type="dxa" w:w="2500"/>
            <w:tcBorders>
              <w:top w:val="single" w:color="C4D8EC" w:sz="4"/>
              <w:left w:val="single" w:color="C4D8EC" w:sz="4"/>
              <w:bottom w:val="single" w:color="C4D8EC" w:sz="4"/>
              <w:right w:val="single" w:color="C4D8EC" w:sz="4"/>
            </w:tcBorders>
            <w:shd w:fill="F5F7FA" w:val="clear"/>
            <w:tcMar>
              <w:top w:type="dxa" w:w="80"/>
              <w:left w:type="dxa" w:w="160"/>
              <w:bottom w:type="dxa" w:w="80"/>
              <w:right w:type="dxa" w:w="160"/>
            </w:tcMar>
          </w:tcPr>
          <w:p>
            <w:pPr>
              <w:jc w:val="both"/>
            </w:pPr>
            <w:r>
              <w:rPr>
                <w:rFonts w:ascii="Arial" w:cs="Arial" w:eastAsia="Arial" w:hAnsi="Arial"/>
                <w:b w:val="false"/>
                <w:bCs w:val="false"/>
                <w:color w:val="2C2C2C"/>
                <w:sz w:val="19"/>
                <w:szCs w:val="19"/>
              </w:rPr>
              <w:t xml:space="preserve">Pendant / après le TP</w:t>
            </w:r>
          </w:p>
        </w:tc>
      </w:tr>
      <w:tr>
        <w:tc>
          <w:tcPr>
            <w:tcW w:type="dxa" w:w="1700"/>
            <w:tcBorders>
              <w:top w:val="single" w:color="C4D8EC" w:sz="4"/>
              <w:left w:val="single" w:color="C4D8EC" w:sz="4"/>
              <w:bottom w:val="single" w:color="C4D8EC" w:sz="4"/>
              <w:right w:val="single" w:color="C4D8EC" w:sz="4"/>
            </w:tcBorders>
            <w:shd w:fill="FFFFFF" w:val="clear"/>
            <w:tcMar>
              <w:top w:type="dxa" w:w="80"/>
              <w:left w:type="dxa" w:w="160"/>
              <w:bottom w:type="dxa" w:w="80"/>
              <w:right w:type="dxa" w:w="160"/>
            </w:tcMar>
          </w:tcPr>
          <w:p>
            <w:pPr>
              <w:jc w:val="both"/>
            </w:pPr>
            <w:r>
              <w:rPr>
                <w:rFonts w:ascii="Arial" w:cs="Arial" w:eastAsia="Arial" w:hAnsi="Arial"/>
                <w:b/>
                <w:bCs/>
                <w:color w:val="2C2C2C"/>
                <w:sz w:val="19"/>
                <w:szCs w:val="19"/>
              </w:rPr>
              <w:t xml:space="preserve">Auto-évaluation</w:t>
            </w:r>
          </w:p>
        </w:tc>
        <w:tc>
          <w:tcPr>
            <w:tcW w:type="dxa" w:w="2100"/>
            <w:tcBorders>
              <w:top w:val="single" w:color="C4D8EC" w:sz="4"/>
              <w:left w:val="single" w:color="C4D8EC" w:sz="4"/>
              <w:bottom w:val="single" w:color="C4D8EC" w:sz="4"/>
              <w:right w:val="single" w:color="C4D8EC" w:sz="4"/>
            </w:tcBorders>
            <w:shd w:fill="FFFFFF" w:val="clear"/>
            <w:tcMar>
              <w:top w:type="dxa" w:w="80"/>
              <w:left w:type="dxa" w:w="160"/>
              <w:bottom w:type="dxa" w:w="80"/>
              <w:right w:type="dxa" w:w="160"/>
            </w:tcMar>
          </w:tcPr>
          <w:p>
            <w:pPr>
              <w:jc w:val="both"/>
            </w:pPr>
            <w:r>
              <w:rPr>
                <w:rFonts w:ascii="Arial" w:cs="Arial" w:eastAsia="Arial" w:hAnsi="Arial"/>
                <w:b w:val="false"/>
                <w:bCs w:val="false"/>
                <w:color w:val="2C2C2C"/>
                <w:sz w:val="19"/>
                <w:szCs w:val="19"/>
              </w:rPr>
              <w:t xml:space="preserve">Ancrer la posture réflexive de l'apprenant</w:t>
            </w:r>
          </w:p>
        </w:tc>
        <w:tc>
          <w:tcPr>
            <w:tcW w:type="dxa" w:w="2726"/>
            <w:tcBorders>
              <w:top w:val="single" w:color="C4D8EC" w:sz="4"/>
              <w:left w:val="single" w:color="C4D8EC" w:sz="4"/>
              <w:bottom w:val="single" w:color="C4D8EC" w:sz="4"/>
              <w:right w:val="single" w:color="C4D8EC" w:sz="4"/>
            </w:tcBorders>
            <w:shd w:fill="FFFFFF" w:val="clear"/>
            <w:tcMar>
              <w:top w:type="dxa" w:w="80"/>
              <w:left w:type="dxa" w:w="160"/>
              <w:bottom w:type="dxa" w:w="80"/>
              <w:right w:type="dxa" w:w="160"/>
            </w:tcMar>
          </w:tcPr>
          <w:p>
            <w:pPr>
              <w:jc w:val="both"/>
            </w:pPr>
            <w:r>
              <w:rPr>
                <w:rFonts w:ascii="Arial" w:cs="Arial" w:eastAsia="Arial" w:hAnsi="Arial"/>
                <w:b w:val="false"/>
                <w:bCs w:val="false"/>
                <w:color w:val="2C2C2C"/>
                <w:sz w:val="19"/>
                <w:szCs w:val="19"/>
              </w:rPr>
              <w:t xml:space="preserve">Portfolio numérique, grille de compétences personnelle</w:t>
            </w:r>
          </w:p>
        </w:tc>
        <w:tc>
          <w:tcPr>
            <w:tcW w:type="dxa" w:w="2500"/>
            <w:tcBorders>
              <w:top w:val="single" w:color="C4D8EC" w:sz="4"/>
              <w:left w:val="single" w:color="C4D8EC" w:sz="4"/>
              <w:bottom w:val="single" w:color="C4D8EC" w:sz="4"/>
              <w:right w:val="single" w:color="C4D8EC" w:sz="4"/>
            </w:tcBorders>
            <w:shd w:fill="FFFFFF" w:val="clear"/>
            <w:tcMar>
              <w:top w:type="dxa" w:w="80"/>
              <w:left w:type="dxa" w:w="160"/>
              <w:bottom w:type="dxa" w:w="80"/>
              <w:right w:type="dxa" w:w="160"/>
            </w:tcMar>
          </w:tcPr>
          <w:p>
            <w:pPr>
              <w:jc w:val="both"/>
            </w:pPr>
            <w:r>
              <w:rPr>
                <w:rFonts w:ascii="Arial" w:cs="Arial" w:eastAsia="Arial" w:hAnsi="Arial"/>
                <w:b w:val="false"/>
                <w:bCs w:val="false"/>
                <w:color w:val="2C2C2C"/>
                <w:sz w:val="19"/>
                <w:szCs w:val="19"/>
              </w:rPr>
              <w:t xml:space="preserve">En continu</w:t>
            </w:r>
          </w:p>
        </w:tc>
      </w:tr>
    </w:tbl>
    <w:p>
      <w:pPr>
        <w:spacing w:after="200" w:before="60"/>
        <w:jc w:val="center"/>
      </w:pPr>
      <w:r>
        <w:rPr>
          <w:rFonts w:ascii="Georgia" w:cs="Georgia" w:eastAsia="Georgia" w:hAnsi="Georgia"/>
          <w:i/>
          <w:iCs/>
          <w:color w:val="888888"/>
          <w:sz w:val="18"/>
          <w:szCs w:val="18"/>
        </w:rPr>
        <w:t xml:space="preserve">Tableau II : Cartographie des formes d'évaluation en cours d'informatique — cadre APC</w:t>
      </w:r>
    </w:p>
    <w:p>
      <w:pPr>
        <w:spacing w:after="160" w:before="100" w:line="360"/>
        <w:ind w:firstLine="360"/>
        <w:jc w:val="both"/>
      </w:pPr>
      <w:r>
        <w:rPr>
          <w:rFonts w:ascii="Georgia" w:cs="Georgia" w:eastAsia="Georgia" w:hAnsi="Georgia"/>
          <w:b w:val="false"/>
          <w:bCs w:val="false"/>
          <w:i w:val="false"/>
          <w:iCs w:val="false"/>
          <w:color w:val="2C2C2C"/>
          <w:sz w:val="22"/>
          <w:szCs w:val="22"/>
        </w:rPr>
        <w:t xml:space="preserve">Nonobstant l'élégance de ce tableau, il convient d'en souligner une limite importante : pour que l'évaluation formative joue réellement son rôle régulateur, elle doit être pensée dès la conception de la séance, et non ajoutée en fin de parcours comme un supplément d'âme. L'évaluation par les pairs, en particulier, suppose que les élèves aient internalisé des critères clairs et développé la maturité nécessaire pour formuler un regard critique bienveillant sur le travail d'autrui. C'est un apprentissage en soi, qui demande du temps et un accompagnement explicite que le rythme des programmes ne facilite pas toujours.</w:t>
      </w:r>
    </w:p>
    <w:p>
      <w:pPr>
        <w:pStyle w:val="Heading2"/>
        <w:spacing w:after="140" w:before="320"/>
      </w:pPr>
      <w:r>
        <w:rPr>
          <w:rFonts w:ascii="Georgia" w:cs="Georgia" w:eastAsia="Georgia" w:hAnsi="Georgia"/>
          <w:b/>
          <w:bCs/>
          <w:color w:val="2E75B6"/>
          <w:sz w:val="24"/>
          <w:szCs w:val="24"/>
        </w:rPr>
        <w:t xml:space="preserve">2.6 Intégrer le numérique : transformer, pas décorer</w:t>
      </w:r>
    </w:p>
    <w:p>
      <w:pPr>
        <w:spacing w:after="160" w:before="100" w:line="360"/>
        <w:ind w:firstLine="360"/>
        <w:jc w:val="both"/>
      </w:pPr>
      <w:r>
        <w:rPr>
          <w:rFonts w:ascii="Georgia" w:cs="Georgia" w:eastAsia="Georgia" w:hAnsi="Georgia"/>
          <w:b w:val="false"/>
          <w:bCs w:val="false"/>
          <w:i w:val="false"/>
          <w:iCs w:val="false"/>
          <w:color w:val="2C2C2C"/>
          <w:sz w:val="22"/>
          <w:szCs w:val="22"/>
        </w:rPr>
        <w:t xml:space="preserve">L'enseignant d'informatique au Maroc se trouve dans une position singulière : il est à la fois enseignant des outils numériques et utilisateur de ces mêmes outils pour enseigner. Cette double posture l'expose à un risque spécifique que j'ai observé sur le terrain : confondre l'intégration des TICE avec l'utilisation du vidéoprojecteur ou du tableau numérique interactif. Or, les modèles théoriques récents — le modèle SAMR et le cadre TPACK — invitent à distinguer les niveaux d'intégration technologique selon le degré de transformation pédagogique qu'ils induisent. Substituer le PowerPoint au tableau noir, c'est rester au niveau zéro de l'intégration numérique. Redéfinir les activités d'apprentissage elles-mêmes grâce au numérique, c'est en atteindre le niveau le plus fécond.</w:t>
      </w:r>
    </w:p>
    <w:p>
      <w:pPr>
        <w:spacing w:after="160" w:before="100" w:line="360"/>
        <w:ind w:firstLine="360"/>
        <w:jc w:val="both"/>
      </w:pPr>
      <w:r>
        <w:rPr>
          <w:rFonts w:ascii="Georgia" w:cs="Georgia" w:eastAsia="Georgia" w:hAnsi="Georgia"/>
          <w:b w:val="false"/>
          <w:bCs w:val="false"/>
          <w:i w:val="false"/>
          <w:iCs w:val="false"/>
          <w:color w:val="2C2C2C"/>
          <w:sz w:val="22"/>
          <w:szCs w:val="22"/>
        </w:rPr>
        <w:t xml:space="preserve">Il en résulte une nécessité de contextualiser avec lucidité ces ambitions. Dans de nombreux établissements marocains, la connexion Internet est instable, le parc informatique est vieillissant, et les élèves n'ont pas tous accès au numérique à domicile. La classe inversée — magnifique en théorie — suppose que les élèves puissent regarder une vidéo chez eux, ce qui n'est pas toujours possible. La robustesse d'un outil, sa fiabilité dans des conditions dégradées, est donc un critère pédagogique au même titre que sa richesse fonctionnelle. Plaquer des modèles conçus dans d'autres environnements sur une réalité socio-économique spécifique serait non seulement inefficace, mais pédagogiquement irresponsable.</w:t>
      </w:r>
    </w:p>
    <w:p>
      <w:r>
        <w:br w:type="page"/>
      </w:r>
    </w:p>
    <w:p>
      <w:pPr>
        <w:pStyle w:val="Heading1"/>
        <w:pBdr>
          <w:bottom w:val="single" w:color="2E75B6" w:sz="10" w:space="6"/>
        </w:pBdr>
        <w:spacing w:after="180" w:before="400"/>
      </w:pPr>
      <w:r>
        <w:rPr>
          <w:rFonts w:ascii="Georgia" w:cs="Georgia" w:eastAsia="Georgia" w:hAnsi="Georgia"/>
          <w:b/>
          <w:bCs/>
          <w:color w:val="1F3864"/>
          <w:sz w:val="30"/>
          <w:szCs w:val="30"/>
        </w:rPr>
        <w:t xml:space="preserve">Axe III — Se connaître pour mieux enseigner</w:t>
      </w:r>
    </w:p>
    <w:p>
      <w:pPr>
        <w:spacing w:after="80" w:before="0"/>
      </w:pPr>
    </w:p>
    <w:p>
      <w:pPr>
        <w:spacing w:after="160" w:before="100" w:line="360"/>
        <w:ind w:firstLine="360"/>
        <w:jc w:val="both"/>
      </w:pPr>
      <w:r>
        <w:rPr>
          <w:rFonts w:ascii="Georgia" w:cs="Georgia" w:eastAsia="Georgia" w:hAnsi="Georgia"/>
          <w:b w:val="false"/>
          <w:bCs w:val="false"/>
          <w:i w:val="false"/>
          <w:iCs w:val="false"/>
          <w:color w:val="2C2C2C"/>
          <w:sz w:val="22"/>
          <w:szCs w:val="22"/>
        </w:rPr>
        <w:t xml:space="preserve">Si les axes précédents portaient sur ce que l'enseignant gère — le contenu, le groupe, le temps, les situations — celui-ci s'intéresse à la manière dont il se positionne face à ses élèves et aux démarches qu'il leur propose pour construire leurs savoirs. La question est décisive, et j'y reviendrai souvent dans ma pratique réflexive : deux enseignants peuvent traiter le même contenu, dans la même salle, avec les mêmes ressources, et produire des effets d'apprentissage radicalement différents selon le style qu'ils adoptent et les méthodes qu'ils mobilisent.</w:t>
      </w:r>
    </w:p>
    <w:p>
      <w:pPr>
        <w:pStyle w:val="Heading2"/>
        <w:spacing w:after="140" w:before="320"/>
      </w:pPr>
      <w:r>
        <w:rPr>
          <w:rFonts w:ascii="Georgia" w:cs="Georgia" w:eastAsia="Georgia" w:hAnsi="Georgia"/>
          <w:b/>
          <w:bCs/>
          <w:color w:val="2E75B6"/>
          <w:sz w:val="24"/>
          <w:szCs w:val="24"/>
        </w:rPr>
        <w:t xml:space="preserve">3.1 L'enseignant agile : dépasser le style unique</w:t>
      </w:r>
    </w:p>
    <w:p>
      <w:pPr>
        <w:spacing w:after="160" w:before="100" w:line="360"/>
        <w:ind w:firstLine="360"/>
        <w:jc w:val="both"/>
      </w:pPr>
      <w:r>
        <w:rPr>
          <w:rFonts w:ascii="Georgia" w:cs="Georgia" w:eastAsia="Georgia" w:hAnsi="Georgia"/>
          <w:b w:val="false"/>
          <w:bCs w:val="false"/>
          <w:i w:val="false"/>
          <w:iCs w:val="false"/>
          <w:color w:val="2C2C2C"/>
          <w:sz w:val="22"/>
          <w:szCs w:val="22"/>
        </w:rPr>
        <w:t xml:space="preserve">Le modèle de Therer et Willemart (1983) structure les styles d'enseignement selon deux axes : la centration sur la matière et la centration sur les apprenants. Cette grille de lecture produit quatre profils — transmissif, incitatif, associatif, permissif — qui ne sont pas des cases dans lesquelles enfermer les enseignants, mais des postures disponibles qu'un praticien agile mobilise selon les situations. J'ai trouvé dans ce modèle une clé de lecture particulièrement éclairante pour interpréter ce que j'observais sur le terrain — pourquoi tel enseignant « captait » sa classe, et pourquoi tel autre, pourtant compétent techniquement, la perdait progressivement.</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426"/>
        <w:gridCol w:w="2700"/>
      </w:tblGrid>
      <w:tr>
        <w:trPr>
          <w:tblHeader/>
        </w:trPr>
        <w:tc>
          <w:tcPr>
            <w:tcW w:type="dxa" w:w="1700"/>
            <w:tcBorders>
              <w:top w:val="single" w:color="1F3864" w:sz="4"/>
              <w:left w:val="single" w:color="1F3864" w:sz="4"/>
              <w:bottom w:val="single" w:color="1F3864" w:sz="4"/>
              <w:right w:val="single" w:color="1F3864" w:sz="4"/>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Style</w:t>
            </w:r>
          </w:p>
        </w:tc>
        <w:tc>
          <w:tcPr>
            <w:tcW w:type="dxa" w:w="2200"/>
            <w:tcBorders>
              <w:top w:val="single" w:color="1F3864" w:sz="4"/>
              <w:left w:val="single" w:color="1F3864" w:sz="4"/>
              <w:bottom w:val="single" w:color="1F3864" w:sz="4"/>
              <w:right w:val="single" w:color="1F3864" w:sz="4"/>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Double centration</w:t>
            </w:r>
          </w:p>
        </w:tc>
        <w:tc>
          <w:tcPr>
            <w:tcW w:type="dxa" w:w="2426"/>
            <w:tcBorders>
              <w:top w:val="single" w:color="1F3864" w:sz="4"/>
              <w:left w:val="single" w:color="1F3864" w:sz="4"/>
              <w:bottom w:val="single" w:color="1F3864" w:sz="4"/>
              <w:right w:val="single" w:color="1F3864" w:sz="4"/>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Posture de l'enseignant</w:t>
            </w:r>
          </w:p>
        </w:tc>
        <w:tc>
          <w:tcPr>
            <w:tcW w:type="dxa" w:w="2700"/>
            <w:tcBorders>
              <w:top w:val="single" w:color="1F3864" w:sz="4"/>
              <w:left w:val="single" w:color="1F3864" w:sz="4"/>
              <w:bottom w:val="single" w:color="1F3864" w:sz="4"/>
              <w:right w:val="single" w:color="1F3864" w:sz="4"/>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Contexte d'efficacité</w:t>
            </w:r>
          </w:p>
        </w:tc>
      </w:tr>
      <w:tr>
        <w:tc>
          <w:tcPr>
            <w:tcW w:type="dxa" w:w="1700"/>
            <w:tcBorders>
              <w:top w:val="single" w:color="C4D8EC" w:sz="4"/>
              <w:left w:val="single" w:color="C4D8EC" w:sz="4"/>
              <w:bottom w:val="single" w:color="C4D8EC" w:sz="4"/>
              <w:right w:val="single" w:color="C4D8EC" w:sz="4"/>
            </w:tcBorders>
            <w:shd w:fill="FFFFFF" w:val="clear"/>
            <w:tcMar>
              <w:top w:type="dxa" w:w="80"/>
              <w:left w:type="dxa" w:w="160"/>
              <w:bottom w:type="dxa" w:w="80"/>
              <w:right w:type="dxa" w:w="160"/>
            </w:tcMar>
          </w:tcPr>
          <w:p>
            <w:pPr>
              <w:jc w:val="both"/>
            </w:pPr>
            <w:r>
              <w:rPr>
                <w:rFonts w:ascii="Arial" w:cs="Arial" w:eastAsia="Arial" w:hAnsi="Arial"/>
                <w:b/>
                <w:bCs/>
                <w:color w:val="2C2C2C"/>
                <w:sz w:val="19"/>
                <w:szCs w:val="19"/>
              </w:rPr>
              <w:t xml:space="preserve">Transmissif (9.1)</w:t>
            </w:r>
          </w:p>
        </w:tc>
        <w:tc>
          <w:tcPr>
            <w:tcW w:type="dxa" w:w="2200"/>
            <w:tcBorders>
              <w:top w:val="single" w:color="C4D8EC" w:sz="4"/>
              <w:left w:val="single" w:color="C4D8EC" w:sz="4"/>
              <w:bottom w:val="single" w:color="C4D8EC" w:sz="4"/>
              <w:right w:val="single" w:color="C4D8EC" w:sz="4"/>
            </w:tcBorders>
            <w:shd w:fill="FFFFFF" w:val="clear"/>
            <w:tcMar>
              <w:top w:type="dxa" w:w="80"/>
              <w:left w:type="dxa" w:w="160"/>
              <w:bottom w:type="dxa" w:w="80"/>
              <w:right w:type="dxa" w:w="160"/>
            </w:tcMar>
          </w:tcPr>
          <w:p>
            <w:pPr>
              <w:jc w:val="both"/>
            </w:pPr>
            <w:r>
              <w:rPr>
                <w:rFonts w:ascii="Arial" w:cs="Arial" w:eastAsia="Arial" w:hAnsi="Arial"/>
                <w:b w:val="false"/>
                <w:bCs w:val="false"/>
                <w:color w:val="2C2C2C"/>
                <w:sz w:val="19"/>
                <w:szCs w:val="19"/>
              </w:rPr>
              <w:t xml:space="preserve">Forte / matière — Faible / apprenant</w:t>
            </w:r>
          </w:p>
        </w:tc>
        <w:tc>
          <w:tcPr>
            <w:tcW w:type="dxa" w:w="2426"/>
            <w:tcBorders>
              <w:top w:val="single" w:color="C4D8EC" w:sz="4"/>
              <w:left w:val="single" w:color="C4D8EC" w:sz="4"/>
              <w:bottom w:val="single" w:color="C4D8EC" w:sz="4"/>
              <w:right w:val="single" w:color="C4D8EC" w:sz="4"/>
            </w:tcBorders>
            <w:shd w:fill="FFFFFF" w:val="clear"/>
            <w:tcMar>
              <w:top w:type="dxa" w:w="80"/>
              <w:left w:type="dxa" w:w="160"/>
              <w:bottom w:type="dxa" w:w="80"/>
              <w:right w:type="dxa" w:w="160"/>
            </w:tcMar>
          </w:tcPr>
          <w:p>
            <w:pPr>
              <w:jc w:val="both"/>
            </w:pPr>
            <w:r>
              <w:rPr>
                <w:rFonts w:ascii="Arial" w:cs="Arial" w:eastAsia="Arial" w:hAnsi="Arial"/>
                <w:b w:val="false"/>
                <w:bCs w:val="false"/>
                <w:color w:val="2C2C2C"/>
                <w:sz w:val="19"/>
                <w:szCs w:val="19"/>
              </w:rPr>
              <w:t xml:space="preserve">Instructeur, exposant structuré</w:t>
            </w:r>
          </w:p>
        </w:tc>
        <w:tc>
          <w:tcPr>
            <w:tcW w:type="dxa" w:w="2700"/>
            <w:tcBorders>
              <w:top w:val="single" w:color="C4D8EC" w:sz="4"/>
              <w:left w:val="single" w:color="C4D8EC" w:sz="4"/>
              <w:bottom w:val="single" w:color="C4D8EC" w:sz="4"/>
              <w:right w:val="single" w:color="C4D8EC" w:sz="4"/>
            </w:tcBorders>
            <w:shd w:fill="FFFFFF" w:val="clear"/>
            <w:tcMar>
              <w:top w:type="dxa" w:w="80"/>
              <w:left w:type="dxa" w:w="160"/>
              <w:bottom w:type="dxa" w:w="80"/>
              <w:right w:type="dxa" w:w="160"/>
            </w:tcMar>
          </w:tcPr>
          <w:p>
            <w:pPr>
              <w:jc w:val="both"/>
            </w:pPr>
            <w:r>
              <w:rPr>
                <w:rFonts w:ascii="Arial" w:cs="Arial" w:eastAsia="Arial" w:hAnsi="Arial"/>
                <w:b w:val="false"/>
                <w:bCs w:val="false"/>
                <w:color w:val="2C2C2C"/>
                <w:sz w:val="19"/>
                <w:szCs w:val="19"/>
              </w:rPr>
              <w:t xml:space="preserve">Introduction de notions denses, cours théoriques inauguraux</w:t>
            </w:r>
          </w:p>
        </w:tc>
      </w:tr>
      <w:tr>
        <w:tc>
          <w:tcPr>
            <w:tcW w:type="dxa" w:w="1700"/>
            <w:tcBorders>
              <w:top w:val="single" w:color="C4D8EC" w:sz="4"/>
              <w:left w:val="single" w:color="C4D8EC" w:sz="4"/>
              <w:bottom w:val="single" w:color="C4D8EC" w:sz="4"/>
              <w:right w:val="single" w:color="C4D8EC" w:sz="4"/>
            </w:tcBorders>
            <w:shd w:fill="F5F7FA" w:val="clear"/>
            <w:tcMar>
              <w:top w:type="dxa" w:w="80"/>
              <w:left w:type="dxa" w:w="160"/>
              <w:bottom w:type="dxa" w:w="80"/>
              <w:right w:type="dxa" w:w="160"/>
            </w:tcMar>
          </w:tcPr>
          <w:p>
            <w:pPr>
              <w:jc w:val="both"/>
            </w:pPr>
            <w:r>
              <w:rPr>
                <w:rFonts w:ascii="Arial" w:cs="Arial" w:eastAsia="Arial" w:hAnsi="Arial"/>
                <w:b/>
                <w:bCs/>
                <w:color w:val="2C2C2C"/>
                <w:sz w:val="19"/>
                <w:szCs w:val="19"/>
              </w:rPr>
              <w:t xml:space="preserve">Incitatif (9.9)</w:t>
            </w:r>
          </w:p>
        </w:tc>
        <w:tc>
          <w:tcPr>
            <w:tcW w:type="dxa" w:w="2200"/>
            <w:tcBorders>
              <w:top w:val="single" w:color="C4D8EC" w:sz="4"/>
              <w:left w:val="single" w:color="C4D8EC" w:sz="4"/>
              <w:bottom w:val="single" w:color="C4D8EC" w:sz="4"/>
              <w:right w:val="single" w:color="C4D8EC" w:sz="4"/>
            </w:tcBorders>
            <w:shd w:fill="F5F7FA" w:val="clear"/>
            <w:tcMar>
              <w:top w:type="dxa" w:w="80"/>
              <w:left w:type="dxa" w:w="160"/>
              <w:bottom w:type="dxa" w:w="80"/>
              <w:right w:type="dxa" w:w="160"/>
            </w:tcMar>
          </w:tcPr>
          <w:p>
            <w:pPr>
              <w:jc w:val="both"/>
            </w:pPr>
            <w:r>
              <w:rPr>
                <w:rFonts w:ascii="Arial" w:cs="Arial" w:eastAsia="Arial" w:hAnsi="Arial"/>
                <w:b w:val="false"/>
                <w:bCs w:val="false"/>
                <w:color w:val="2C2C2C"/>
                <w:sz w:val="19"/>
                <w:szCs w:val="19"/>
              </w:rPr>
              <w:t xml:space="preserve">Forte / matière — Forte / apprenant</w:t>
            </w:r>
          </w:p>
        </w:tc>
        <w:tc>
          <w:tcPr>
            <w:tcW w:type="dxa" w:w="2426"/>
            <w:tcBorders>
              <w:top w:val="single" w:color="C4D8EC" w:sz="4"/>
              <w:left w:val="single" w:color="C4D8EC" w:sz="4"/>
              <w:bottom w:val="single" w:color="C4D8EC" w:sz="4"/>
              <w:right w:val="single" w:color="C4D8EC" w:sz="4"/>
            </w:tcBorders>
            <w:shd w:fill="F5F7FA" w:val="clear"/>
            <w:tcMar>
              <w:top w:type="dxa" w:w="80"/>
              <w:left w:type="dxa" w:w="160"/>
              <w:bottom w:type="dxa" w:w="80"/>
              <w:right w:type="dxa" w:w="160"/>
            </w:tcMar>
          </w:tcPr>
          <w:p>
            <w:pPr>
              <w:jc w:val="both"/>
            </w:pPr>
            <w:r>
              <w:rPr>
                <w:rFonts w:ascii="Arial" w:cs="Arial" w:eastAsia="Arial" w:hAnsi="Arial"/>
                <w:b w:val="false"/>
                <w:bCs w:val="false"/>
                <w:color w:val="2C2C2C"/>
                <w:sz w:val="19"/>
                <w:szCs w:val="19"/>
              </w:rPr>
              <w:t xml:space="preserve">Animateur, questionneur actif</w:t>
            </w:r>
          </w:p>
        </w:tc>
        <w:tc>
          <w:tcPr>
            <w:tcW w:type="dxa" w:w="2700"/>
            <w:tcBorders>
              <w:top w:val="single" w:color="C4D8EC" w:sz="4"/>
              <w:left w:val="single" w:color="C4D8EC" w:sz="4"/>
              <w:bottom w:val="single" w:color="C4D8EC" w:sz="4"/>
              <w:right w:val="single" w:color="C4D8EC" w:sz="4"/>
            </w:tcBorders>
            <w:shd w:fill="F5F7FA" w:val="clear"/>
            <w:tcMar>
              <w:top w:type="dxa" w:w="80"/>
              <w:left w:type="dxa" w:w="160"/>
              <w:bottom w:type="dxa" w:w="80"/>
              <w:right w:type="dxa" w:w="160"/>
            </w:tcMar>
          </w:tcPr>
          <w:p>
            <w:pPr>
              <w:jc w:val="both"/>
            </w:pPr>
            <w:r>
              <w:rPr>
                <w:rFonts w:ascii="Arial" w:cs="Arial" w:eastAsia="Arial" w:hAnsi="Arial"/>
                <w:b w:val="false"/>
                <w:bCs w:val="false"/>
                <w:color w:val="2C2C2C"/>
                <w:sz w:val="19"/>
                <w:szCs w:val="19"/>
              </w:rPr>
              <w:t xml:space="preserve">Majorité des séances : cours dialogué, TP guidé, correction</w:t>
            </w:r>
          </w:p>
        </w:tc>
      </w:tr>
      <w:tr>
        <w:tc>
          <w:tcPr>
            <w:tcW w:type="dxa" w:w="1700"/>
            <w:tcBorders>
              <w:top w:val="single" w:color="C4D8EC" w:sz="4"/>
              <w:left w:val="single" w:color="C4D8EC" w:sz="4"/>
              <w:bottom w:val="single" w:color="C4D8EC" w:sz="4"/>
              <w:right w:val="single" w:color="C4D8EC" w:sz="4"/>
            </w:tcBorders>
            <w:shd w:fill="FFFFFF" w:val="clear"/>
            <w:tcMar>
              <w:top w:type="dxa" w:w="80"/>
              <w:left w:type="dxa" w:w="160"/>
              <w:bottom w:type="dxa" w:w="80"/>
              <w:right w:type="dxa" w:w="160"/>
            </w:tcMar>
          </w:tcPr>
          <w:p>
            <w:pPr>
              <w:jc w:val="both"/>
            </w:pPr>
            <w:r>
              <w:rPr>
                <w:rFonts w:ascii="Arial" w:cs="Arial" w:eastAsia="Arial" w:hAnsi="Arial"/>
                <w:b/>
                <w:bCs/>
                <w:color w:val="2C2C2C"/>
                <w:sz w:val="19"/>
                <w:szCs w:val="19"/>
              </w:rPr>
              <w:t xml:space="preserve">Associatif (1.9)</w:t>
            </w:r>
          </w:p>
        </w:tc>
        <w:tc>
          <w:tcPr>
            <w:tcW w:type="dxa" w:w="2200"/>
            <w:tcBorders>
              <w:top w:val="single" w:color="C4D8EC" w:sz="4"/>
              <w:left w:val="single" w:color="C4D8EC" w:sz="4"/>
              <w:bottom w:val="single" w:color="C4D8EC" w:sz="4"/>
              <w:right w:val="single" w:color="C4D8EC" w:sz="4"/>
            </w:tcBorders>
            <w:shd w:fill="FFFFFF" w:val="clear"/>
            <w:tcMar>
              <w:top w:type="dxa" w:w="80"/>
              <w:left w:type="dxa" w:w="160"/>
              <w:bottom w:type="dxa" w:w="80"/>
              <w:right w:type="dxa" w:w="160"/>
            </w:tcMar>
          </w:tcPr>
          <w:p>
            <w:pPr>
              <w:jc w:val="both"/>
            </w:pPr>
            <w:r>
              <w:rPr>
                <w:rFonts w:ascii="Arial" w:cs="Arial" w:eastAsia="Arial" w:hAnsi="Arial"/>
                <w:b w:val="false"/>
                <w:bCs w:val="false"/>
                <w:color w:val="2C2C2C"/>
                <w:sz w:val="19"/>
                <w:szCs w:val="19"/>
              </w:rPr>
              <w:t xml:space="preserve">Faible / matière — Forte / apprenant</w:t>
            </w:r>
          </w:p>
        </w:tc>
        <w:tc>
          <w:tcPr>
            <w:tcW w:type="dxa" w:w="2426"/>
            <w:tcBorders>
              <w:top w:val="single" w:color="C4D8EC" w:sz="4"/>
              <w:left w:val="single" w:color="C4D8EC" w:sz="4"/>
              <w:bottom w:val="single" w:color="C4D8EC" w:sz="4"/>
              <w:right w:val="single" w:color="C4D8EC" w:sz="4"/>
            </w:tcBorders>
            <w:shd w:fill="FFFFFF" w:val="clear"/>
            <w:tcMar>
              <w:top w:type="dxa" w:w="80"/>
              <w:left w:type="dxa" w:w="160"/>
              <w:bottom w:type="dxa" w:w="80"/>
              <w:right w:type="dxa" w:w="160"/>
            </w:tcMar>
          </w:tcPr>
          <w:p>
            <w:pPr>
              <w:jc w:val="both"/>
            </w:pPr>
            <w:r>
              <w:rPr>
                <w:rFonts w:ascii="Arial" w:cs="Arial" w:eastAsia="Arial" w:hAnsi="Arial"/>
                <w:b w:val="false"/>
                <w:bCs w:val="false"/>
                <w:color w:val="2C2C2C"/>
                <w:sz w:val="19"/>
                <w:szCs w:val="19"/>
              </w:rPr>
              <w:t xml:space="preserve">Accompagnateur, ressource disponible</w:t>
            </w:r>
          </w:p>
        </w:tc>
        <w:tc>
          <w:tcPr>
            <w:tcW w:type="dxa" w:w="2700"/>
            <w:tcBorders>
              <w:top w:val="single" w:color="C4D8EC" w:sz="4"/>
              <w:left w:val="single" w:color="C4D8EC" w:sz="4"/>
              <w:bottom w:val="single" w:color="C4D8EC" w:sz="4"/>
              <w:right w:val="single" w:color="C4D8EC" w:sz="4"/>
            </w:tcBorders>
            <w:shd w:fill="FFFFFF" w:val="clear"/>
            <w:tcMar>
              <w:top w:type="dxa" w:w="80"/>
              <w:left w:type="dxa" w:w="160"/>
              <w:bottom w:type="dxa" w:w="80"/>
              <w:right w:type="dxa" w:w="160"/>
            </w:tcMar>
          </w:tcPr>
          <w:p>
            <w:pPr>
              <w:jc w:val="both"/>
            </w:pPr>
            <w:r>
              <w:rPr>
                <w:rFonts w:ascii="Arial" w:cs="Arial" w:eastAsia="Arial" w:hAnsi="Arial"/>
                <w:b w:val="false"/>
                <w:bCs w:val="false"/>
                <w:color w:val="2C2C2C"/>
                <w:sz w:val="19"/>
                <w:szCs w:val="19"/>
              </w:rPr>
              <w:t xml:space="preserve">Travaux collaboratifs, projets longs, co-construction</w:t>
            </w:r>
          </w:p>
        </w:tc>
      </w:tr>
      <w:tr>
        <w:tc>
          <w:tcPr>
            <w:tcW w:type="dxa" w:w="1700"/>
            <w:tcBorders>
              <w:top w:val="single" w:color="C4D8EC" w:sz="4"/>
              <w:left w:val="single" w:color="C4D8EC" w:sz="4"/>
              <w:bottom w:val="single" w:color="C4D8EC" w:sz="4"/>
              <w:right w:val="single" w:color="C4D8EC" w:sz="4"/>
            </w:tcBorders>
            <w:shd w:fill="F5F7FA" w:val="clear"/>
            <w:tcMar>
              <w:top w:type="dxa" w:w="80"/>
              <w:left w:type="dxa" w:w="160"/>
              <w:bottom w:type="dxa" w:w="80"/>
              <w:right w:type="dxa" w:w="160"/>
            </w:tcMar>
          </w:tcPr>
          <w:p>
            <w:pPr>
              <w:jc w:val="both"/>
            </w:pPr>
            <w:r>
              <w:rPr>
                <w:rFonts w:ascii="Arial" w:cs="Arial" w:eastAsia="Arial" w:hAnsi="Arial"/>
                <w:b/>
                <w:bCs/>
                <w:color w:val="2C2C2C"/>
                <w:sz w:val="19"/>
                <w:szCs w:val="19"/>
              </w:rPr>
              <w:t xml:space="preserve">Permissif (1.1)</w:t>
            </w:r>
          </w:p>
        </w:tc>
        <w:tc>
          <w:tcPr>
            <w:tcW w:type="dxa" w:w="2200"/>
            <w:tcBorders>
              <w:top w:val="single" w:color="C4D8EC" w:sz="4"/>
              <w:left w:val="single" w:color="C4D8EC" w:sz="4"/>
              <w:bottom w:val="single" w:color="C4D8EC" w:sz="4"/>
              <w:right w:val="single" w:color="C4D8EC" w:sz="4"/>
            </w:tcBorders>
            <w:shd w:fill="F5F7FA" w:val="clear"/>
            <w:tcMar>
              <w:top w:type="dxa" w:w="80"/>
              <w:left w:type="dxa" w:w="160"/>
              <w:bottom w:type="dxa" w:w="80"/>
              <w:right w:type="dxa" w:w="160"/>
            </w:tcMar>
          </w:tcPr>
          <w:p>
            <w:pPr>
              <w:jc w:val="both"/>
            </w:pPr>
            <w:r>
              <w:rPr>
                <w:rFonts w:ascii="Arial" w:cs="Arial" w:eastAsia="Arial" w:hAnsi="Arial"/>
                <w:b w:val="false"/>
                <w:bCs w:val="false"/>
                <w:color w:val="2C2C2C"/>
                <w:sz w:val="19"/>
                <w:szCs w:val="19"/>
              </w:rPr>
              <w:t xml:space="preserve">Faible / matière — Faible / apprenant</w:t>
            </w:r>
          </w:p>
        </w:tc>
        <w:tc>
          <w:tcPr>
            <w:tcW w:type="dxa" w:w="2426"/>
            <w:tcBorders>
              <w:top w:val="single" w:color="C4D8EC" w:sz="4"/>
              <w:left w:val="single" w:color="C4D8EC" w:sz="4"/>
              <w:bottom w:val="single" w:color="C4D8EC" w:sz="4"/>
              <w:right w:val="single" w:color="C4D8EC" w:sz="4"/>
            </w:tcBorders>
            <w:shd w:fill="F5F7FA" w:val="clear"/>
            <w:tcMar>
              <w:top w:type="dxa" w:w="80"/>
              <w:left w:type="dxa" w:w="160"/>
              <w:bottom w:type="dxa" w:w="80"/>
              <w:right w:type="dxa" w:w="160"/>
            </w:tcMar>
          </w:tcPr>
          <w:p>
            <w:pPr>
              <w:jc w:val="both"/>
            </w:pPr>
            <w:r>
              <w:rPr>
                <w:rFonts w:ascii="Arial" w:cs="Arial" w:eastAsia="Arial" w:hAnsi="Arial"/>
                <w:b w:val="false"/>
                <w:bCs w:val="false"/>
                <w:color w:val="2C2C2C"/>
                <w:sz w:val="19"/>
                <w:szCs w:val="19"/>
              </w:rPr>
              <w:t xml:space="preserve">Observateur, répondeur sur demande</w:t>
            </w:r>
          </w:p>
        </w:tc>
        <w:tc>
          <w:tcPr>
            <w:tcW w:type="dxa" w:w="2700"/>
            <w:tcBorders>
              <w:top w:val="single" w:color="C4D8EC" w:sz="4"/>
              <w:left w:val="single" w:color="C4D8EC" w:sz="4"/>
              <w:bottom w:val="single" w:color="C4D8EC" w:sz="4"/>
              <w:right w:val="single" w:color="C4D8EC" w:sz="4"/>
            </w:tcBorders>
            <w:shd w:fill="F5F7FA" w:val="clear"/>
            <w:tcMar>
              <w:top w:type="dxa" w:w="80"/>
              <w:left w:type="dxa" w:w="160"/>
              <w:bottom w:type="dxa" w:w="80"/>
              <w:right w:type="dxa" w:w="160"/>
            </w:tcMar>
          </w:tcPr>
          <w:p>
            <w:pPr>
              <w:jc w:val="both"/>
            </w:pPr>
            <w:r>
              <w:rPr>
                <w:rFonts w:ascii="Arial" w:cs="Arial" w:eastAsia="Arial" w:hAnsi="Arial"/>
                <w:b w:val="false"/>
                <w:bCs w:val="false"/>
                <w:color w:val="2C2C2C"/>
                <w:sz w:val="19"/>
                <w:szCs w:val="19"/>
              </w:rPr>
              <w:t xml:space="preserve">Classe inversée, recherche autonome guidée, projet libre</w:t>
            </w:r>
          </w:p>
        </w:tc>
      </w:tr>
    </w:tbl>
    <w:p>
      <w:pPr>
        <w:spacing w:after="200" w:before="60"/>
        <w:jc w:val="center"/>
      </w:pPr>
      <w:r>
        <w:rPr>
          <w:rFonts w:ascii="Georgia" w:cs="Georgia" w:eastAsia="Georgia" w:hAnsi="Georgia"/>
          <w:i/>
          <w:iCs/>
          <w:color w:val="888888"/>
          <w:sz w:val="18"/>
          <w:szCs w:val="18"/>
        </w:rPr>
        <w:t xml:space="preserve">Tableau III : Les quatre styles d'enseignement selon Therer &amp; Willemart — analyse des contextes d'efficacité</w:t>
      </w:r>
    </w:p>
    <w:p>
      <w:pPr>
        <w:spacing w:after="160" w:before="100" w:line="360"/>
        <w:ind w:firstLine="360"/>
        <w:jc w:val="both"/>
      </w:pPr>
      <w:r>
        <w:rPr>
          <w:rFonts w:ascii="Georgia" w:cs="Georgia" w:eastAsia="Georgia" w:hAnsi="Georgia"/>
          <w:b w:val="false"/>
          <w:bCs w:val="false"/>
          <w:i w:val="false"/>
          <w:iCs w:val="false"/>
          <w:color w:val="2C2C2C"/>
          <w:sz w:val="22"/>
          <w:szCs w:val="22"/>
        </w:rPr>
        <w:t xml:space="preserve">Ce que le tableau ne dit pas — et qui est pourtant l'essentiel — c'est la nécessité de changer de style au sein d'une même séance. Lorsqu'un élève découvre pour la première fois la notion de variable en Python, un style transmissif bien dosé — quelques minutes d'exposé structuré au vidéoprojecteur — est irremplaçable pour poser un cadre conceptuel solide. Dès que les élèves ouvrent leur environnement de développement, l'enseignant doit basculer vers un style associatif ou incitatif : circuler, questionner, étayer sans faire à la place. C'est cette agilité stylistique qui distingue l'enseignant expert du débutant qui s'accroche à une seule posture, quelle qu'elle soit. Nonobstant ces ambitions d'agilité, le style permissif — magnifique en théorie dans le cadre d'une classe inversée — suppose que les élèves disposent d'un accès numérique à domicile et des compétences d'autodirection nécessaires. Ce n'est pas toujours le cas, et le réalisme contextuel doit tempérer l'enthousiasme didactique.</w:t>
      </w:r>
    </w:p>
    <w:p>
      <w:pPr>
        <w:pStyle w:val="Heading2"/>
        <w:spacing w:after="140" w:before="320"/>
      </w:pPr>
      <w:r>
        <w:rPr>
          <w:rFonts w:ascii="Georgia" w:cs="Georgia" w:eastAsia="Georgia" w:hAnsi="Georgia"/>
          <w:b/>
          <w:bCs/>
          <w:color w:val="2E75B6"/>
          <w:sz w:val="24"/>
          <w:szCs w:val="24"/>
        </w:rPr>
        <w:t xml:space="preserve">3.2 Prendre au sérieux la diversité cognitive — les styles d'apprentissage</w:t>
      </w:r>
    </w:p>
    <w:p>
      <w:pPr>
        <w:spacing w:after="160" w:before="100" w:line="360"/>
        <w:ind w:firstLine="360"/>
        <w:jc w:val="both"/>
      </w:pPr>
      <w:r>
        <w:rPr>
          <w:rFonts w:ascii="Georgia" w:cs="Georgia" w:eastAsia="Georgia" w:hAnsi="Georgia"/>
          <w:b w:val="false"/>
          <w:bCs w:val="false"/>
          <w:i w:val="false"/>
          <w:iCs w:val="false"/>
          <w:color w:val="2C2C2C"/>
          <w:sz w:val="22"/>
          <w:szCs w:val="22"/>
        </w:rPr>
        <w:t xml:space="preserve">Le modèle VARK de Fleming (2001) distingue quatre profils d'apprenants selon leur modalité préférentielle de traitement de l'information : visuels, auditifs, lecteurs-scripteurs et kinesthésiques. Dans les salles informatiques marocaines que j'ai observées, les profils kinesthésiques sont souvent majoritaires — ce qui explique que les élèves s'activent plus facilement en TP qu'en cours théorique. Mais ce serait une erreur d'organiser l'intégralité des séances autour de cette seule dominante. Ce serait en réalité un appauvrissement cognitif masqué sous des allures de différenciation.</w:t>
      </w:r>
    </w:p>
    <w:p>
      <w:pPr>
        <w:spacing w:after="160" w:before="100" w:line="360"/>
        <w:ind w:firstLine="360"/>
        <w:jc w:val="both"/>
      </w:pPr>
      <w:r>
        <w:rPr>
          <w:rFonts w:ascii="Georgia" w:cs="Georgia" w:eastAsia="Georgia" w:hAnsi="Georgia"/>
          <w:b w:val="false"/>
          <w:bCs w:val="false"/>
          <w:i w:val="false"/>
          <w:iCs w:val="false"/>
          <w:color w:val="2C2C2C"/>
          <w:sz w:val="22"/>
          <w:szCs w:val="22"/>
        </w:rPr>
        <w:t xml:space="preserve">Les apprenants visuels bénéficieront d'organigrammes d'algorithmes, de diagrammes et de visualisations animées du flux d'exécution d'un programme. Les profils auditifs retiendront mieux les explications reformulées à voix haute, les échanges dialogués qui leur permettent de « s'entendre penser ». Les lecteurs-scripteurs apprécieront une documentation bien structurée, des définitions précises et la possibilité de rédiger un compte-rendu de TP. Quant aux kinesthésiques, leur besoin de manipulation directe doit être satisfait, mais sans leur dénier l'accès aux autres modalités. Le piège serait de traiter ces profils comme des étiquettes définitives ; il convient de les considérer comme des tendances qui invitent l'enseignant à diversifier systématiquement ses approches. La diversification des supports n'est pas un luxe pédagogique — c'est une exigence d'équité.</w:t>
      </w:r>
    </w:p>
    <w:p>
      <w:pPr>
        <w:pStyle w:val="Heading2"/>
        <w:spacing w:after="140" w:before="320"/>
      </w:pPr>
      <w:r>
        <w:rPr>
          <w:rFonts w:ascii="Georgia" w:cs="Georgia" w:eastAsia="Georgia" w:hAnsi="Georgia"/>
          <w:b/>
          <w:bCs/>
          <w:color w:val="2E75B6"/>
          <w:sz w:val="24"/>
          <w:szCs w:val="24"/>
        </w:rPr>
        <w:t xml:space="preserve">3.3 Choisir la méthode juste : ni dogme, ni improvisation</w:t>
      </w:r>
    </w:p>
    <w:p>
      <w:pPr>
        <w:spacing w:after="160" w:before="100" w:line="360"/>
        <w:ind w:firstLine="360"/>
        <w:jc w:val="both"/>
      </w:pPr>
      <w:r>
        <w:rPr>
          <w:rFonts w:ascii="Georgia" w:cs="Georgia" w:eastAsia="Georgia" w:hAnsi="Georgia"/>
          <w:b w:val="false"/>
          <w:bCs w:val="false"/>
          <w:i w:val="false"/>
          <w:iCs w:val="false"/>
          <w:color w:val="2C2C2C"/>
          <w:sz w:val="22"/>
          <w:szCs w:val="22"/>
        </w:rPr>
        <w:t xml:space="preserve">Les méthodes pédagogiques ne sont pas des recettes interchangeables. Chacune produit des effets spécifiques sur la nature des apprentissages construits, et leur choix doit être guidé par les objectifs visés et le profil du groupe. La méthode expositive — souvent décriée dans les discours pédagogiques contemporains — conserve une utilité réelle pour transmettre des contenus structurés et complexes, à condition d'être limitée dans le temps (rarement plus de quinze minutes continues) et systématiquement illustrée par des exemples concrets. La méthode démonstrative, quant à elle, est irremplaçable en informatique pour montrer une procédure ou un savoir-faire : elle suit une progression en trois phases — montrer, faire faire, faire dire — dont la troisième, la verbalisation par l'élève, est souvent omise par les débutants alors qu'elle est la plus consolidante de toutes.</w:t>
      </w:r>
    </w:p>
    <w:p>
      <w:pPr>
        <w:spacing w:after="160" w:before="100" w:line="360"/>
        <w:ind w:firstLine="360"/>
        <w:jc w:val="both"/>
      </w:pPr>
      <w:r>
        <w:rPr>
          <w:rFonts w:ascii="Georgia" w:cs="Georgia" w:eastAsia="Georgia" w:hAnsi="Georgia"/>
          <w:b w:val="false"/>
          <w:bCs w:val="false"/>
          <w:i w:val="false"/>
          <w:iCs w:val="false"/>
          <w:color w:val="2C2C2C"/>
          <w:sz w:val="22"/>
          <w:szCs w:val="22"/>
        </w:rPr>
        <w:t xml:space="preserve">Les méthodes actives — résolution de problèmes, découverte, projet, jeu — placent l'apprenant au centre d'un processus de construction. En programmation, présenter un code erroné et demander aux élèves d'identifier et de corriger le bug est bien plus formateur que de présenter un code correct à recopier. La méthode de projet, vecteur naturel des situations complexes décrites en Axe II, mobilise l'autonomie, la collaboration et l'engagement sur la durée. Il en résulte une nécessité, pour l'enseignant, de maîtriser l'art du cahier des charges : sans critères de réussite partagés dès le départ, le projet se transforme rapidement en une activité occupationnelle sans apprentissage réel. Enfin, la classe inversée reconfigure en profondeur la temporalité de l'enseignement, déléguant la transmission des savoirs de base à des ressources numériques consultées hors classe et consacrant le temps en présence à l'étayage et à la co-construction des compétences. Son potentiel est immense ; ses conditions de réussite sont exigeantes, et le réalisme marocain y impose ses propres nuances.</w:t>
      </w:r>
    </w:p>
    <w:p>
      <w:r>
        <w:br w:type="page"/>
      </w:r>
    </w:p>
    <w:p>
      <w:pPr>
        <w:pStyle w:val="Heading1"/>
        <w:pBdr>
          <w:bottom w:val="single" w:color="2E75B6" w:sz="10" w:space="6"/>
        </w:pBdr>
        <w:spacing w:after="180" w:before="400"/>
      </w:pPr>
      <w:r>
        <w:rPr>
          <w:rFonts w:ascii="Georgia" w:cs="Georgia" w:eastAsia="Georgia" w:hAnsi="Georgia"/>
          <w:b/>
          <w:bCs/>
          <w:color w:val="1F3864"/>
          <w:sz w:val="30"/>
          <w:szCs w:val="30"/>
        </w:rPr>
        <w:t xml:space="preserve">Axe IV — La relation au cœur de l'apprentissage</w:t>
      </w:r>
    </w:p>
    <w:p>
      <w:pPr>
        <w:spacing w:after="80" w:before="0"/>
      </w:pPr>
    </w:p>
    <w:p>
      <w:pPr>
        <w:spacing w:after="160" w:before="100" w:line="360"/>
        <w:ind w:firstLine="360"/>
        <w:jc w:val="both"/>
      </w:pPr>
      <w:r>
        <w:rPr>
          <w:rFonts w:ascii="Georgia" w:cs="Georgia" w:eastAsia="Georgia" w:hAnsi="Georgia"/>
          <w:b w:val="false"/>
          <w:bCs w:val="false"/>
          <w:i w:val="false"/>
          <w:iCs w:val="false"/>
          <w:color w:val="2C2C2C"/>
          <w:sz w:val="22"/>
          <w:szCs w:val="22"/>
        </w:rPr>
        <w:t xml:space="preserve">Il serait illusoire de croire que la maîtrise des contenus disciplinaires et la préparation soigneuse des séances suffisent à garantir l'apprentissage. En tant que futur enseignant, j'ai progressivement pris conscience que la variable la plus décisive — et la plus difficile à maîtriser — est celle de la relation. La communication pédagogique et la motivation des apprenants sont les deux faces d'une même réalité : l'acte d'enseigner est fondamentalement un acte de communication, et c'est cette communication qui, bien ou mal conduite, allume ou éteint la flamme du désir d'apprendre.</w:t>
      </w:r>
    </w:p>
    <w:p>
      <w:pPr>
        <w:pStyle w:val="Heading2"/>
        <w:spacing w:after="140" w:before="320"/>
      </w:pPr>
      <w:r>
        <w:rPr>
          <w:rFonts w:ascii="Georgia" w:cs="Georgia" w:eastAsia="Georgia" w:hAnsi="Georgia"/>
          <w:b/>
          <w:bCs/>
          <w:color w:val="2E75B6"/>
          <w:sz w:val="24"/>
          <w:szCs w:val="24"/>
        </w:rPr>
        <w:t xml:space="preserve">4.1 Parler vrai, parler juste — les trois registres de la communication</w:t>
      </w:r>
    </w:p>
    <w:p>
      <w:pPr>
        <w:spacing w:after="160" w:before="100" w:line="360"/>
        <w:ind w:firstLine="360"/>
        <w:jc w:val="both"/>
      </w:pPr>
      <w:r>
        <w:rPr>
          <w:rFonts w:ascii="Georgia" w:cs="Georgia" w:eastAsia="Georgia" w:hAnsi="Georgia"/>
          <w:b w:val="false"/>
          <w:bCs w:val="false"/>
          <w:i w:val="false"/>
          <w:iCs w:val="false"/>
          <w:color w:val="2C2C2C"/>
          <w:sz w:val="22"/>
          <w:szCs w:val="22"/>
        </w:rPr>
        <w:t xml:space="preserve">La communication pédagogique ne se limite pas aux mots prononcés au tableau. Elle engage simultanément trois registres dont l'enseignant débutant ne prend pas toujours conscience. Le registre verbal est celui du vocabulaire choisi, de la formulation des questions, de la clarté des consignes. Dans un contexte de cours bilingue arabe-français comme en informatique au Maroc, la lisibilité linguistique est un enjeu particulier : un terme technique mal ancré dans les deux langues peut créer une confusion durable qui compromet toute la séquence d'apprentissage. Le registre paraverbal concerne le ton, le rythme, le volume et les pauses : une voix monocorde endort les élèves aussi sûrement qu'un cours mal structuré, tandis qu'une variation d'intonation bien placée peut relancer l'attention d'une classe entière en quelques secondes. Le registre non verbal, enfin, est celui des gestes, du regard et des déplacements dans l'espace.</w:t>
      </w:r>
    </w:p>
    <w:p>
      <w:pPr>
        <w:spacing w:after="160" w:before="100" w:line="360"/>
        <w:ind w:firstLine="360"/>
        <w:jc w:val="both"/>
      </w:pPr>
      <w:r>
        <w:rPr>
          <w:rFonts w:ascii="Georgia" w:cs="Georgia" w:eastAsia="Georgia" w:hAnsi="Georgia"/>
          <w:b w:val="false"/>
          <w:bCs w:val="false"/>
          <w:i w:val="false"/>
          <w:iCs w:val="false"/>
          <w:color w:val="2C2C2C"/>
          <w:sz w:val="22"/>
          <w:szCs w:val="22"/>
        </w:rPr>
        <w:t xml:space="preserve">Lors de mes premières séances d'observation, j'ai été frappé par le pouvoir du déplacement physique de l'enseignant. Un formateur qui reste rivé derrière son bureau crée, sans le vouloir, une distance symbolique avec les élèves des rangées du fond — distance qui devient très vite une distance cognitive. À l'inverse, un enseignant qui circule régulièrement entre les postes signale sa disponibilité, dissuade les comportements hors-tâche et collecte en temps réel des informations précieuses sur l'état d'avancement de la classe. Ceci postulé, le modèle classique de la communication prend dans la salle de classe une dimension particulièrement dynamique : le feedback y est permanent et multiforme. Les expressions des visages, les questions posées ou retenues, les silences éloquents, les erreurs commises sont autant de signaux que l'enseignant attentif apprend à décoder et à intégrer dans la régulation continue de sa séance.</w:t>
      </w:r>
    </w:p>
    <w:p>
      <w:pPr>
        <w:pStyle w:val="Heading2"/>
        <w:spacing w:after="140" w:before="320"/>
      </w:pPr>
      <w:r>
        <w:rPr>
          <w:rFonts w:ascii="Georgia" w:cs="Georgia" w:eastAsia="Georgia" w:hAnsi="Georgia"/>
          <w:b/>
          <w:bCs/>
          <w:color w:val="2E75B6"/>
          <w:sz w:val="24"/>
          <w:szCs w:val="24"/>
        </w:rPr>
        <w:t xml:space="preserve">4.2 Allumer le feu : les leviers de la motivation scolaire</w:t>
      </w:r>
    </w:p>
    <w:p>
      <w:pPr>
        <w:spacing w:after="160" w:before="100" w:line="360"/>
        <w:ind w:firstLine="360"/>
        <w:jc w:val="both"/>
      </w:pPr>
      <w:r>
        <w:rPr>
          <w:rFonts w:ascii="Georgia" w:cs="Georgia" w:eastAsia="Georgia" w:hAnsi="Georgia"/>
          <w:b w:val="false"/>
          <w:bCs w:val="false"/>
          <w:i w:val="false"/>
          <w:iCs w:val="false"/>
          <w:color w:val="2C2C2C"/>
          <w:sz w:val="22"/>
          <w:szCs w:val="22"/>
        </w:rPr>
        <w:t xml:space="preserve">La motivation pédagogique est l'ensemble des forces internes et externes qui poussent un apprenant à s'engager dans une activité d'apprentissage, à persévérer face aux obstacles et à atteindre un objectif. Elle constitue le moteur de l'apprentissage : sans elle, les meilleures méthodes et les meilleurs supports restent sans effet sur un élève dont la posture intérieure est celle du refus ou de l'indifférence. Viau (2009) distingue avec précision les composantes de ce que l'on appelle la dynamique motivationnelle — la perception de la valeur de l'activité, la perception de sa propre compétence à la réaliser, et la perception du contrôle qu'on exerce sur son déroulement. Cette trilogie est d'une utilité pratique remarquable : elle permet de diagnostiquer, avec une précision que l'intuition ne peut atteindre, pourquoi un élève décroche, et d'identifier le levier sur lequel agir en priorité.</w:t>
      </w:r>
    </w:p>
    <w:p>
      <w:pPr>
        <w:spacing w:after="160" w:before="100" w:line="360"/>
        <w:ind w:firstLine="360"/>
        <w:jc w:val="both"/>
      </w:pPr>
      <w:r>
        <w:rPr>
          <w:rFonts w:ascii="Georgia" w:cs="Georgia" w:eastAsia="Georgia" w:hAnsi="Georgia"/>
          <w:b w:val="false"/>
          <w:bCs w:val="false"/>
          <w:i w:val="false"/>
          <w:iCs w:val="false"/>
          <w:color w:val="2C2C2C"/>
          <w:sz w:val="22"/>
          <w:szCs w:val="22"/>
        </w:rPr>
        <w:t xml:space="preserve">La distinction classique entre motivation intrinsèque et motivation extrinsèque mérite d'être nuancée, surtout dans le contexte marocain. La motivation intrinsèque — apprendre par curiosité, par plaisir de comprendre, par intérêt pour le sujet — est certes la plus durable et la plus productive sur le plan cognitif. Mais la motivation extrinsèque — agir pour obtenir une note, éviter une punition, répondre aux attentes de l'entourage — n'est pas à négliger, surtout dans les premières phases d'engagement. L'art de l'enseignant est précisément d'utiliser les leviers extrinsèques disponibles pour créer les conditions dans lesquelles une motivation intrinsèque peut progressivement s'installer, comme une plante que l'on arrose jusqu'à ce qu'elle prenne racine d'elle-même.</w:t>
      </w:r>
    </w:p>
    <w:p>
      <w:pPr>
        <w:spacing w:after="160" w:before="100" w:line="360"/>
        <w:ind w:firstLine="360"/>
        <w:jc w:val="both"/>
      </w:pPr>
      <w:r>
        <w:rPr>
          <w:rFonts w:ascii="Georgia" w:cs="Georgia" w:eastAsia="Georgia" w:hAnsi="Georgia"/>
          <w:b w:val="false"/>
          <w:bCs w:val="false"/>
          <w:i w:val="false"/>
          <w:iCs w:val="false"/>
          <w:color w:val="2C2C2C"/>
          <w:sz w:val="22"/>
          <w:szCs w:val="22"/>
        </w:rPr>
        <w:t xml:space="preserve">Dans ma future pratique, trois leviers me semblent particulièrement déterminants. Le premier est le sens donné aux apprentissages : relier explicitement une notion algorithmique à une application concrète que les élèves utilisent chaque jour — une application mobile, un jeu vidéo, un algorithme de recommandation — transforme radicalement leur perception de la pertinence de ce qu'ils apprennent. Le deuxième est le sentiment de compétence : proposer des tâches graduées où chaque élève peut vivre une expérience de réussite, même partielle et modeste, est un investissement à long terme dans la motivation dont les effets s'accumulent séance après séance. Le troisième est la qualité du feedback : un retour constructif, précis et bienveillant sur une production d'élève vaut infiniment plus qu'une note sans commentaire, qui dit ce que l'élève n'a pas su faire sans lui indiquer comment progresser.</w:t>
      </w:r>
    </w:p>
    <w:p>
      <w:r>
        <w:br w:type="page"/>
      </w:r>
    </w:p>
    <w:p>
      <w:pPr>
        <w:pStyle w:val="Heading1"/>
        <w:pBdr>
          <w:bottom w:val="single" w:color="2E75B6" w:sz="10" w:space="6"/>
        </w:pBdr>
        <w:spacing w:after="180" w:before="400"/>
      </w:pPr>
      <w:r>
        <w:rPr>
          <w:rFonts w:ascii="Georgia" w:cs="Georgia" w:eastAsia="Georgia" w:hAnsi="Georgia"/>
          <w:b/>
          <w:bCs/>
          <w:color w:val="1F3864"/>
          <w:sz w:val="30"/>
          <w:szCs w:val="30"/>
        </w:rPr>
        <w:t xml:space="preserve">Conclusion — Profession de foi d'un enseignant en devenir</w:t>
      </w:r>
    </w:p>
    <w:p>
      <w:pPr>
        <w:spacing w:after="80" w:before="0"/>
      </w:pPr>
    </w:p>
    <w:p>
      <w:pPr>
        <w:spacing w:after="160" w:before="100" w:line="360"/>
        <w:ind w:firstLine="360"/>
        <w:jc w:val="both"/>
      </w:pPr>
      <w:r>
        <w:rPr>
          <w:rFonts w:ascii="Georgia" w:cs="Georgia" w:eastAsia="Georgia" w:hAnsi="Georgia"/>
          <w:b w:val="false"/>
          <w:bCs w:val="false"/>
          <w:i w:val="false"/>
          <w:iCs w:val="false"/>
          <w:color w:val="2C2C2C"/>
          <w:sz w:val="22"/>
          <w:szCs w:val="22"/>
        </w:rPr>
        <w:t xml:space="preserve">Au terme de ce parcours réflexif, je mesure à quel point la gestion pédagogique est une compétence protéiforme, dynamique et profondément humaine. Elle n'est pas une technique que l'on acquiert une fois pour toutes lors d'une formation initiale, que l'on range dans une boîte à outils et que l'on sort mécaniquement selon les circonstances. Elle est une pratique vivante, qui se nourrit de chaque séance, de chaque erreur, de chaque regard d'élève qui s'allume devant un écran lorsque son programme compile enfin sans erreur — ce moment-là, infime et sublime, qui justifie à lui seul d'avoir choisi ce métier.</w:t>
      </w:r>
    </w:p>
    <w:p>
      <w:pPr>
        <w:spacing w:after="160" w:before="100" w:line="360"/>
        <w:ind w:firstLine="360"/>
        <w:jc w:val="both"/>
      </w:pPr>
      <w:r>
        <w:rPr>
          <w:rFonts w:ascii="Georgia" w:cs="Georgia" w:eastAsia="Georgia" w:hAnsi="Georgia"/>
          <w:b w:val="false"/>
          <w:bCs w:val="false"/>
          <w:i w:val="false"/>
          <w:iCs w:val="false"/>
          <w:color w:val="2C2C2C"/>
          <w:sz w:val="22"/>
          <w:szCs w:val="22"/>
        </w:rPr>
        <w:t xml:space="preserve">Ce module m'a conduit à dépasser une vision instrumentale de l'enseignement — celle qui réduit le métier à la transmission efficace d'un contenu vers un récepteur passif — pour embrasser une vision plus exigeante et, je l'avoue, plus belle : celle de l'enseignant comme architecte de situations, chef d'orchestre qui coordonne le temps, l'espace, les apprenants et la partition disciplinaire pour créer une harmonie pédagogique au service du développement de chaque élève. Cette vision n'est pas une métaphore commode ; c'est un programme d'action.</w:t>
      </w:r>
    </w:p>
    <w:p>
      <w:pPr>
        <w:spacing w:after="160" w:before="100" w:line="360"/>
        <w:ind w:firstLine="360"/>
        <w:jc w:val="both"/>
      </w:pPr>
      <w:r>
        <w:rPr>
          <w:rFonts w:ascii="Georgia" w:cs="Georgia" w:eastAsia="Georgia" w:hAnsi="Georgia"/>
          <w:b w:val="false"/>
          <w:bCs w:val="false"/>
          <w:i w:val="false"/>
          <w:iCs w:val="false"/>
          <w:color w:val="2C2C2C"/>
          <w:sz w:val="22"/>
          <w:szCs w:val="22"/>
        </w:rPr>
        <w:t xml:space="preserve">Je suis entré en formation avec la conviction que ma maîtrise de l'informatique suffirait à faire de moi un bon enseignant. J'en sors avec la certitude exactement inverse. C'est ma capacité à écouter une classe, à lire ses silences, à adapter ma posture en temps réel, à donner du sens à chaque activité et à croire sincèrement — obstinément — au potentiel de chaque apprenant qui déterminera la qualité de mon enseignement. La discipline n'est qu'un prétexte, le plus beau qui soit, pour ce travail de formation des personnes.</w:t>
      </w:r>
    </w:p>
    <w:p>
      <w:pPr>
        <w:spacing w:after="160" w:before="100" w:line="360"/>
        <w:ind w:firstLine="360"/>
        <w:jc w:val="both"/>
      </w:pPr>
      <w:r>
        <w:rPr>
          <w:rFonts w:ascii="Georgia" w:cs="Georgia" w:eastAsia="Georgia" w:hAnsi="Georgia"/>
          <w:b w:val="false"/>
          <w:bCs w:val="false"/>
          <w:i w:val="false"/>
          <w:iCs w:val="false"/>
          <w:color w:val="2C2C2C"/>
          <w:sz w:val="22"/>
          <w:szCs w:val="22"/>
        </w:rPr>
        <w:t xml:space="preserve">Dans le contexte de la réforme éducative marocaine portée par la Vision Stratégique 2015-2030, l'enseignant d'informatique occupe une position stratégique que je ne suis pas prêt à sous-estimer. Former des citoyens numériquement compétents — capables non seulement d'utiliser les outils technologiques, mais de les comprendre, de les questionner et d'en évaluer critiquement les usages — est une responsabilité civique autant que pédagogique. Cette responsabilité m'engage. Je veux contribuer, modestement mais avec conviction, à construire en classe les fondations d'une génération capable de prendre en main sa propre transformation numérique, et non de la subir.</w:t>
      </w:r>
    </w:p>
    <w:p>
      <w:pPr>
        <w:spacing w:after="160" w:before="100" w:line="360"/>
        <w:ind w:firstLine="360"/>
        <w:jc w:val="both"/>
      </w:pPr>
      <w:r>
        <w:rPr>
          <w:rFonts w:ascii="Georgia" w:cs="Georgia" w:eastAsia="Georgia" w:hAnsi="Georgia"/>
          <w:b w:val="false"/>
          <w:bCs w:val="false"/>
          <w:i w:val="false"/>
          <w:iCs w:val="false"/>
          <w:color w:val="2C2C2C"/>
          <w:sz w:val="22"/>
          <w:szCs w:val="22"/>
        </w:rPr>
        <w:t xml:space="preserve">Je sais que le chemin sera long. Les salles seront parfois en panne, les programmes trop chargés, les classes trop hétérogènes, les élèves parfois découragés par des réalités qui dépassent l'enceinte scolaire. Mais c'est précisément dans ces contraintes que réside la noblesse du métier : transformer les obstacles en ressources pédagogiques, faire de chaque imperfection du réel un point de départ vers quelque chose de plus grand. Je crois, profondément, que l'école marocaine mérite des enseignants qui lui apportent leur meilleur — non leur résignation.</w:t>
      </w:r>
    </w:p>
    <w:p>
      <w:pPr>
        <w:spacing w:after="160" w:before="0"/>
      </w:pPr>
    </w:p>
    <w:p>
      <w:pPr>
        <w:pBdr>
          <w:left w:val="thick" w:color="2E75B6" w:sz="14" w:space="10"/>
        </w:pBdr>
        <w:spacing w:after="140" w:before="140" w:line="340"/>
        <w:ind w:left="720" w:right="360"/>
        <w:jc w:val="both"/>
      </w:pPr>
      <w:r>
        <w:rPr>
          <w:rFonts w:ascii="Georgia" w:cs="Georgia" w:eastAsia="Georgia" w:hAnsi="Georgia"/>
          <w:i/>
          <w:iCs/>
          <w:color w:val="3B4C5A"/>
          <w:sz w:val="21"/>
          <w:szCs w:val="21"/>
        </w:rPr>
        <w:t xml:space="preserve">« L'enseignant efficace est celui qui sait créer les conditions dans lesquelles chaque élève peut apprendre. »</w:t>
      </w:r>
    </w:p>
    <w:p>
      <w:pPr>
        <w:spacing w:after="80" w:before="0"/>
      </w:pPr>
    </w:p>
    <w:p>
      <w:pPr>
        <w:spacing w:after="160" w:before="100" w:line="360"/>
        <w:ind/>
        <w:jc w:val="both"/>
      </w:pPr>
      <w:r>
        <w:rPr>
          <w:rFonts w:ascii="Georgia" w:cs="Georgia" w:eastAsia="Georgia" w:hAnsi="Georgia"/>
          <w:b w:val="false"/>
          <w:bCs w:val="false"/>
          <w:i w:val="false"/>
          <w:iCs w:val="false"/>
          <w:color w:val="2C2C2C"/>
          <w:sz w:val="22"/>
          <w:szCs w:val="22"/>
        </w:rPr>
        <w:t xml:space="preserve">C'est à cet idéal que je m'engage.</w:t>
      </w:r>
    </w:p>
    <w:p>
      <w:r>
        <w:br w:type="page"/>
      </w:r>
    </w:p>
    <w:p>
      <w:pPr>
        <w:pStyle w:val="Heading1"/>
        <w:pBdr>
          <w:bottom w:val="single" w:color="2E75B6" w:sz="10" w:space="6"/>
        </w:pBdr>
        <w:spacing w:after="180" w:before="400"/>
      </w:pPr>
      <w:r>
        <w:rPr>
          <w:rFonts w:ascii="Georgia" w:cs="Georgia" w:eastAsia="Georgia" w:hAnsi="Georgia"/>
          <w:b/>
          <w:bCs/>
          <w:color w:val="1F3864"/>
          <w:sz w:val="30"/>
          <w:szCs w:val="30"/>
        </w:rPr>
        <w:t xml:space="preserve">Références Bibliographiques</w:t>
      </w:r>
    </w:p>
    <w:p>
      <w:pPr>
        <w:spacing w:after="80" w:before="0"/>
      </w:pPr>
    </w:p>
    <w:p>
      <w:pPr>
        <w:spacing w:after="100" w:before="60" w:line="340"/>
        <w:ind w:left="720" w:hanging="720"/>
      </w:pPr>
      <w:r>
        <w:rPr>
          <w:rFonts w:ascii="Georgia" w:cs="Georgia" w:eastAsia="Georgia" w:hAnsi="Georgia"/>
          <w:color w:val="2C2C2C"/>
          <w:sz w:val="21"/>
          <w:szCs w:val="21"/>
        </w:rPr>
        <w:t xml:space="preserve">Brousseau, G. (1998). Théorie des situations didactiques. Grenoble : La Pensée Sauvage.</w:t>
      </w:r>
    </w:p>
    <w:p>
      <w:pPr>
        <w:spacing w:after="100" w:before="60" w:line="340"/>
        <w:ind w:left="720" w:hanging="720"/>
      </w:pPr>
      <w:r>
        <w:rPr>
          <w:rFonts w:ascii="Georgia" w:cs="Georgia" w:eastAsia="Georgia" w:hAnsi="Georgia"/>
          <w:color w:val="2C2C2C"/>
          <w:sz w:val="21"/>
          <w:szCs w:val="21"/>
        </w:rPr>
        <w:t xml:space="preserve">Clermont, P. (1997). La gestion de classe. Définition et composantes. Revue des sciences de l'éducation.</w:t>
      </w:r>
    </w:p>
    <w:p>
      <w:pPr>
        <w:spacing w:after="100" w:before="60" w:line="340"/>
        <w:ind w:left="720" w:hanging="720"/>
      </w:pPr>
      <w:r>
        <w:rPr>
          <w:rFonts w:ascii="Georgia" w:cs="Georgia" w:eastAsia="Georgia" w:hAnsi="Georgia"/>
          <w:color w:val="2C2C2C"/>
          <w:sz w:val="21"/>
          <w:szCs w:val="21"/>
        </w:rPr>
        <w:t xml:space="preserve">Fleming, N. D. (2001). Teaching and Learning Styles: VARK Strategies. Christchurch, Nouvelle-Zélande.</w:t>
      </w:r>
    </w:p>
    <w:p>
      <w:pPr>
        <w:spacing w:after="100" w:before="60" w:line="340"/>
        <w:ind w:left="720" w:hanging="720"/>
      </w:pPr>
      <w:r>
        <w:rPr>
          <w:rFonts w:ascii="Georgia" w:cs="Georgia" w:eastAsia="Georgia" w:hAnsi="Georgia"/>
          <w:color w:val="2C2C2C"/>
          <w:sz w:val="21"/>
          <w:szCs w:val="21"/>
        </w:rPr>
        <w:t xml:space="preserve">Ministère de l'Éducation Nationale, Maroc (2000). Charte Nationale de l'Éducation et de la Formation (CNEF). Rabat : MEN.</w:t>
      </w:r>
    </w:p>
    <w:p>
      <w:pPr>
        <w:spacing w:after="100" w:before="60" w:line="340"/>
        <w:ind w:left="720" w:hanging="720"/>
      </w:pPr>
      <w:r>
        <w:rPr>
          <w:rFonts w:ascii="Georgia" w:cs="Georgia" w:eastAsia="Georgia" w:hAnsi="Georgia"/>
          <w:color w:val="2C2C2C"/>
          <w:sz w:val="21"/>
          <w:szCs w:val="21"/>
        </w:rPr>
        <w:t xml:space="preserve">Ministère de l'Éducation Nationale, Maroc (2015). Vision Stratégique de la Réforme 2015-2030. Rabat : Conseil Supérieur de l'Éducation, de la Formation et de la Recherche Scientifique.</w:t>
      </w:r>
    </w:p>
    <w:p>
      <w:pPr>
        <w:spacing w:after="100" w:before="60" w:line="340"/>
        <w:ind w:left="720" w:hanging="720"/>
      </w:pPr>
      <w:r>
        <w:rPr>
          <w:rFonts w:ascii="Georgia" w:cs="Georgia" w:eastAsia="Georgia" w:hAnsi="Georgia"/>
          <w:color w:val="2C2C2C"/>
          <w:sz w:val="21"/>
          <w:szCs w:val="21"/>
        </w:rPr>
        <w:t xml:space="preserve">Puren, C. (2004). De l'approche par les tâches à la perspective co-actionnelle. Les Cahiers de l'APLIUT, vol. XXIII, n°1.</w:t>
      </w:r>
    </w:p>
    <w:p>
      <w:pPr>
        <w:spacing w:after="100" w:before="60" w:line="340"/>
        <w:ind w:left="720" w:hanging="720"/>
      </w:pPr>
      <w:r>
        <w:rPr>
          <w:rFonts w:ascii="Georgia" w:cs="Georgia" w:eastAsia="Georgia" w:hAnsi="Georgia"/>
          <w:color w:val="2C2C2C"/>
          <w:sz w:val="21"/>
          <w:szCs w:val="21"/>
        </w:rPr>
        <w:t xml:space="preserve">Tardif, J. (2006). L'évaluation des compétences. Documenter le parcours de développement. Montréal : Chenelière Éducation.</w:t>
      </w:r>
    </w:p>
    <w:p>
      <w:pPr>
        <w:spacing w:after="100" w:before="60" w:line="340"/>
        <w:ind w:left="720" w:hanging="720"/>
      </w:pPr>
      <w:r>
        <w:rPr>
          <w:rFonts w:ascii="Georgia" w:cs="Georgia" w:eastAsia="Georgia" w:hAnsi="Georgia"/>
          <w:color w:val="2C2C2C"/>
          <w:sz w:val="21"/>
          <w:szCs w:val="21"/>
        </w:rPr>
        <w:t xml:space="preserve">Therer, J. &amp; Willemart, C. (1983). Styles et stratégies d'enseignement et de formation. Université de Liège.</w:t>
      </w:r>
    </w:p>
    <w:p>
      <w:pPr>
        <w:spacing w:after="100" w:before="60" w:line="340"/>
        <w:ind w:left="720" w:hanging="720"/>
      </w:pPr>
      <w:r>
        <w:rPr>
          <w:rFonts w:ascii="Georgia" w:cs="Georgia" w:eastAsia="Georgia" w:hAnsi="Georgia"/>
          <w:color w:val="2C2C2C"/>
          <w:sz w:val="21"/>
          <w:szCs w:val="21"/>
        </w:rPr>
        <w:t xml:space="preserve">Viau, R. (2009). La motivation en contexte scolaire. 2e édition. Bruxelles : De Boeck Université.</w:t>
      </w:r>
    </w:p>
    <w:sectPr>
      <w:pgSz w:w="11906" w:h="16838" w:orient="portrait"/>
      <w:pgMar w:top="1440" w:right="1260" w:bottom="1440" w:left="1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line="340"/>
        <w:ind w:left="800" w:hanging="400"/>
      </w:pPr>
      <w:rPr>
        <w:rFonts w:ascii="Georgia" w:cs="Georgia" w:eastAsia="Georgia" w:hAnsi="Georgia"/>
        <w:color w:val="2C2C2C"/>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Georgia" w:cs="Georgia" w:eastAsia="Georgia" w:hAnsi="Georgia"/>
      <w:b/>
      <w:bCs/>
      <w:color w:val="1F3864"/>
      <w:sz w:val="30"/>
      <w:szCs w:val="30"/>
    </w:rPr>
  </w:style>
  <w:style w:type="paragraph" w:styleId="Heading2">
    <w:name w:val="Heading 2"/>
    <w:basedOn w:val="Normal"/>
    <w:next w:val="Normal"/>
    <w:qFormat/>
    <w:pPr>
      <w:spacing w:after="140" w:before="320"/>
      <w:outlineLvl w:val="1"/>
    </w:pPr>
    <w:rPr>
      <w:rFonts w:ascii="Georgia" w:cs="Georgia" w:eastAsia="Georgia" w:hAnsi="Georgia"/>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2026-04-12T11:40:58.554Z</dcterms:created>
  <dcterms:modified xsi:type="dcterms:W3CDTF">2026-04-12T11:40:58.555Z</dcterms:modified>
</cp:coreProperties>
</file>

<file path=docProps/custom.xml><?xml version="1.0" encoding="utf-8"?>
<Properties xmlns="http://schemas.openxmlformats.org/officeDocument/2006/custom-properties" xmlns:vt="http://schemas.openxmlformats.org/officeDocument/2006/docPropsVTypes"/>
</file>