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3864"/>
          <w:sz w:val="40"/>
        </w:rPr>
        <w:t>Monthly Progress Report — August 2026</w:t>
      </w:r>
    </w:p>
    <w:p>
      <w:pPr>
        <w:spacing w:after="40"/>
      </w:pPr>
      <w:r>
        <w:rPr>
          <w:rFonts w:ascii="Calibri" w:hAnsi="Calibri"/>
          <w:b w:val="0"/>
          <w:color w:val="555555"/>
          <w:sz w:val="22"/>
        </w:rPr>
        <w:t>Decentralized AAA System · Tamper-Evident Audit Logging (Industry 5.0)</w:t>
      </w:r>
    </w:p>
    <w:p>
      <w:pPr>
        <w:spacing w:after="160"/>
      </w:pPr>
      <w:r>
        <w:rPr>
          <w:rFonts w:ascii="Calibri" w:hAnsi="Calibri"/>
          <w:b w:val="0"/>
          <w:color w:val="555555"/>
          <w:sz w:val="20"/>
        </w:rPr>
        <w:t>Repository: decentralized-AAA-industry5.0  ·  Branch: Batching-txs</w:t>
      </w:r>
    </w:p>
    <w:p>
      <w:pPr>
        <w:spacing w:before="80" w:after="240"/>
      </w:pPr>
      <w:r>
        <w:rPr>
          <w:rFonts w:ascii="Calibri" w:hAnsi="Calibri"/>
          <w:b/>
          <w:color w:val="1F3864"/>
          <w:sz w:val="20"/>
        </w:rPr>
        <w:t xml:space="preserve">Prepared by: </w:t>
      </w:r>
      <w:r>
        <w:rPr>
          <w:rFonts w:ascii="Calibri" w:hAnsi="Calibri"/>
          <w:b w:val="0"/>
          <w:color w:val="1A1A1A"/>
          <w:sz w:val="20"/>
        </w:rPr>
        <w:t xml:space="preserve">Mouazzama   </w:t>
      </w:r>
      <w:r>
        <w:rPr>
          <w:rFonts w:ascii="Calibri" w:hAnsi="Calibri"/>
          <w:b/>
          <w:color w:val="1F3864"/>
          <w:sz w:val="20"/>
        </w:rPr>
        <w:t xml:space="preserve">Period: </w:t>
      </w:r>
      <w:r>
        <w:rPr>
          <w:rFonts w:ascii="Calibri" w:hAnsi="Calibri"/>
          <w:b w:val="0"/>
          <w:color w:val="1A1A1A"/>
          <w:sz w:val="20"/>
        </w:rPr>
        <w:t xml:space="preserve">1 August 2026 – 31 August 2026   </w:t>
      </w:r>
      <w:r>
        <w:rPr>
          <w:rFonts w:ascii="Calibri" w:hAnsi="Calibri"/>
          <w:b/>
          <w:color w:val="1F3864"/>
          <w:sz w:val="20"/>
        </w:rPr>
        <w:t xml:space="preserve">Report date: </w:t>
      </w:r>
      <w:r>
        <w:rPr>
          <w:rFonts w:ascii="Calibri" w:hAnsi="Calibri"/>
          <w:b w:val="0"/>
          <w:color w:val="1A1A1A"/>
          <w:sz w:val="20"/>
        </w:rPr>
        <w:t>3 September 2026</w:t>
      </w:r>
    </w:p>
    <w:p>
      <w:pPr>
        <w:spacing w:before="200" w:after="80"/>
        <w:pBdr>
          <w:bottom w:val="single" w:sz="6" w:space="1" w:color="1f3864"/>
        </w:pBdr>
      </w:pPr>
      <w:r>
        <w:rPr>
          <w:rFonts w:ascii="Calibri" w:hAnsi="Calibri"/>
          <w:b/>
          <w:color w:val="1F3864"/>
          <w:sz w:val="26"/>
        </w:rPr>
        <w:t>1. Executive Summary</w:t>
      </w:r>
    </w:p>
    <w:p>
      <w:pPr>
        <w:spacing w:before="0" w:after="100"/>
        <w:jc w:val="both"/>
      </w:pPr>
      <w:r>
        <w:rPr>
          <w:rFonts w:ascii="Calibri" w:hAnsi="Calibri"/>
          <w:b w:val="0"/>
          <w:sz w:val="22"/>
        </w:rPr>
        <w:t>During August 2026, the core security layer of the Decentralized AAA system was significantly extended. The main deliverable was a complete tamper-evident local chain for buffering audit events during network outages, combined with a human-in-the-loop admin resolution workflow that handles tampered blocks once the network is restored.</w:t>
      </w:r>
    </w:p>
    <w:p>
      <w:pPr>
        <w:spacing w:before="0" w:after="100"/>
        <w:jc w:val="both"/>
      </w:pPr>
      <w:r>
        <w:rPr>
          <w:rFonts w:ascii="Calibri" w:hAnsi="Calibri"/>
          <w:b w:val="0"/>
          <w:sz w:val="22"/>
        </w:rPr>
        <w:t>Prior to this work, the system anchored audit events directly to the Sepolia blockchain and had no mechanism to deal with the window when the blockchain is unreachable. Events buffered during an outage sat unprotected in MongoDB and could have been silently altered before anchoring. This month's work closes that gap: every block created during an outage is cryptographically signed and hash-chained at write time; tampering is detected on recovery and blocked from ever reaching the chain; and an admin resolution API gives a manager an explicit, auditable decision for each tampered block.</w:t>
      </w:r>
    </w:p>
    <w:p>
      <w:pPr>
        <w:spacing w:before="80" w:after="200"/>
        <w:ind w:left="283"/>
      </w:pPr>
      <w:r>
        <w:rPr>
          <w:rFonts w:ascii="Calibri" w:hAnsi="Calibri"/>
          <w:b/>
          <w:color w:val="1F3864"/>
          <w:sz w:val="22"/>
        </w:rPr>
        <w:t xml:space="preserve">Key result: </w:t>
      </w:r>
      <w:r>
        <w:rPr>
          <w:rFonts w:ascii="Calibri" w:hAnsi="Calibri"/>
          <w:b w:val="0"/>
          <w:sz w:val="22"/>
        </w:rPr>
        <w:t>Tampered data can no longer be silently anchored on the blockchain. Any modification made during an outage window is detected, quarantined, and requires a deliberate admin decision before any data reaches the permanent ledger.</w:t>
      </w:r>
    </w:p>
    <w:p>
      <w:pPr>
        <w:spacing w:before="200" w:after="80"/>
        <w:pBdr>
          <w:bottom w:val="single" w:sz="6" w:space="1" w:color="1f3864"/>
        </w:pBdr>
      </w:pPr>
      <w:r>
        <w:rPr>
          <w:rFonts w:ascii="Calibri" w:hAnsi="Calibri"/>
          <w:b/>
          <w:color w:val="1F3864"/>
          <w:sz w:val="26"/>
        </w:rPr>
        <w:t>2. Deliverables Completed</w:t>
      </w:r>
    </w:p>
    <w:tbl>
      <w:tblPr>
        <w:tblStyle w:val="TableGrid"/>
        <w:tblW w:type="auto" w:w="0"/>
        <w:jc w:val="left"/>
        <w:tblLook w:firstColumn="1" w:firstRow="1" w:lastColumn="0" w:lastRow="0" w:noHBand="0" w:noVBand="1" w:val="04A0"/>
      </w:tblPr>
      <w:tblGrid>
        <w:gridCol w:w="3120"/>
        <w:gridCol w:w="3120"/>
        <w:gridCol w:w="3120"/>
      </w:tblGrid>
      <w:tr>
        <w:tc>
          <w:tcPr>
            <w:tcW w:type="dxa" w:w="4252"/>
            <w:shd w:val="clear" w:color="auto" w:fill="1f3864"/>
          </w:tcPr>
          <w:p>
            <w:pPr>
              <w:jc w:val="left"/>
            </w:pPr>
            <w:r>
              <w:rPr>
                <w:rFonts w:ascii="Calibri" w:hAnsi="Calibri"/>
                <w:b/>
                <w:color w:val="FFFFFF"/>
                <w:sz w:val="20"/>
              </w:rPr>
              <w:t>Deliverable</w:t>
            </w:r>
          </w:p>
        </w:tc>
        <w:tc>
          <w:tcPr>
            <w:tcW w:type="dxa" w:w="1247"/>
            <w:shd w:val="clear" w:color="auto" w:fill="1f3864"/>
          </w:tcPr>
          <w:p>
            <w:pPr>
              <w:jc w:val="left"/>
            </w:pPr>
            <w:r>
              <w:rPr>
                <w:rFonts w:ascii="Calibri" w:hAnsi="Calibri"/>
                <w:b/>
                <w:color w:val="FFFFFF"/>
                <w:sz w:val="20"/>
              </w:rPr>
              <w:t>Status</w:t>
            </w:r>
          </w:p>
        </w:tc>
        <w:tc>
          <w:tcPr>
            <w:tcW w:type="dxa" w:w="3288"/>
            <w:shd w:val="clear" w:color="auto" w:fill="1f3864"/>
          </w:tcPr>
          <w:p>
            <w:pPr>
              <w:jc w:val="left"/>
            </w:pPr>
            <w:r>
              <w:rPr>
                <w:rFonts w:ascii="Calibri" w:hAnsi="Calibri"/>
                <w:b/>
                <w:color w:val="FFFFFF"/>
                <w:sz w:val="20"/>
              </w:rPr>
              <w:t>Notes</w:t>
            </w:r>
          </w:p>
        </w:tc>
      </w:tr>
      <w:tr>
        <w:tc>
          <w:tcPr>
            <w:tcW w:type="dxa" w:w="4252"/>
            <w:shd w:val="clear" w:color="auto" w:fill="ffffff"/>
          </w:tcPr>
          <w:p>
            <w:pPr>
              <w:jc w:val="left"/>
            </w:pPr>
            <w:r>
              <w:rPr>
                <w:rFonts w:ascii="Calibri" w:hAnsi="Calibri"/>
                <w:sz w:val="20"/>
              </w:rPr>
              <w:t>Signed local hash-chain for offline batches</w:t>
            </w:r>
          </w:p>
        </w:tc>
        <w:tc>
          <w:tcPr>
            <w:tcW w:type="dxa" w:w="1247"/>
            <w:shd w:val="clear" w:color="auto" w:fill="ffffff"/>
          </w:tcPr>
          <w:p>
            <w:pPr>
              <w:jc w:val="left"/>
            </w:pPr>
            <w:r>
              <w:rPr>
                <w:rFonts w:ascii="Calibri" w:hAnsi="Calibri"/>
                <w:sz w:val="20"/>
              </w:rPr>
              <w:t>Done</w:t>
            </w:r>
          </w:p>
        </w:tc>
        <w:tc>
          <w:tcPr>
            <w:tcW w:type="dxa" w:w="3288"/>
            <w:shd w:val="clear" w:color="auto" w:fill="ffffff"/>
          </w:tcPr>
          <w:p>
            <w:pPr>
              <w:jc w:val="left"/>
            </w:pPr>
            <w:r>
              <w:rPr>
                <w:rFonts w:ascii="Calibri" w:hAnsi="Calibri"/>
                <w:sz w:val="20"/>
              </w:rPr>
              <w:t>Ed25519 signing + SHA-256 chaining per block</w:t>
            </w:r>
          </w:p>
        </w:tc>
      </w:tr>
      <w:tr>
        <w:tc>
          <w:tcPr>
            <w:tcW w:type="dxa" w:w="4252"/>
            <w:shd w:val="clear" w:color="auto" w:fill="f4f7fb"/>
          </w:tcPr>
          <w:p>
            <w:pPr>
              <w:jc w:val="left"/>
            </w:pPr>
            <w:r>
              <w:rPr>
                <w:rFonts w:ascii="Calibri" w:hAnsi="Calibri"/>
                <w:sz w:val="20"/>
              </w:rPr>
              <w:t>NetworkIncident &amp; LocalChain data models</w:t>
            </w:r>
          </w:p>
        </w:tc>
        <w:tc>
          <w:tcPr>
            <w:tcW w:type="dxa" w:w="1247"/>
            <w:shd w:val="clear" w:color="auto" w:fill="f4f7fb"/>
          </w:tcPr>
          <w:p>
            <w:pPr>
              <w:jc w:val="left"/>
            </w:pPr>
            <w:r>
              <w:rPr>
                <w:rFonts w:ascii="Calibri" w:hAnsi="Calibri"/>
                <w:sz w:val="20"/>
              </w:rPr>
              <w:t>Done</w:t>
            </w:r>
          </w:p>
        </w:tc>
        <w:tc>
          <w:tcPr>
            <w:tcW w:type="dxa" w:w="3288"/>
            <w:shd w:val="clear" w:color="auto" w:fill="f4f7fb"/>
          </w:tcPr>
          <w:p>
            <w:pPr>
              <w:jc w:val="left"/>
            </w:pPr>
            <w:r>
              <w:rPr>
                <w:rFonts w:ascii="Calibri" w:hAnsi="Calibri"/>
                <w:sz w:val="20"/>
              </w:rPr>
              <w:t>Epoch-based; independent chain per incident</w:t>
            </w:r>
          </w:p>
        </w:tc>
      </w:tr>
      <w:tr>
        <w:tc>
          <w:tcPr>
            <w:tcW w:type="dxa" w:w="4252"/>
            <w:shd w:val="clear" w:color="auto" w:fill="ffffff"/>
          </w:tcPr>
          <w:p>
            <w:pPr>
              <w:jc w:val="left"/>
            </w:pPr>
            <w:r>
              <w:rPr>
                <w:rFonts w:ascii="Calibri" w:hAnsi="Calibri"/>
                <w:sz w:val="20"/>
              </w:rPr>
              <w:t>Tamper detection on network recovery</w:t>
            </w:r>
          </w:p>
        </w:tc>
        <w:tc>
          <w:tcPr>
            <w:tcW w:type="dxa" w:w="1247"/>
            <w:shd w:val="clear" w:color="auto" w:fill="ffffff"/>
          </w:tcPr>
          <w:p>
            <w:pPr>
              <w:jc w:val="left"/>
            </w:pPr>
            <w:r>
              <w:rPr>
                <w:rFonts w:ascii="Calibri" w:hAnsi="Calibri"/>
                <w:sz w:val="20"/>
              </w:rPr>
              <w:t>Done</w:t>
            </w:r>
          </w:p>
        </w:tc>
        <w:tc>
          <w:tcPr>
            <w:tcW w:type="dxa" w:w="3288"/>
            <w:shd w:val="clear" w:color="auto" w:fill="ffffff"/>
          </w:tcPr>
          <w:p>
            <w:pPr>
              <w:jc w:val="left"/>
            </w:pPr>
            <w:r>
              <w:rPr>
                <w:rFonts w:ascii="Calibri" w:hAnsi="Calibri"/>
                <w:sz w:val="20"/>
              </w:rPr>
              <w:t>Signature + chain-continuity; merge refused on failure</w:t>
            </w:r>
          </w:p>
        </w:tc>
      </w:tr>
      <w:tr>
        <w:tc>
          <w:tcPr>
            <w:tcW w:type="dxa" w:w="4252"/>
            <w:shd w:val="clear" w:color="auto" w:fill="f4f7fb"/>
          </w:tcPr>
          <w:p>
            <w:pPr>
              <w:jc w:val="left"/>
            </w:pPr>
            <w:r>
              <w:rPr>
                <w:rFonts w:ascii="Calibri" w:hAnsi="Calibri"/>
                <w:sz w:val="20"/>
              </w:rPr>
              <w:t>Admin resolution API (5 new endpoints)</w:t>
            </w:r>
          </w:p>
        </w:tc>
        <w:tc>
          <w:tcPr>
            <w:tcW w:type="dxa" w:w="1247"/>
            <w:shd w:val="clear" w:color="auto" w:fill="f4f7fb"/>
          </w:tcPr>
          <w:p>
            <w:pPr>
              <w:jc w:val="left"/>
            </w:pPr>
            <w:r>
              <w:rPr>
                <w:rFonts w:ascii="Calibri" w:hAnsi="Calibri"/>
                <w:sz w:val="20"/>
              </w:rPr>
              <w:t>Done</w:t>
            </w:r>
          </w:p>
        </w:tc>
        <w:tc>
          <w:tcPr>
            <w:tcW w:type="dxa" w:w="3288"/>
            <w:shd w:val="clear" w:color="auto" w:fill="f4f7fb"/>
          </w:tcPr>
          <w:p>
            <w:pPr>
              <w:jc w:val="left"/>
            </w:pPr>
            <w:r>
              <w:rPr>
                <w:rFonts w:ascii="Calibri" w:hAnsi="Calibri"/>
                <w:sz w:val="20"/>
              </w:rPr>
              <w:t>List, inspect, recover, acknowledge, discard</w:t>
            </w:r>
          </w:p>
        </w:tc>
      </w:tr>
      <w:tr>
        <w:tc>
          <w:tcPr>
            <w:tcW w:type="dxa" w:w="4252"/>
            <w:shd w:val="clear" w:color="auto" w:fill="ffffff"/>
          </w:tcPr>
          <w:p>
            <w:pPr>
              <w:jc w:val="left"/>
            </w:pPr>
            <w:r>
              <w:rPr>
                <w:rFonts w:ascii="Calibri" w:hAnsi="Calibri"/>
                <w:sz w:val="20"/>
              </w:rPr>
              <w:t>Cascade re-chain after recovery</w:t>
            </w:r>
          </w:p>
        </w:tc>
        <w:tc>
          <w:tcPr>
            <w:tcW w:type="dxa" w:w="1247"/>
            <w:shd w:val="clear" w:color="auto" w:fill="ffffff"/>
          </w:tcPr>
          <w:p>
            <w:pPr>
              <w:jc w:val="left"/>
            </w:pPr>
            <w:r>
              <w:rPr>
                <w:rFonts w:ascii="Calibri" w:hAnsi="Calibri"/>
                <w:sz w:val="20"/>
              </w:rPr>
              <w:t>Done</w:t>
            </w:r>
          </w:p>
        </w:tc>
        <w:tc>
          <w:tcPr>
            <w:tcW w:type="dxa" w:w="3288"/>
            <w:shd w:val="clear" w:color="auto" w:fill="ffffff"/>
          </w:tcPr>
          <w:p>
            <w:pPr>
              <w:jc w:val="left"/>
            </w:pPr>
            <w:r>
              <w:rPr>
                <w:rFonts w:ascii="Calibri" w:hAnsi="Calibri"/>
                <w:sz w:val="20"/>
              </w:rPr>
              <w:t>Auto-propagates corrected root through subsequent blocks</w:t>
            </w:r>
          </w:p>
        </w:tc>
      </w:tr>
      <w:tr>
        <w:tc>
          <w:tcPr>
            <w:tcW w:type="dxa" w:w="4252"/>
            <w:shd w:val="clear" w:color="auto" w:fill="f4f7fb"/>
          </w:tcPr>
          <w:p>
            <w:pPr>
              <w:jc w:val="left"/>
            </w:pPr>
            <w:r>
              <w:rPr>
                <w:rFonts w:ascii="Calibri" w:hAnsi="Calibri"/>
                <w:sz w:val="20"/>
              </w:rPr>
              <w:t>Worker auto-merge fix</w:t>
            </w:r>
          </w:p>
        </w:tc>
        <w:tc>
          <w:tcPr>
            <w:tcW w:type="dxa" w:w="1247"/>
            <w:shd w:val="clear" w:color="auto" w:fill="f4f7fb"/>
          </w:tcPr>
          <w:p>
            <w:pPr>
              <w:jc w:val="left"/>
            </w:pPr>
            <w:r>
              <w:rPr>
                <w:rFonts w:ascii="Calibri" w:hAnsi="Calibri"/>
                <w:sz w:val="20"/>
              </w:rPr>
              <w:t>Done</w:t>
            </w:r>
          </w:p>
        </w:tc>
        <w:tc>
          <w:tcPr>
            <w:tcW w:type="dxa" w:w="3288"/>
            <w:shd w:val="clear" w:color="auto" w:fill="f4f7fb"/>
          </w:tcPr>
          <w:p>
            <w:pPr>
              <w:jc w:val="left"/>
            </w:pPr>
            <w:r>
              <w:rPr>
                <w:rFonts w:ascii="Calibri" w:hAnsi="Calibri"/>
                <w:sz w:val="20"/>
              </w:rPr>
              <w:t>Recovered blocks merge within 10 s, no manual trigger</w:t>
            </w:r>
          </w:p>
        </w:tc>
      </w:tr>
      <w:tr>
        <w:tc>
          <w:tcPr>
            <w:tcW w:type="dxa" w:w="4252"/>
            <w:shd w:val="clear" w:color="auto" w:fill="ffffff"/>
          </w:tcPr>
          <w:p>
            <w:pPr>
              <w:jc w:val="left"/>
            </w:pPr>
            <w:r>
              <w:rPr>
                <w:rFonts w:ascii="Calibri" w:hAnsi="Calibri"/>
                <w:sz w:val="20"/>
              </w:rPr>
              <w:t>End-to-end test suite (5 scenarios)</w:t>
            </w:r>
          </w:p>
        </w:tc>
        <w:tc>
          <w:tcPr>
            <w:tcW w:type="dxa" w:w="1247"/>
            <w:shd w:val="clear" w:color="auto" w:fill="ffffff"/>
          </w:tcPr>
          <w:p>
            <w:pPr>
              <w:jc w:val="left"/>
            </w:pPr>
            <w:r>
              <w:rPr>
                <w:rFonts w:ascii="Calibri" w:hAnsi="Calibri"/>
                <w:sz w:val="20"/>
              </w:rPr>
              <w:t>Done</w:t>
            </w:r>
          </w:p>
        </w:tc>
        <w:tc>
          <w:tcPr>
            <w:tcW w:type="dxa" w:w="3288"/>
            <w:shd w:val="clear" w:color="auto" w:fill="ffffff"/>
          </w:tcPr>
          <w:p>
            <w:pPr>
              <w:jc w:val="left"/>
            </w:pPr>
            <w:r>
              <w:rPr>
                <w:rFonts w:ascii="Calibri" w:hAnsi="Calibri"/>
                <w:sz w:val="20"/>
              </w:rPr>
              <w:t>Normal, offline+clean, offline+tampered, recover, acknowledge</w:t>
            </w:r>
          </w:p>
        </w:tc>
      </w:tr>
      <w:tr>
        <w:tc>
          <w:tcPr>
            <w:tcW w:type="dxa" w:w="4252"/>
            <w:shd w:val="clear" w:color="auto" w:fill="f4f7fb"/>
          </w:tcPr>
          <w:p>
            <w:pPr>
              <w:jc w:val="left"/>
            </w:pPr>
            <w:r>
              <w:rPr>
                <w:rFonts w:ascii="Calibri" w:hAnsi="Calibri"/>
                <w:sz w:val="20"/>
              </w:rPr>
              <w:t>Postman collection</w:t>
            </w:r>
          </w:p>
        </w:tc>
        <w:tc>
          <w:tcPr>
            <w:tcW w:type="dxa" w:w="1247"/>
            <w:shd w:val="clear" w:color="auto" w:fill="f4f7fb"/>
          </w:tcPr>
          <w:p>
            <w:pPr>
              <w:jc w:val="left"/>
            </w:pPr>
            <w:r>
              <w:rPr>
                <w:rFonts w:ascii="Calibri" w:hAnsi="Calibri"/>
                <w:sz w:val="20"/>
              </w:rPr>
              <w:t>Done</w:t>
            </w:r>
          </w:p>
        </w:tc>
        <w:tc>
          <w:tcPr>
            <w:tcW w:type="dxa" w:w="3288"/>
            <w:shd w:val="clear" w:color="auto" w:fill="f4f7fb"/>
          </w:tcPr>
          <w:p>
            <w:pPr>
              <w:jc w:val="left"/>
            </w:pPr>
            <w:r>
              <w:rPr>
                <w:rFonts w:ascii="Calibri" w:hAnsi="Calibri"/>
                <w:sz w:val="20"/>
              </w:rPr>
              <w:t>All 9 endpoints, importable JSON</w:t>
            </w:r>
          </w:p>
        </w:tc>
      </w:tr>
      <w:tr>
        <w:tc>
          <w:tcPr>
            <w:tcW w:type="dxa" w:w="4252"/>
            <w:shd w:val="clear" w:color="auto" w:fill="ffffff"/>
          </w:tcPr>
          <w:p>
            <w:pPr>
              <w:jc w:val="left"/>
            </w:pPr>
            <w:r>
              <w:rPr>
                <w:rFonts w:ascii="Calibri" w:hAnsi="Calibri"/>
                <w:sz w:val="20"/>
              </w:rPr>
              <w:t>System flow diagram (PNG)</w:t>
            </w:r>
          </w:p>
        </w:tc>
        <w:tc>
          <w:tcPr>
            <w:tcW w:type="dxa" w:w="1247"/>
            <w:shd w:val="clear" w:color="auto" w:fill="ffffff"/>
          </w:tcPr>
          <w:p>
            <w:pPr>
              <w:jc w:val="left"/>
            </w:pPr>
            <w:r>
              <w:rPr>
                <w:rFonts w:ascii="Calibri" w:hAnsi="Calibri"/>
                <w:sz w:val="20"/>
              </w:rPr>
              <w:t>Done</w:t>
            </w:r>
          </w:p>
        </w:tc>
        <w:tc>
          <w:tcPr>
            <w:tcW w:type="dxa" w:w="3288"/>
            <w:shd w:val="clear" w:color="auto" w:fill="ffffff"/>
          </w:tcPr>
          <w:p>
            <w:pPr>
              <w:jc w:val="left"/>
            </w:pPr>
            <w:r>
              <w:rPr>
                <w:rFonts w:ascii="Calibri" w:hAnsi="Calibri"/>
                <w:sz w:val="20"/>
              </w:rPr>
              <w:t>1400 px, all 5 paths colour-coded</w:t>
            </w:r>
          </w:p>
        </w:tc>
      </w:tr>
      <w:tr>
        <w:tc>
          <w:tcPr>
            <w:tcW w:type="dxa" w:w="4252"/>
            <w:shd w:val="clear" w:color="auto" w:fill="f4f7fb"/>
          </w:tcPr>
          <w:p>
            <w:pPr>
              <w:jc w:val="left"/>
            </w:pPr>
            <w:r>
              <w:rPr>
                <w:rFonts w:ascii="Calibri" w:hAnsi="Calibri"/>
                <w:sz w:val="20"/>
              </w:rPr>
              <w:t>Design &amp; implementation document</w:t>
            </w:r>
          </w:p>
        </w:tc>
        <w:tc>
          <w:tcPr>
            <w:tcW w:type="dxa" w:w="1247"/>
            <w:shd w:val="clear" w:color="auto" w:fill="f4f7fb"/>
          </w:tcPr>
          <w:p>
            <w:pPr>
              <w:jc w:val="left"/>
            </w:pPr>
            <w:r>
              <w:rPr>
                <w:rFonts w:ascii="Calibri" w:hAnsi="Calibri"/>
                <w:sz w:val="20"/>
              </w:rPr>
              <w:t>Done</w:t>
            </w:r>
          </w:p>
        </w:tc>
        <w:tc>
          <w:tcPr>
            <w:tcW w:type="dxa" w:w="3288"/>
            <w:shd w:val="clear" w:color="auto" w:fill="f4f7fb"/>
          </w:tcPr>
          <w:p>
            <w:pPr>
              <w:jc w:val="left"/>
            </w:pPr>
            <w:r>
              <w:rPr>
                <w:rFonts w:ascii="Calibri" w:hAnsi="Calibri"/>
                <w:sz w:val="20"/>
              </w:rPr>
              <w:t>progress/docs/Incident_scenario.md</w:t>
            </w:r>
          </w:p>
        </w:tc>
      </w:tr>
    </w:tbl>
    <w:p/>
    <w:p>
      <w:pPr>
        <w:spacing w:before="200" w:after="80"/>
        <w:pBdr>
          <w:bottom w:val="single" w:sz="6" w:space="1" w:color="1f3864"/>
        </w:pBdr>
      </w:pPr>
      <w:r>
        <w:rPr>
          <w:rFonts w:ascii="Calibri" w:hAnsi="Calibri"/>
          <w:b/>
          <w:color w:val="1F3864"/>
          <w:sz w:val="26"/>
        </w:rPr>
        <w:t>3. Technical Work — Detailed Breakdown</w:t>
      </w:r>
    </w:p>
    <w:p>
      <w:pPr>
        <w:spacing w:before="200" w:after="80"/>
      </w:pPr>
      <w:r>
        <w:rPr>
          <w:rFonts w:ascii="Calibri" w:hAnsi="Calibri"/>
          <w:b/>
          <w:color w:val="1F3864"/>
          <w:sz w:val="22"/>
        </w:rPr>
        <w:t>3.1  Signed Local Hash-Chain</w:t>
      </w:r>
    </w:p>
    <w:p>
      <w:pPr>
        <w:spacing w:before="0" w:after="100"/>
        <w:jc w:val="both"/>
      </w:pPr>
      <w:r>
        <w:rPr>
          <w:rFonts w:ascii="Calibri" w:hAnsi="Calibri"/>
          <w:b w:val="0"/>
          <w:sz w:val="22"/>
        </w:rPr>
        <w:t>Before this work, blocks created during a network outage were stored in MongoDB with no integrity protection. Two independent cryptographic guarantees are now applied to every block:</w:t>
      </w:r>
    </w:p>
    <w:p>
      <w:pPr>
        <w:pStyle w:val="ListBullet"/>
        <w:spacing w:before="20" w:after="40"/>
      </w:pPr>
      <w:r>
        <w:rPr>
          <w:rFonts w:ascii="Calibri" w:hAnsi="Calibri"/>
          <w:b/>
          <w:sz w:val="22"/>
        </w:rPr>
        <w:t xml:space="preserve">Hash chaining (integrity): </w:t>
      </w:r>
      <w:r>
        <w:rPr>
          <w:rFonts w:ascii="Calibri" w:hAnsi="Calibri"/>
          <w:b w:val="0"/>
          <w:sz w:val="22"/>
        </w:rPr>
        <w:t>each block stores the previous block's root (previousRoot). Modifying, deleting, or reordering any block breaks all subsequent links, making tampering structurally visible on verification.</w:t>
      </w:r>
    </w:p>
    <w:p>
      <w:pPr>
        <w:pStyle w:val="ListBullet"/>
        <w:spacing w:before="20" w:after="40"/>
      </w:pPr>
      <w:r>
        <w:rPr>
          <w:rFonts w:ascii="Calibri" w:hAnsi="Calibri"/>
          <w:b/>
          <w:sz w:val="22"/>
        </w:rPr>
        <w:t xml:space="preserve">Ed25519 signature (authenticity): </w:t>
      </w:r>
      <w:r>
        <w:rPr>
          <w:rFonts w:ascii="Calibri" w:hAnsi="Calibri"/>
          <w:b w:val="0"/>
          <w:sz w:val="22"/>
        </w:rPr>
        <w:t>each block is signed with the gateway's Ed25519 private key over the payload batchId|previousRoot|currentRoot|eventCount. An attacker who modifies fields in MongoDB cannot produce a valid signature without access to the private key.</w:t>
      </w:r>
    </w:p>
    <w:p>
      <w:pPr>
        <w:spacing w:before="0" w:after="100"/>
        <w:jc w:val="both"/>
      </w:pPr>
      <w:r>
        <w:rPr>
          <w:rFonts w:ascii="Calibri" w:hAnsi="Calibri"/>
          <w:b w:val="0"/>
          <w:sz w:val="22"/>
        </w:rPr>
        <w:t>Chaining alone is insufficient (an attacker could recompute the chain); signing alone does not catch deletions or reordering. Together they cover all tampering modes. The security reduces to one assumption: the private key must be in a trust boundary the attacker cannot reach.</w:t>
      </w:r>
    </w:p>
    <w:p>
      <w:pPr>
        <w:spacing w:before="200" w:after="80"/>
      </w:pPr>
      <w:r>
        <w:rPr>
          <w:rFonts w:ascii="Calibri" w:hAnsi="Calibri"/>
          <w:b/>
          <w:color w:val="1F3864"/>
          <w:sz w:val="22"/>
        </w:rPr>
        <w:t>3.2  Epoch Model — Per-Incident Local Chains</w:t>
      </w:r>
    </w:p>
    <w:p>
      <w:pPr>
        <w:spacing w:before="0" w:after="100"/>
        <w:jc w:val="both"/>
      </w:pPr>
      <w:r>
        <w:rPr>
          <w:rFonts w:ascii="Calibri" w:hAnsi="Calibri"/>
          <w:b w:val="0"/>
          <w:sz w:val="22"/>
        </w:rPr>
        <w:t>Each network outage opens a NetworkIncident record and an independent local chain scoped to that incident. This follows the epoch-based secure logging model: each epoch is independently verifiable, tampered epochs are quarantined without affecting clean epochs, and epoch roots are anchored in the outer chain when the epoch closes. Once an incident's local chain is merged, the raw blocks are dropped and only the epoch root is retained on the incident record, preventing the local block store from growing unboundedly.</w:t>
      </w:r>
    </w:p>
    <w:p>
      <w:pPr>
        <w:spacing w:before="200" w:after="80"/>
      </w:pPr>
      <w:r>
        <w:rPr>
          <w:rFonts w:ascii="Calibri" w:hAnsi="Calibri"/>
          <w:b/>
          <w:color w:val="1F3864"/>
          <w:sz w:val="22"/>
        </w:rPr>
        <w:t>3.3  Tamper Detection &amp; Skip Guard</w:t>
      </w:r>
    </w:p>
    <w:p>
      <w:pPr>
        <w:spacing w:before="0" w:after="100"/>
        <w:jc w:val="both"/>
      </w:pPr>
      <w:r>
        <w:rPr>
          <w:rFonts w:ascii="Calibri" w:hAnsi="Calibri"/>
          <w:b w:val="0"/>
          <w:sz w:val="22"/>
        </w:rPr>
        <w:t>On network recovery the sync worker calls verifyLocalChain(incidentId), which checks every active block's signature and chain continuity. If any block fails, the merge is refused, the offending block is flagged TAMPERED, and anchoring is halted for that cycle. A skip guard was added to the merge function: if an incident has any unresolved TAMPERED block, the worker skips it. Without this guard, subsequent clean blocks would be incorrectly flagged as tampered on the next pass because their previousRoot references the excluded tampered block.</w:t>
      </w:r>
    </w:p>
    <w:p>
      <w:pPr>
        <w:spacing w:before="200" w:after="80"/>
      </w:pPr>
      <w:r>
        <w:rPr>
          <w:rFonts w:ascii="Calibri" w:hAnsi="Calibri"/>
          <w:b/>
          <w:color w:val="1F3864"/>
          <w:sz w:val="22"/>
        </w:rPr>
        <w:t>3.4  Admin Resolution API</w:t>
      </w:r>
    </w:p>
    <w:p>
      <w:pPr>
        <w:spacing w:before="0" w:after="100"/>
        <w:jc w:val="both"/>
      </w:pPr>
      <w:r>
        <w:rPr>
          <w:rFonts w:ascii="Calibri" w:hAnsi="Calibri"/>
          <w:b w:val="0"/>
          <w:sz w:val="22"/>
        </w:rPr>
        <w:t>Three resolution outcomes are available for each tampered block. The admin workflow begins with a read-only inspect call that compares the stored (tampered) block against what the block would be if rebuilt from the trusted SQLite event store. The response includes merkleRootMatch, previousRootMatch, and canRecover so the admin has full information before choosing one of three actions:</w:t>
      </w:r>
    </w:p>
    <w:p>
      <w:pPr>
        <w:pStyle w:val="ListBullet"/>
        <w:spacing w:before="20" w:after="40"/>
      </w:pPr>
      <w:r>
        <w:rPr>
          <w:rFonts w:ascii="Calibri" w:hAnsi="Calibri"/>
          <w:b/>
          <w:sz w:val="22"/>
        </w:rPr>
        <w:t xml:space="preserve">Recover: </w:t>
      </w:r>
      <w:r>
        <w:rPr>
          <w:rFonts w:ascii="Calibri" w:hAnsi="Calibri"/>
          <w:b w:val="0"/>
          <w:sz w:val="22"/>
        </w:rPr>
        <w:t>Re-fetches original events from SQLite, recomputes Merkle root, re-chains, re-signs, resets status to PENDING_VERIFICATION. Worker picks up the block within one cycle.</w:t>
      </w:r>
    </w:p>
    <w:p>
      <w:pPr>
        <w:pStyle w:val="ListBullet"/>
        <w:spacing w:before="20" w:after="40"/>
      </w:pPr>
      <w:r>
        <w:rPr>
          <w:rFonts w:ascii="Calibri" w:hAnsi="Calibri"/>
          <w:b/>
          <w:sz w:val="22"/>
        </w:rPr>
        <w:t xml:space="preserve">Acknowledge: </w:t>
      </w:r>
      <w:r>
        <w:rPr>
          <w:rFonts w:ascii="Calibri" w:hAnsi="Calibri"/>
          <w:b w:val="0"/>
          <w:sz w:val="22"/>
        </w:rPr>
        <w:t>Admin explicitly accepts the tampered state. Block retained as a forensic record; never anchored.</w:t>
      </w:r>
    </w:p>
    <w:p>
      <w:pPr>
        <w:pStyle w:val="ListBullet"/>
        <w:spacing w:before="20" w:after="40"/>
      </w:pPr>
      <w:r>
        <w:rPr>
          <w:rFonts w:ascii="Calibri" w:hAnsi="Calibri"/>
          <w:b/>
          <w:sz w:val="22"/>
        </w:rPr>
        <w:t xml:space="preserve">Discard: </w:t>
      </w:r>
      <w:r>
        <w:rPr>
          <w:rFonts w:ascii="Calibri" w:hAnsi="Calibri"/>
          <w:b w:val="0"/>
          <w:sz w:val="22"/>
        </w:rPr>
        <w:t>Block permanently removed from anchoring pipeline. Retained as a forensic record. Used when recovery is not possible.</w:t>
      </w:r>
    </w:p>
    <w:p>
      <w:pPr>
        <w:spacing w:before="200" w:after="80"/>
      </w:pPr>
      <w:r>
        <w:rPr>
          <w:rFonts w:ascii="Calibri" w:hAnsi="Calibri"/>
          <w:b/>
          <w:color w:val="1F3864"/>
          <w:sz w:val="22"/>
        </w:rPr>
        <w:t>3.5  Cascade Re-Chain</w:t>
      </w:r>
    </w:p>
    <w:p>
      <w:pPr>
        <w:spacing w:before="0" w:after="100"/>
        <w:jc w:val="both"/>
      </w:pPr>
      <w:r>
        <w:rPr>
          <w:rFonts w:ascii="Calibri" w:hAnsi="Calibri"/>
          <w:b w:val="0"/>
          <w:sz w:val="22"/>
        </w:rPr>
        <w:t>When block B is recovered, its currentRoot changes. Every subsequent block in the same incident has a stale previousRoot referencing B's old root. The recoverLocalBlock function automatically walks all subsequent PENDING_VERIFICATION blocks in chronological order, re-chains each from the running tail root, and re-signs. The cascade stops at the first TAMPERED block so each tampered block receives its own explicit admin decision. DISCARDED and ACKNOWLEDGED blocks are skipped without updating the running root.</w:t>
      </w:r>
    </w:p>
    <w:p>
      <w:pPr>
        <w:spacing w:before="200" w:after="80"/>
      </w:pPr>
      <w:r>
        <w:rPr>
          <w:rFonts w:ascii="Calibri" w:hAnsi="Calibri"/>
          <w:b/>
          <w:color w:val="1F3864"/>
          <w:sz w:val="22"/>
        </w:rPr>
        <w:t>3.6  Worker Auto-Merge Fix</w:t>
      </w:r>
    </w:p>
    <w:p>
      <w:pPr>
        <w:spacing w:before="0" w:after="100"/>
        <w:jc w:val="both"/>
      </w:pPr>
      <w:r>
        <w:rPr>
          <w:rFonts w:ascii="Calibri" w:hAnsi="Calibri"/>
          <w:b w:val="0"/>
          <w:sz w:val="22"/>
        </w:rPr>
        <w:t>Previously, mergeAllPendingLocalChains() was only called inside the if (openIncident) branch of the sync worker. Once an incident was closed, recovered blocks would sit idle indefinitely. The fix moves the merge call outside the conditional so it runs on every 10-second cycle. Admin-recovered blocks are now picked up and anchored within one worker cycle without any manual trigger. A complementary fix ensures only CLOSED incidents are merged, preventing in-progress incident blocks from being merged prematurely.</w:t>
      </w:r>
    </w:p>
    <w:p>
      <w:pPr>
        <w:spacing w:before="200" w:after="80"/>
        <w:pBdr>
          <w:bottom w:val="single" w:sz="6" w:space="1" w:color="1f3864"/>
        </w:pBdr>
      </w:pPr>
      <w:r>
        <w:rPr>
          <w:rFonts w:ascii="Calibri" w:hAnsi="Calibri"/>
          <w:b/>
          <w:color w:val="1F3864"/>
          <w:sz w:val="26"/>
        </w:rPr>
        <w:t>4. API Endpoints — Complete Reference</w:t>
      </w:r>
    </w:p>
    <w:p>
      <w:pPr>
        <w:spacing w:before="200" w:after="80"/>
      </w:pPr>
      <w:r>
        <w:rPr>
          <w:rFonts w:ascii="Calibri" w:hAnsi="Calibri"/>
          <w:b/>
          <w:color w:val="1F3864"/>
          <w:sz w:val="22"/>
        </w:rPr>
        <w:t>4.1  Core Batch Pipeline</w:t>
      </w:r>
    </w:p>
    <w:tbl>
      <w:tblPr>
        <w:tblStyle w:val="TableGrid"/>
        <w:tblW w:type="auto" w:w="0"/>
        <w:jc w:val="left"/>
        <w:tblLook w:firstColumn="1" w:firstRow="1" w:lastColumn="0" w:lastRow="0" w:noHBand="0" w:noVBand="1" w:val="04A0"/>
      </w:tblPr>
      <w:tblGrid>
        <w:gridCol w:w="3120"/>
        <w:gridCol w:w="3120"/>
        <w:gridCol w:w="3120"/>
      </w:tblGrid>
      <w:tr>
        <w:tc>
          <w:tcPr>
            <w:tcW w:type="dxa" w:w="1020"/>
            <w:shd w:val="clear" w:color="auto" w:fill="1f3864"/>
          </w:tcPr>
          <w:p>
            <w:pPr>
              <w:jc w:val="left"/>
            </w:pPr>
            <w:r>
              <w:rPr>
                <w:rFonts w:ascii="Calibri" w:hAnsi="Calibri"/>
                <w:b/>
                <w:color w:val="FFFFFF"/>
                <w:sz w:val="20"/>
              </w:rPr>
              <w:t>Method</w:t>
            </w:r>
          </w:p>
        </w:tc>
        <w:tc>
          <w:tcPr>
            <w:tcW w:type="dxa" w:w="3118"/>
            <w:shd w:val="clear" w:color="auto" w:fill="1f3864"/>
          </w:tcPr>
          <w:p>
            <w:pPr>
              <w:jc w:val="left"/>
            </w:pPr>
            <w:r>
              <w:rPr>
                <w:rFonts w:ascii="Calibri" w:hAnsi="Calibri"/>
                <w:b/>
                <w:color w:val="FFFFFF"/>
                <w:sz w:val="20"/>
              </w:rPr>
              <w:t>Path</w:t>
            </w:r>
          </w:p>
        </w:tc>
        <w:tc>
          <w:tcPr>
            <w:tcW w:type="dxa" w:w="4649"/>
            <w:shd w:val="clear" w:color="auto" w:fill="1f3864"/>
          </w:tcPr>
          <w:p>
            <w:pPr>
              <w:jc w:val="left"/>
            </w:pPr>
            <w:r>
              <w:rPr>
                <w:rFonts w:ascii="Calibri" w:hAnsi="Calibri"/>
                <w:b/>
                <w:color w:val="FFFFFF"/>
                <w:sz w:val="20"/>
              </w:rPr>
              <w:t>Purpose</w:t>
            </w:r>
          </w:p>
        </w:tc>
      </w:tr>
      <w:tr>
        <w:tc>
          <w:tcPr>
            <w:tcW w:type="dxa" w:w="1020"/>
            <w:shd w:val="clear" w:color="auto" w:fill="ffffff"/>
          </w:tcPr>
          <w:p>
            <w:pPr>
              <w:jc w:val="left"/>
            </w:pPr>
            <w:r>
              <w:rPr>
                <w:rFonts w:ascii="Calibri" w:hAnsi="Calibri"/>
                <w:sz w:val="20"/>
              </w:rPr>
              <w:t>POST</w:t>
            </w:r>
          </w:p>
        </w:tc>
        <w:tc>
          <w:tcPr>
            <w:tcW w:type="dxa" w:w="3118"/>
            <w:shd w:val="clear" w:color="auto" w:fill="ffffff"/>
          </w:tcPr>
          <w:p>
            <w:pPr>
              <w:jc w:val="left"/>
            </w:pPr>
            <w:r>
              <w:rPr>
                <w:rFonts w:ascii="Calibri" w:hAnsi="Calibri"/>
                <w:sz w:val="20"/>
              </w:rPr>
              <w:t>/api/audit/event</w:t>
            </w:r>
          </w:p>
        </w:tc>
        <w:tc>
          <w:tcPr>
            <w:tcW w:type="dxa" w:w="4649"/>
            <w:shd w:val="clear" w:color="auto" w:fill="ffffff"/>
          </w:tcPr>
          <w:p>
            <w:pPr>
              <w:jc w:val="left"/>
            </w:pPr>
            <w:r>
              <w:rPr>
                <w:rFonts w:ascii="Calibri" w:hAnsi="Calibri"/>
                <w:sz w:val="20"/>
              </w:rPr>
              <w:t>Create a single audit event. Stored in SQLite as PENDING.</w:t>
            </w:r>
          </w:p>
        </w:tc>
      </w:tr>
      <w:tr>
        <w:tc>
          <w:tcPr>
            <w:tcW w:type="dxa" w:w="1020"/>
            <w:shd w:val="clear" w:color="auto" w:fill="f4f7fb"/>
          </w:tcPr>
          <w:p>
            <w:pPr>
              <w:jc w:val="left"/>
            </w:pPr>
            <w:r>
              <w:rPr>
                <w:rFonts w:ascii="Calibri" w:hAnsi="Calibri"/>
                <w:sz w:val="20"/>
              </w:rPr>
              <w:t>GET</w:t>
            </w:r>
          </w:p>
        </w:tc>
        <w:tc>
          <w:tcPr>
            <w:tcW w:type="dxa" w:w="3118"/>
            <w:shd w:val="clear" w:color="auto" w:fill="f4f7fb"/>
          </w:tcPr>
          <w:p>
            <w:pPr>
              <w:jc w:val="left"/>
            </w:pPr>
            <w:r>
              <w:rPr>
                <w:rFonts w:ascii="Calibri" w:hAnsi="Calibri"/>
                <w:sz w:val="20"/>
              </w:rPr>
              <w:t>/api/batch/create</w:t>
            </w:r>
          </w:p>
        </w:tc>
        <w:tc>
          <w:tcPr>
            <w:tcW w:type="dxa" w:w="4649"/>
            <w:shd w:val="clear" w:color="auto" w:fill="f4f7fb"/>
          </w:tcPr>
          <w:p>
            <w:pPr>
              <w:jc w:val="left"/>
            </w:pPr>
            <w:r>
              <w:rPr>
                <w:rFonts w:ascii="Calibri" w:hAnsi="Calibri"/>
                <w:sz w:val="20"/>
              </w:rPr>
              <w:t>Batch up to 10 pending events. Live RPC ping routes block to MAIN (network up) or LOCAL chain (network down). Block is signed and chained.</w:t>
            </w:r>
          </w:p>
        </w:tc>
      </w:tr>
      <w:tr>
        <w:tc>
          <w:tcPr>
            <w:tcW w:type="dxa" w:w="1020"/>
            <w:shd w:val="clear" w:color="auto" w:fill="ffffff"/>
          </w:tcPr>
          <w:p>
            <w:pPr>
              <w:jc w:val="left"/>
            </w:pPr>
            <w:r>
              <w:rPr>
                <w:rFonts w:ascii="Calibri" w:hAnsi="Calibri"/>
                <w:sz w:val="20"/>
              </w:rPr>
              <w:t>GET</w:t>
            </w:r>
          </w:p>
        </w:tc>
        <w:tc>
          <w:tcPr>
            <w:tcW w:type="dxa" w:w="3118"/>
            <w:shd w:val="clear" w:color="auto" w:fill="ffffff"/>
          </w:tcPr>
          <w:p>
            <w:pPr>
              <w:jc w:val="left"/>
            </w:pPr>
            <w:r>
              <w:rPr>
                <w:rFonts w:ascii="Calibri" w:hAnsi="Calibri"/>
                <w:sz w:val="20"/>
              </w:rPr>
              <w:t>/api/batch/network-status</w:t>
            </w:r>
          </w:p>
        </w:tc>
        <w:tc>
          <w:tcPr>
            <w:tcW w:type="dxa" w:w="4649"/>
            <w:shd w:val="clear" w:color="auto" w:fill="ffffff"/>
          </w:tcPr>
          <w:p>
            <w:pPr>
              <w:jc w:val="left"/>
            </w:pPr>
            <w:r>
              <w:rPr>
                <w:rFonts w:ascii="Calibri" w:hAnsi="Calibri"/>
                <w:sz w:val="20"/>
              </w:rPr>
              <w:t>Live RPC ping. Returns {networkUp, rpcState}. No side effects.</w:t>
            </w:r>
          </w:p>
        </w:tc>
      </w:tr>
      <w:tr>
        <w:tc>
          <w:tcPr>
            <w:tcW w:type="dxa" w:w="1020"/>
            <w:shd w:val="clear" w:color="auto" w:fill="f4f7fb"/>
          </w:tcPr>
          <w:p>
            <w:pPr>
              <w:jc w:val="left"/>
            </w:pPr>
            <w:r>
              <w:rPr>
                <w:rFonts w:ascii="Calibri" w:hAnsi="Calibri"/>
                <w:sz w:val="20"/>
              </w:rPr>
              <w:t>GET</w:t>
            </w:r>
          </w:p>
        </w:tc>
        <w:tc>
          <w:tcPr>
            <w:tcW w:type="dxa" w:w="3118"/>
            <w:shd w:val="clear" w:color="auto" w:fill="f4f7fb"/>
          </w:tcPr>
          <w:p>
            <w:pPr>
              <w:jc w:val="left"/>
            </w:pPr>
            <w:r>
              <w:rPr>
                <w:rFonts w:ascii="Calibri" w:hAnsi="Calibri"/>
                <w:sz w:val="20"/>
              </w:rPr>
              <w:t>/api/batch/verify</w:t>
            </w:r>
          </w:p>
        </w:tc>
        <w:tc>
          <w:tcPr>
            <w:tcW w:type="dxa" w:w="4649"/>
            <w:shd w:val="clear" w:color="auto" w:fill="f4f7fb"/>
          </w:tcPr>
          <w:p>
            <w:pPr>
              <w:jc w:val="left"/>
            </w:pPr>
            <w:r>
              <w:rPr>
                <w:rFonts w:ascii="Calibri" w:hAnsi="Calibri"/>
                <w:sz w:val="20"/>
              </w:rPr>
              <w:t>Verify entire MAIN chain. Ed25519 signature + previousRoot continuity on every block. Returns 200 (valid) or 409 with error list.</w:t>
            </w:r>
          </w:p>
        </w:tc>
      </w:tr>
      <w:tr>
        <w:tc>
          <w:tcPr>
            <w:tcW w:type="dxa" w:w="1020"/>
            <w:shd w:val="clear" w:color="auto" w:fill="ffffff"/>
          </w:tcPr>
          <w:p>
            <w:pPr>
              <w:jc w:val="left"/>
            </w:pPr>
            <w:r>
              <w:rPr>
                <w:rFonts w:ascii="Calibri" w:hAnsi="Calibri"/>
                <w:sz w:val="20"/>
              </w:rPr>
              <w:t>GET</w:t>
            </w:r>
          </w:p>
        </w:tc>
        <w:tc>
          <w:tcPr>
            <w:tcW w:type="dxa" w:w="3118"/>
            <w:shd w:val="clear" w:color="auto" w:fill="ffffff"/>
          </w:tcPr>
          <w:p>
            <w:pPr>
              <w:jc w:val="left"/>
            </w:pPr>
            <w:r>
              <w:rPr>
                <w:rFonts w:ascii="Calibri" w:hAnsi="Calibri"/>
                <w:sz w:val="20"/>
              </w:rPr>
              <w:t>/api/batch/verify-local</w:t>
            </w:r>
          </w:p>
        </w:tc>
        <w:tc>
          <w:tcPr>
            <w:tcW w:type="dxa" w:w="4649"/>
            <w:shd w:val="clear" w:color="auto" w:fill="ffffff"/>
          </w:tcPr>
          <w:p>
            <w:pPr>
              <w:jc w:val="left"/>
            </w:pPr>
            <w:r>
              <w:rPr>
                <w:rFonts w:ascii="Calibri" w:hAnsi="Calibri"/>
                <w:sz w:val="20"/>
              </w:rPr>
              <w:t>Same verification scoped to one incident's local chain. Query: ?incidentId=INC_xxx.</w:t>
            </w:r>
          </w:p>
        </w:tc>
      </w:tr>
    </w:tbl>
    <w:p/>
    <w:p>
      <w:pPr>
        <w:spacing w:before="200" w:after="80"/>
      </w:pPr>
      <w:r>
        <w:rPr>
          <w:rFonts w:ascii="Calibri" w:hAnsi="Calibri"/>
          <w:b/>
          <w:color w:val="1F3864"/>
          <w:sz w:val="22"/>
        </w:rPr>
        <w:t>4.2  Admin Resolution Endpoints (new this month)</w:t>
      </w:r>
    </w:p>
    <w:tbl>
      <w:tblPr>
        <w:tblStyle w:val="TableGrid"/>
        <w:tblW w:type="auto" w:w="0"/>
        <w:jc w:val="left"/>
        <w:tblLook w:firstColumn="1" w:firstRow="1" w:lastColumn="0" w:lastRow="0" w:noHBand="0" w:noVBand="1" w:val="04A0"/>
      </w:tblPr>
      <w:tblGrid>
        <w:gridCol w:w="3120"/>
        <w:gridCol w:w="3120"/>
        <w:gridCol w:w="3120"/>
      </w:tblGrid>
      <w:tr>
        <w:tc>
          <w:tcPr>
            <w:tcW w:type="dxa" w:w="1020"/>
            <w:shd w:val="clear" w:color="auto" w:fill="1f3864"/>
          </w:tcPr>
          <w:p>
            <w:pPr>
              <w:jc w:val="left"/>
            </w:pPr>
            <w:r>
              <w:rPr>
                <w:rFonts w:ascii="Calibri" w:hAnsi="Calibri"/>
                <w:b/>
                <w:color w:val="FFFFFF"/>
                <w:sz w:val="20"/>
              </w:rPr>
              <w:t>Method</w:t>
            </w:r>
          </w:p>
        </w:tc>
        <w:tc>
          <w:tcPr>
            <w:tcW w:type="dxa" w:w="3118"/>
            <w:shd w:val="clear" w:color="auto" w:fill="1f3864"/>
          </w:tcPr>
          <w:p>
            <w:pPr>
              <w:jc w:val="left"/>
            </w:pPr>
            <w:r>
              <w:rPr>
                <w:rFonts w:ascii="Calibri" w:hAnsi="Calibri"/>
                <w:b/>
                <w:color w:val="FFFFFF"/>
                <w:sz w:val="20"/>
              </w:rPr>
              <w:t>Path</w:t>
            </w:r>
          </w:p>
        </w:tc>
        <w:tc>
          <w:tcPr>
            <w:tcW w:type="dxa" w:w="4649"/>
            <w:shd w:val="clear" w:color="auto" w:fill="1f3864"/>
          </w:tcPr>
          <w:p>
            <w:pPr>
              <w:jc w:val="left"/>
            </w:pPr>
            <w:r>
              <w:rPr>
                <w:rFonts w:ascii="Calibri" w:hAnsi="Calibri"/>
                <w:b/>
                <w:color w:val="FFFFFF"/>
                <w:sz w:val="20"/>
              </w:rPr>
              <w:t>Purpose</w:t>
            </w:r>
          </w:p>
        </w:tc>
      </w:tr>
      <w:tr>
        <w:tc>
          <w:tcPr>
            <w:tcW w:type="dxa" w:w="1020"/>
            <w:shd w:val="clear" w:color="auto" w:fill="ffffff"/>
          </w:tcPr>
          <w:p>
            <w:pPr>
              <w:jc w:val="left"/>
            </w:pPr>
            <w:r>
              <w:rPr>
                <w:rFonts w:ascii="Calibri" w:hAnsi="Calibri"/>
                <w:sz w:val="20"/>
              </w:rPr>
              <w:t>GET</w:t>
            </w:r>
          </w:p>
        </w:tc>
        <w:tc>
          <w:tcPr>
            <w:tcW w:type="dxa" w:w="3118"/>
            <w:shd w:val="clear" w:color="auto" w:fill="ffffff"/>
          </w:tcPr>
          <w:p>
            <w:pPr>
              <w:jc w:val="left"/>
            </w:pPr>
            <w:r>
              <w:rPr>
                <w:rFonts w:ascii="Calibri" w:hAnsi="Calibri"/>
                <w:sz w:val="20"/>
              </w:rPr>
              <w:t>/api/batch/tampered</w:t>
            </w:r>
          </w:p>
        </w:tc>
        <w:tc>
          <w:tcPr>
            <w:tcW w:type="dxa" w:w="4649"/>
            <w:shd w:val="clear" w:color="auto" w:fill="ffffff"/>
          </w:tcPr>
          <w:p>
            <w:pPr>
              <w:jc w:val="left"/>
            </w:pPr>
            <w:r>
              <w:rPr>
                <w:rFonts w:ascii="Calibri" w:hAnsi="Calibri"/>
                <w:sz w:val="20"/>
              </w:rPr>
              <w:t>List all TAMPERED blocks, oldest-first. Starting point for the resolution workflow.</w:t>
            </w:r>
          </w:p>
        </w:tc>
      </w:tr>
      <w:tr>
        <w:tc>
          <w:tcPr>
            <w:tcW w:type="dxa" w:w="1020"/>
            <w:shd w:val="clear" w:color="auto" w:fill="f4f7fb"/>
          </w:tcPr>
          <w:p>
            <w:pPr>
              <w:jc w:val="left"/>
            </w:pPr>
            <w:r>
              <w:rPr>
                <w:rFonts w:ascii="Calibri" w:hAnsi="Calibri"/>
                <w:sz w:val="20"/>
              </w:rPr>
              <w:t>GET</w:t>
            </w:r>
          </w:p>
        </w:tc>
        <w:tc>
          <w:tcPr>
            <w:tcW w:type="dxa" w:w="3118"/>
            <w:shd w:val="clear" w:color="auto" w:fill="f4f7fb"/>
          </w:tcPr>
          <w:p>
            <w:pPr>
              <w:jc w:val="left"/>
            </w:pPr>
            <w:r>
              <w:rPr>
                <w:rFonts w:ascii="Calibri" w:hAnsi="Calibri"/>
                <w:sz w:val="20"/>
              </w:rPr>
              <w:t>/api/batch/local/:batchId/inspect</w:t>
            </w:r>
          </w:p>
        </w:tc>
        <w:tc>
          <w:tcPr>
            <w:tcW w:type="dxa" w:w="4649"/>
            <w:shd w:val="clear" w:color="auto" w:fill="f4f7fb"/>
          </w:tcPr>
          <w:p>
            <w:pPr>
              <w:jc w:val="left"/>
            </w:pPr>
            <w:r>
              <w:rPr>
                <w:rFonts w:ascii="Calibri" w:hAnsi="Calibri"/>
                <w:sz w:val="20"/>
              </w:rPr>
              <w:t>Read-only dry run. Compare stored (tampered) values vs SQLite ground truth. Returns merkleRootMatch, previousRootMatch, canRecover.</w:t>
            </w:r>
          </w:p>
        </w:tc>
      </w:tr>
      <w:tr>
        <w:tc>
          <w:tcPr>
            <w:tcW w:type="dxa" w:w="1020"/>
            <w:shd w:val="clear" w:color="auto" w:fill="ffffff"/>
          </w:tcPr>
          <w:p>
            <w:pPr>
              <w:jc w:val="left"/>
            </w:pPr>
            <w:r>
              <w:rPr>
                <w:rFonts w:ascii="Calibri" w:hAnsi="Calibri"/>
                <w:sz w:val="20"/>
              </w:rPr>
              <w:t>POST</w:t>
            </w:r>
          </w:p>
        </w:tc>
        <w:tc>
          <w:tcPr>
            <w:tcW w:type="dxa" w:w="3118"/>
            <w:shd w:val="clear" w:color="auto" w:fill="ffffff"/>
          </w:tcPr>
          <w:p>
            <w:pPr>
              <w:jc w:val="left"/>
            </w:pPr>
            <w:r>
              <w:rPr>
                <w:rFonts w:ascii="Calibri" w:hAnsi="Calibri"/>
                <w:sz w:val="20"/>
              </w:rPr>
              <w:t>/api/batch/local/:batchId/recover</w:t>
            </w:r>
          </w:p>
        </w:tc>
        <w:tc>
          <w:tcPr>
            <w:tcW w:type="dxa" w:w="4649"/>
            <w:shd w:val="clear" w:color="auto" w:fill="ffffff"/>
          </w:tcPr>
          <w:p>
            <w:pPr>
              <w:jc w:val="left"/>
            </w:pPr>
            <w:r>
              <w:rPr>
                <w:rFonts w:ascii="Calibri" w:hAnsi="Calibri"/>
                <w:sz w:val="20"/>
              </w:rPr>
              <w:t>Rebuild from SQLite events. Recomputes root, re-chains, re-signs, resets to PENDING_VERIFICATION. Cascade re-chains subsequent blocks. Worker merges within 10 s.</w:t>
            </w:r>
          </w:p>
        </w:tc>
      </w:tr>
      <w:tr>
        <w:tc>
          <w:tcPr>
            <w:tcW w:type="dxa" w:w="1020"/>
            <w:shd w:val="clear" w:color="auto" w:fill="f4f7fb"/>
          </w:tcPr>
          <w:p>
            <w:pPr>
              <w:jc w:val="left"/>
            </w:pPr>
            <w:r>
              <w:rPr>
                <w:rFonts w:ascii="Calibri" w:hAnsi="Calibri"/>
                <w:sz w:val="20"/>
              </w:rPr>
              <w:t>POST</w:t>
            </w:r>
          </w:p>
        </w:tc>
        <w:tc>
          <w:tcPr>
            <w:tcW w:type="dxa" w:w="3118"/>
            <w:shd w:val="clear" w:color="auto" w:fill="f4f7fb"/>
          </w:tcPr>
          <w:p>
            <w:pPr>
              <w:jc w:val="left"/>
            </w:pPr>
            <w:r>
              <w:rPr>
                <w:rFonts w:ascii="Calibri" w:hAnsi="Calibri"/>
                <w:sz w:val="20"/>
              </w:rPr>
              <w:t>/api/batch/local/:batchId/acknowledge</w:t>
            </w:r>
          </w:p>
        </w:tc>
        <w:tc>
          <w:tcPr>
            <w:tcW w:type="dxa" w:w="4649"/>
            <w:shd w:val="clear" w:color="auto" w:fill="f4f7fb"/>
          </w:tcPr>
          <w:p>
            <w:pPr>
              <w:jc w:val="left"/>
            </w:pPr>
            <w:r>
              <w:rPr>
                <w:rFonts w:ascii="Calibri" w:hAnsi="Calibri"/>
                <w:sz w:val="20"/>
              </w:rPr>
              <w:t>Admin accepts tampered state. Status → ACKNOWLEDGED. Forensic record kept; never anchored.</w:t>
            </w:r>
          </w:p>
        </w:tc>
      </w:tr>
      <w:tr>
        <w:tc>
          <w:tcPr>
            <w:tcW w:type="dxa" w:w="1020"/>
            <w:shd w:val="clear" w:color="auto" w:fill="ffffff"/>
          </w:tcPr>
          <w:p>
            <w:pPr>
              <w:jc w:val="left"/>
            </w:pPr>
            <w:r>
              <w:rPr>
                <w:rFonts w:ascii="Calibri" w:hAnsi="Calibri"/>
                <w:sz w:val="20"/>
              </w:rPr>
              <w:t>POST</w:t>
            </w:r>
          </w:p>
        </w:tc>
        <w:tc>
          <w:tcPr>
            <w:tcW w:type="dxa" w:w="3118"/>
            <w:shd w:val="clear" w:color="auto" w:fill="ffffff"/>
          </w:tcPr>
          <w:p>
            <w:pPr>
              <w:jc w:val="left"/>
            </w:pPr>
            <w:r>
              <w:rPr>
                <w:rFonts w:ascii="Calibri" w:hAnsi="Calibri"/>
                <w:sz w:val="20"/>
              </w:rPr>
              <w:t>/api/batch/local/:batchId/discard</w:t>
            </w:r>
          </w:p>
        </w:tc>
        <w:tc>
          <w:tcPr>
            <w:tcW w:type="dxa" w:w="4649"/>
            <w:shd w:val="clear" w:color="auto" w:fill="ffffff"/>
          </w:tcPr>
          <w:p>
            <w:pPr>
              <w:jc w:val="left"/>
            </w:pPr>
            <w:r>
              <w:rPr>
                <w:rFonts w:ascii="Calibri" w:hAnsi="Calibri"/>
                <w:sz w:val="20"/>
              </w:rPr>
              <w:t>Permanently drop from pipeline. Status → DISCARDED. Forensic record kept. Use when canRecover: false.</w:t>
            </w:r>
          </w:p>
        </w:tc>
      </w:tr>
    </w:tbl>
    <w:p/>
    <w:p>
      <w:pPr>
        <w:spacing w:before="200" w:after="80"/>
      </w:pPr>
      <w:r>
        <w:rPr>
          <w:rFonts w:ascii="Calibri" w:hAnsi="Calibri"/>
          <w:b/>
          <w:color w:val="1F3864"/>
          <w:sz w:val="22"/>
        </w:rPr>
        <w:t>4.3  Typical Resolution Workflow</w:t>
      </w:r>
    </w:p>
    <w:p>
      <w:pPr>
        <w:pStyle w:val="ListNumber"/>
        <w:spacing w:before="20" w:after="40"/>
      </w:pPr>
      <w:r>
        <w:rPr>
          <w:rFonts w:ascii="Calibri" w:hAnsi="Calibri"/>
          <w:b w:val="0"/>
          <w:sz w:val="22"/>
        </w:rPr>
        <w:t>GET /api/batch/tampered → identify blocks needing a decision.</w:t>
      </w:r>
    </w:p>
    <w:p>
      <w:pPr>
        <w:pStyle w:val="ListNumber"/>
        <w:spacing w:before="20" w:after="40"/>
      </w:pPr>
      <w:r>
        <w:rPr>
          <w:rFonts w:ascii="Calibri" w:hAnsi="Calibri"/>
          <w:b w:val="0"/>
          <w:sz w:val="22"/>
        </w:rPr>
        <w:t>GET /api/batch/local/:batchId/inspect on oldest tampered block → review what changed and whether recovery is possible.</w:t>
      </w:r>
    </w:p>
    <w:p>
      <w:pPr>
        <w:pStyle w:val="ListNumber"/>
        <w:spacing w:before="20" w:after="40"/>
      </w:pPr>
      <w:r>
        <w:rPr>
          <w:rFonts w:ascii="Calibri" w:hAnsi="Calibri"/>
          <w:b w:val="0"/>
          <w:sz w:val="22"/>
        </w:rPr>
        <w:t>Choose outcome: POST /recover (SQLite intact), POST /acknowledge (accept tampered), or POST /discard (no SQLite events).</w:t>
      </w:r>
    </w:p>
    <w:p>
      <w:pPr>
        <w:pStyle w:val="ListNumber"/>
        <w:spacing w:before="20" w:after="40"/>
      </w:pPr>
      <w:r>
        <w:rPr>
          <w:rFonts w:ascii="Calibri" w:hAnsi="Calibri"/>
          <w:b w:val="0"/>
          <w:sz w:val="22"/>
        </w:rPr>
        <w:t>Repeat for each tampered block in chronological order. Worker auto-merges recovered blocks within 10 s.</w:t>
      </w:r>
    </w:p>
    <w:p>
      <w:pPr>
        <w:spacing w:before="200" w:after="80"/>
        <w:pBdr>
          <w:bottom w:val="single" w:sz="6" w:space="1" w:color="1f3864"/>
        </w:pBdr>
      </w:pPr>
      <w:r>
        <w:rPr>
          <w:rFonts w:ascii="Calibri" w:hAnsi="Calibri"/>
          <w:b/>
          <w:color w:val="1F3864"/>
          <w:sz w:val="26"/>
        </w:rPr>
        <w:t>5. Testing</w:t>
      </w:r>
    </w:p>
    <w:p>
      <w:pPr>
        <w:spacing w:before="0" w:after="100"/>
        <w:jc w:val="both"/>
      </w:pPr>
      <w:r>
        <w:rPr>
          <w:rFonts w:ascii="Calibri" w:hAnsi="Calibri"/>
          <w:b w:val="0"/>
          <w:sz w:val="22"/>
        </w:rPr>
        <w:t>An end-to-end test script (backend/test-e2e.mjs) covers five scenarios against a live local environment including real MongoDB, SQLite, and a simulated Sepolia RPC:</w:t>
      </w:r>
    </w:p>
    <w:tbl>
      <w:tblPr>
        <w:tblStyle w:val="TableGrid"/>
        <w:tblW w:type="auto" w:w="0"/>
        <w:jc w:val="left"/>
        <w:tblLook w:firstColumn="1" w:firstRow="1" w:lastColumn="0" w:lastRow="0" w:noHBand="0" w:noVBand="1" w:val="04A0"/>
      </w:tblPr>
      <w:tblGrid>
        <w:gridCol w:w="3120"/>
        <w:gridCol w:w="3120"/>
        <w:gridCol w:w="3120"/>
      </w:tblGrid>
      <w:tr>
        <w:tc>
          <w:tcPr>
            <w:tcW w:type="dxa" w:w="454"/>
            <w:shd w:val="clear" w:color="auto" w:fill="1f3864"/>
          </w:tcPr>
          <w:p>
            <w:pPr>
              <w:jc w:val="left"/>
            </w:pPr>
            <w:r>
              <w:rPr>
                <w:rFonts w:ascii="Calibri" w:hAnsi="Calibri"/>
                <w:b/>
                <w:color w:val="FFFFFF"/>
                <w:sz w:val="20"/>
              </w:rPr>
              <w:t>#</w:t>
            </w:r>
          </w:p>
        </w:tc>
        <w:tc>
          <w:tcPr>
            <w:tcW w:type="dxa" w:w="2551"/>
            <w:shd w:val="clear" w:color="auto" w:fill="1f3864"/>
          </w:tcPr>
          <w:p>
            <w:pPr>
              <w:jc w:val="left"/>
            </w:pPr>
            <w:r>
              <w:rPr>
                <w:rFonts w:ascii="Calibri" w:hAnsi="Calibri"/>
                <w:b/>
                <w:color w:val="FFFFFF"/>
                <w:sz w:val="20"/>
              </w:rPr>
              <w:t>Scenario</w:t>
            </w:r>
          </w:p>
        </w:tc>
        <w:tc>
          <w:tcPr>
            <w:tcW w:type="dxa" w:w="5783"/>
            <w:shd w:val="clear" w:color="auto" w:fill="1f3864"/>
          </w:tcPr>
          <w:p>
            <w:pPr>
              <w:jc w:val="left"/>
            </w:pPr>
            <w:r>
              <w:rPr>
                <w:rFonts w:ascii="Calibri" w:hAnsi="Calibri"/>
                <w:b/>
                <w:color w:val="FFFFFF"/>
                <w:sz w:val="20"/>
              </w:rPr>
              <w:t>What is verified</w:t>
            </w:r>
          </w:p>
        </w:tc>
      </w:tr>
      <w:tr>
        <w:tc>
          <w:tcPr>
            <w:tcW w:type="dxa" w:w="454"/>
            <w:shd w:val="clear" w:color="auto" w:fill="ffffff"/>
          </w:tcPr>
          <w:p>
            <w:pPr>
              <w:jc w:val="left"/>
            </w:pPr>
            <w:r>
              <w:rPr>
                <w:rFonts w:ascii="Calibri" w:hAnsi="Calibri"/>
                <w:sz w:val="20"/>
              </w:rPr>
              <w:t>1</w:t>
            </w:r>
          </w:p>
        </w:tc>
        <w:tc>
          <w:tcPr>
            <w:tcW w:type="dxa" w:w="2551"/>
            <w:shd w:val="clear" w:color="auto" w:fill="ffffff"/>
          </w:tcPr>
          <w:p>
            <w:pPr>
              <w:jc w:val="left"/>
            </w:pPr>
            <w:r>
              <w:rPr>
                <w:rFonts w:ascii="Calibri" w:hAnsi="Calibri"/>
                <w:sz w:val="20"/>
              </w:rPr>
              <w:t>Normal (network up)</w:t>
            </w:r>
          </w:p>
        </w:tc>
        <w:tc>
          <w:tcPr>
            <w:tcW w:type="dxa" w:w="5783"/>
            <w:shd w:val="clear" w:color="auto" w:fill="ffffff"/>
          </w:tcPr>
          <w:p>
            <w:pPr>
              <w:jc w:val="left"/>
            </w:pPr>
            <w:r>
              <w:rPr>
                <w:rFonts w:ascii="Calibri" w:hAnsi="Calibri"/>
                <w:sz w:val="20"/>
              </w:rPr>
              <w:t>Block routes to MAIN chain; anchored on Sepolia within one worker cycle</w:t>
            </w:r>
          </w:p>
        </w:tc>
      </w:tr>
      <w:tr>
        <w:tc>
          <w:tcPr>
            <w:tcW w:type="dxa" w:w="454"/>
            <w:shd w:val="clear" w:color="auto" w:fill="f4f7fb"/>
          </w:tcPr>
          <w:p>
            <w:pPr>
              <w:jc w:val="left"/>
            </w:pPr>
            <w:r>
              <w:rPr>
                <w:rFonts w:ascii="Calibri" w:hAnsi="Calibri"/>
                <w:sz w:val="20"/>
              </w:rPr>
              <w:t>2</w:t>
            </w:r>
          </w:p>
        </w:tc>
        <w:tc>
          <w:tcPr>
            <w:tcW w:type="dxa" w:w="2551"/>
            <w:shd w:val="clear" w:color="auto" w:fill="f4f7fb"/>
          </w:tcPr>
          <w:p>
            <w:pPr>
              <w:jc w:val="left"/>
            </w:pPr>
            <w:r>
              <w:rPr>
                <w:rFonts w:ascii="Calibri" w:hAnsi="Calibri"/>
                <w:sz w:val="20"/>
              </w:rPr>
              <w:t>Offline — data clean</w:t>
            </w:r>
          </w:p>
        </w:tc>
        <w:tc>
          <w:tcPr>
            <w:tcW w:type="dxa" w:w="5783"/>
            <w:shd w:val="clear" w:color="auto" w:fill="f4f7fb"/>
          </w:tcPr>
          <w:p>
            <w:pPr>
              <w:jc w:val="left"/>
            </w:pPr>
            <w:r>
              <w:rPr>
                <w:rFonts w:ascii="Calibri" w:hAnsi="Calibri"/>
                <w:sz w:val="20"/>
              </w:rPr>
              <w:t>Blocks queue on LOCAL chain; merged and anchored on recovery; epoch root saved</w:t>
            </w:r>
          </w:p>
        </w:tc>
      </w:tr>
      <w:tr>
        <w:tc>
          <w:tcPr>
            <w:tcW w:type="dxa" w:w="454"/>
            <w:shd w:val="clear" w:color="auto" w:fill="ffffff"/>
          </w:tcPr>
          <w:p>
            <w:pPr>
              <w:jc w:val="left"/>
            </w:pPr>
            <w:r>
              <w:rPr>
                <w:rFonts w:ascii="Calibri" w:hAnsi="Calibri"/>
                <w:sz w:val="20"/>
              </w:rPr>
              <w:t>3</w:t>
            </w:r>
          </w:p>
        </w:tc>
        <w:tc>
          <w:tcPr>
            <w:tcW w:type="dxa" w:w="2551"/>
            <w:shd w:val="clear" w:color="auto" w:fill="ffffff"/>
          </w:tcPr>
          <w:p>
            <w:pPr>
              <w:jc w:val="left"/>
            </w:pPr>
            <w:r>
              <w:rPr>
                <w:rFonts w:ascii="Calibri" w:hAnsi="Calibri"/>
                <w:sz w:val="20"/>
              </w:rPr>
              <w:t>Offline — data tampered</w:t>
            </w:r>
          </w:p>
        </w:tc>
        <w:tc>
          <w:tcPr>
            <w:tcW w:type="dxa" w:w="5783"/>
            <w:shd w:val="clear" w:color="auto" w:fill="ffffff"/>
          </w:tcPr>
          <w:p>
            <w:pPr>
              <w:jc w:val="left"/>
            </w:pPr>
            <w:r>
              <w:rPr>
                <w:rFonts w:ascii="Calibri" w:hAnsi="Calibri"/>
                <w:sz w:val="20"/>
              </w:rPr>
              <w:t>Merge refused; block flagged TAMPERED; nothing tampered reaches chain</w:t>
            </w:r>
          </w:p>
        </w:tc>
      </w:tr>
      <w:tr>
        <w:tc>
          <w:tcPr>
            <w:tcW w:type="dxa" w:w="454"/>
            <w:shd w:val="clear" w:color="auto" w:fill="f4f7fb"/>
          </w:tcPr>
          <w:p>
            <w:pPr>
              <w:jc w:val="left"/>
            </w:pPr>
            <w:r>
              <w:rPr>
                <w:rFonts w:ascii="Calibri" w:hAnsi="Calibri"/>
                <w:sz w:val="20"/>
              </w:rPr>
              <w:t>4</w:t>
            </w:r>
          </w:p>
        </w:tc>
        <w:tc>
          <w:tcPr>
            <w:tcW w:type="dxa" w:w="2551"/>
            <w:shd w:val="clear" w:color="auto" w:fill="f4f7fb"/>
          </w:tcPr>
          <w:p>
            <w:pPr>
              <w:jc w:val="left"/>
            </w:pPr>
            <w:r>
              <w:rPr>
                <w:rFonts w:ascii="Calibri" w:hAnsi="Calibri"/>
                <w:sz w:val="20"/>
              </w:rPr>
              <w:t>Admin recover</w:t>
            </w:r>
          </w:p>
        </w:tc>
        <w:tc>
          <w:tcPr>
            <w:tcW w:type="dxa" w:w="5783"/>
            <w:shd w:val="clear" w:color="auto" w:fill="f4f7fb"/>
          </w:tcPr>
          <w:p>
            <w:pPr>
              <w:jc w:val="left"/>
            </w:pPr>
            <w:r>
              <w:rPr>
                <w:rFonts w:ascii="Calibri" w:hAnsi="Calibri"/>
                <w:sz w:val="20"/>
              </w:rPr>
              <w:t>Recover call rebuilds block; cascadeRechained lists subsequent blocks; worker merges both within 30 s</w:t>
            </w:r>
          </w:p>
        </w:tc>
      </w:tr>
      <w:tr>
        <w:tc>
          <w:tcPr>
            <w:tcW w:type="dxa" w:w="454"/>
            <w:shd w:val="clear" w:color="auto" w:fill="ffffff"/>
          </w:tcPr>
          <w:p>
            <w:pPr>
              <w:jc w:val="left"/>
            </w:pPr>
            <w:r>
              <w:rPr>
                <w:rFonts w:ascii="Calibri" w:hAnsi="Calibri"/>
                <w:sz w:val="20"/>
              </w:rPr>
              <w:t>5</w:t>
            </w:r>
          </w:p>
        </w:tc>
        <w:tc>
          <w:tcPr>
            <w:tcW w:type="dxa" w:w="2551"/>
            <w:shd w:val="clear" w:color="auto" w:fill="ffffff"/>
          </w:tcPr>
          <w:p>
            <w:pPr>
              <w:jc w:val="left"/>
            </w:pPr>
            <w:r>
              <w:rPr>
                <w:rFonts w:ascii="Calibri" w:hAnsi="Calibri"/>
                <w:sz w:val="20"/>
              </w:rPr>
              <w:t>Admin acknowledge</w:t>
            </w:r>
          </w:p>
        </w:tc>
        <w:tc>
          <w:tcPr>
            <w:tcW w:type="dxa" w:w="5783"/>
            <w:shd w:val="clear" w:color="auto" w:fill="ffffff"/>
          </w:tcPr>
          <w:p>
            <w:pPr>
              <w:jc w:val="left"/>
            </w:pPr>
            <w:r>
              <w:rPr>
                <w:rFonts w:ascii="Calibri" w:hAnsi="Calibri"/>
                <w:sz w:val="20"/>
              </w:rPr>
              <w:t>Acknowledge sets ACKNOWLEDGED; block absent from MerkleChain after 25 s</w:t>
            </w:r>
          </w:p>
        </w:tc>
      </w:tr>
    </w:tbl>
    <w:p/>
    <w:p>
      <w:pPr>
        <w:spacing w:before="200" w:after="80"/>
        <w:pBdr>
          <w:bottom w:val="single" w:sz="6" w:space="1" w:color="1f3864"/>
        </w:pBdr>
      </w:pPr>
      <w:r>
        <w:rPr>
          <w:rFonts w:ascii="Calibri" w:hAnsi="Calibri"/>
          <w:b/>
          <w:color w:val="1F3864"/>
          <w:sz w:val="26"/>
        </w:rPr>
        <w:t>6. Files Added / Modified (commit 8fc79c1, 20 Aug 2026)</w:t>
      </w:r>
    </w:p>
    <w:tbl>
      <w:tblPr>
        <w:tblStyle w:val="TableGrid"/>
        <w:tblW w:type="auto" w:w="0"/>
        <w:jc w:val="left"/>
        <w:tblLook w:firstColumn="1" w:firstRow="1" w:lastColumn="0" w:lastRow="0" w:noHBand="0" w:noVBand="1" w:val="04A0"/>
      </w:tblPr>
      <w:tblGrid>
        <w:gridCol w:w="3120"/>
        <w:gridCol w:w="3120"/>
        <w:gridCol w:w="3120"/>
      </w:tblGrid>
      <w:tr>
        <w:tc>
          <w:tcPr>
            <w:tcW w:type="dxa" w:w="3402"/>
            <w:shd w:val="clear" w:color="auto" w:fill="1f3864"/>
          </w:tcPr>
          <w:p>
            <w:pPr>
              <w:jc w:val="left"/>
            </w:pPr>
            <w:r>
              <w:rPr>
                <w:rFonts w:ascii="Calibri" w:hAnsi="Calibri"/>
                <w:b/>
                <w:color w:val="FFFFFF"/>
                <w:sz w:val="20"/>
              </w:rPr>
              <w:t>File</w:t>
            </w:r>
          </w:p>
        </w:tc>
        <w:tc>
          <w:tcPr>
            <w:tcW w:type="dxa" w:w="3685"/>
            <w:shd w:val="clear" w:color="auto" w:fill="1f3864"/>
          </w:tcPr>
          <w:p>
            <w:pPr>
              <w:jc w:val="left"/>
            </w:pPr>
            <w:r>
              <w:rPr>
                <w:rFonts w:ascii="Calibri" w:hAnsi="Calibri"/>
                <w:b/>
                <w:color w:val="FFFFFF"/>
                <w:sz w:val="20"/>
              </w:rPr>
              <w:t>Change</w:t>
            </w:r>
          </w:p>
        </w:tc>
        <w:tc>
          <w:tcPr>
            <w:tcW w:type="dxa" w:w="1701"/>
            <w:shd w:val="clear" w:color="auto" w:fill="1f3864"/>
          </w:tcPr>
          <w:p>
            <w:pPr>
              <w:jc w:val="left"/>
            </w:pPr>
            <w:r>
              <w:rPr>
                <w:rFonts w:ascii="Calibri" w:hAnsi="Calibri"/>
                <w:b/>
                <w:color w:val="FFFFFF"/>
                <w:sz w:val="20"/>
              </w:rPr>
              <w:t>Lines</w:t>
            </w:r>
          </w:p>
        </w:tc>
      </w:tr>
      <w:tr>
        <w:tc>
          <w:tcPr>
            <w:tcW w:type="dxa" w:w="3402"/>
            <w:shd w:val="clear" w:color="auto" w:fill="ffffff"/>
          </w:tcPr>
          <w:p>
            <w:pPr>
              <w:jc w:val="left"/>
            </w:pPr>
            <w:r>
              <w:rPr>
                <w:rFonts w:ascii="Calibri" w:hAnsi="Calibri"/>
                <w:sz w:val="20"/>
              </w:rPr>
              <w:t>backend/models/LocalChain.js</w:t>
            </w:r>
          </w:p>
        </w:tc>
        <w:tc>
          <w:tcPr>
            <w:tcW w:type="dxa" w:w="3685"/>
            <w:shd w:val="clear" w:color="auto" w:fill="ffffff"/>
          </w:tcPr>
          <w:p>
            <w:pPr>
              <w:jc w:val="left"/>
            </w:pPr>
            <w:r>
              <w:rPr>
                <w:rFonts w:ascii="Calibri" w:hAnsi="Calibri"/>
                <w:sz w:val="20"/>
              </w:rPr>
              <w:t>New — schema with 6 statuses incl. DISCARDED, ACKNOWLEDGED</w:t>
            </w:r>
          </w:p>
        </w:tc>
        <w:tc>
          <w:tcPr>
            <w:tcW w:type="dxa" w:w="1701"/>
            <w:shd w:val="clear" w:color="auto" w:fill="ffffff"/>
          </w:tcPr>
          <w:p>
            <w:pPr>
              <w:jc w:val="left"/>
            </w:pPr>
            <w:r>
              <w:rPr>
                <w:rFonts w:ascii="Calibri" w:hAnsi="Calibri"/>
                <w:sz w:val="20"/>
              </w:rPr>
              <w:t>+88</w:t>
            </w:r>
          </w:p>
        </w:tc>
      </w:tr>
      <w:tr>
        <w:tc>
          <w:tcPr>
            <w:tcW w:type="dxa" w:w="3402"/>
            <w:shd w:val="clear" w:color="auto" w:fill="f4f7fb"/>
          </w:tcPr>
          <w:p>
            <w:pPr>
              <w:jc w:val="left"/>
            </w:pPr>
            <w:r>
              <w:rPr>
                <w:rFonts w:ascii="Calibri" w:hAnsi="Calibri"/>
                <w:sz w:val="20"/>
              </w:rPr>
              <w:t>backend/models/NetworkIncident.js</w:t>
            </w:r>
          </w:p>
        </w:tc>
        <w:tc>
          <w:tcPr>
            <w:tcW w:type="dxa" w:w="3685"/>
            <w:shd w:val="clear" w:color="auto" w:fill="f4f7fb"/>
          </w:tcPr>
          <w:p>
            <w:pPr>
              <w:jc w:val="left"/>
            </w:pPr>
            <w:r>
              <w:rPr>
                <w:rFonts w:ascii="Calibri" w:hAnsi="Calibri"/>
                <w:sz w:val="20"/>
              </w:rPr>
              <w:t>New — NetworkIncident schema</w:t>
            </w:r>
          </w:p>
        </w:tc>
        <w:tc>
          <w:tcPr>
            <w:tcW w:type="dxa" w:w="1701"/>
            <w:shd w:val="clear" w:color="auto" w:fill="f4f7fb"/>
          </w:tcPr>
          <w:p>
            <w:pPr>
              <w:jc w:val="left"/>
            </w:pPr>
            <w:r>
              <w:rPr>
                <w:rFonts w:ascii="Calibri" w:hAnsi="Calibri"/>
                <w:sz w:val="20"/>
              </w:rPr>
              <w:t>+40</w:t>
            </w:r>
          </w:p>
        </w:tc>
      </w:tr>
      <w:tr>
        <w:tc>
          <w:tcPr>
            <w:tcW w:type="dxa" w:w="3402"/>
            <w:shd w:val="clear" w:color="auto" w:fill="ffffff"/>
          </w:tcPr>
          <w:p>
            <w:pPr>
              <w:jc w:val="left"/>
            </w:pPr>
            <w:r>
              <w:rPr>
                <w:rFonts w:ascii="Calibri" w:hAnsi="Calibri"/>
                <w:sz w:val="20"/>
              </w:rPr>
              <w:t>backend/models/MerkleChain.js</w:t>
            </w:r>
          </w:p>
        </w:tc>
        <w:tc>
          <w:tcPr>
            <w:tcW w:type="dxa" w:w="3685"/>
            <w:shd w:val="clear" w:color="auto" w:fill="ffffff"/>
          </w:tcPr>
          <w:p>
            <w:pPr>
              <w:jc w:val="left"/>
            </w:pPr>
            <w:r>
              <w:rPr>
                <w:rFonts w:ascii="Calibri" w:hAnsi="Calibri"/>
                <w:sz w:val="20"/>
              </w:rPr>
              <w:t>Extended — signature and publicKey fields</w:t>
            </w:r>
          </w:p>
        </w:tc>
        <w:tc>
          <w:tcPr>
            <w:tcW w:type="dxa" w:w="1701"/>
            <w:shd w:val="clear" w:color="auto" w:fill="ffffff"/>
          </w:tcPr>
          <w:p>
            <w:pPr>
              <w:jc w:val="left"/>
            </w:pPr>
            <w:r>
              <w:rPr>
                <w:rFonts w:ascii="Calibri" w:hAnsi="Calibri"/>
                <w:sz w:val="20"/>
              </w:rPr>
              <w:t>+10</w:t>
            </w:r>
          </w:p>
        </w:tc>
      </w:tr>
      <w:tr>
        <w:tc>
          <w:tcPr>
            <w:tcW w:type="dxa" w:w="3402"/>
            <w:shd w:val="clear" w:color="auto" w:fill="f4f7fb"/>
          </w:tcPr>
          <w:p>
            <w:pPr>
              <w:jc w:val="left"/>
            </w:pPr>
            <w:r>
              <w:rPr>
                <w:rFonts w:ascii="Calibri" w:hAnsi="Calibri"/>
                <w:sz w:val="20"/>
              </w:rPr>
              <w:t>backend/services/signingKey.service.js</w:t>
            </w:r>
          </w:p>
        </w:tc>
        <w:tc>
          <w:tcPr>
            <w:tcW w:type="dxa" w:w="3685"/>
            <w:shd w:val="clear" w:color="auto" w:fill="f4f7fb"/>
          </w:tcPr>
          <w:p>
            <w:pPr>
              <w:jc w:val="left"/>
            </w:pPr>
            <w:r>
              <w:rPr>
                <w:rFonts w:ascii="Calibri" w:hAnsi="Calibri"/>
                <w:sz w:val="20"/>
              </w:rPr>
              <w:t>New — Ed25519 keypair management, sign/verify</w:t>
            </w:r>
          </w:p>
        </w:tc>
        <w:tc>
          <w:tcPr>
            <w:tcW w:type="dxa" w:w="1701"/>
            <w:shd w:val="clear" w:color="auto" w:fill="f4f7fb"/>
          </w:tcPr>
          <w:p>
            <w:pPr>
              <w:jc w:val="left"/>
            </w:pPr>
            <w:r>
              <w:rPr>
                <w:rFonts w:ascii="Calibri" w:hAnsi="Calibri"/>
                <w:sz w:val="20"/>
              </w:rPr>
              <w:t>+187</w:t>
            </w:r>
          </w:p>
        </w:tc>
      </w:tr>
      <w:tr>
        <w:tc>
          <w:tcPr>
            <w:tcW w:type="dxa" w:w="3402"/>
            <w:shd w:val="clear" w:color="auto" w:fill="ffffff"/>
          </w:tcPr>
          <w:p>
            <w:pPr>
              <w:jc w:val="left"/>
            </w:pPr>
            <w:r>
              <w:rPr>
                <w:rFonts w:ascii="Calibri" w:hAnsi="Calibri"/>
                <w:sz w:val="20"/>
              </w:rPr>
              <w:t>backend/services/localChain.service.js</w:t>
            </w:r>
          </w:p>
        </w:tc>
        <w:tc>
          <w:tcPr>
            <w:tcW w:type="dxa" w:w="3685"/>
            <w:shd w:val="clear" w:color="auto" w:fill="ffffff"/>
          </w:tcPr>
          <w:p>
            <w:pPr>
              <w:jc w:val="left"/>
            </w:pPr>
            <w:r>
              <w:rPr>
                <w:rFonts w:ascii="Calibri" w:hAnsi="Calibri"/>
                <w:sz w:val="20"/>
              </w:rPr>
              <w:t>New — full local chain lifecycle + 5 admin functions</w:t>
            </w:r>
          </w:p>
        </w:tc>
        <w:tc>
          <w:tcPr>
            <w:tcW w:type="dxa" w:w="1701"/>
            <w:shd w:val="clear" w:color="auto" w:fill="ffffff"/>
          </w:tcPr>
          <w:p>
            <w:pPr>
              <w:jc w:val="left"/>
            </w:pPr>
            <w:r>
              <w:rPr>
                <w:rFonts w:ascii="Calibri" w:hAnsi="Calibri"/>
                <w:sz w:val="20"/>
              </w:rPr>
              <w:t>+410</w:t>
            </w:r>
          </w:p>
        </w:tc>
      </w:tr>
      <w:tr>
        <w:tc>
          <w:tcPr>
            <w:tcW w:type="dxa" w:w="3402"/>
            <w:shd w:val="clear" w:color="auto" w:fill="f4f7fb"/>
          </w:tcPr>
          <w:p>
            <w:pPr>
              <w:jc w:val="left"/>
            </w:pPr>
            <w:r>
              <w:rPr>
                <w:rFonts w:ascii="Calibri" w:hAnsi="Calibri"/>
                <w:sz w:val="20"/>
              </w:rPr>
              <w:t>backend/services/merkleChain.service.js</w:t>
            </w:r>
          </w:p>
        </w:tc>
        <w:tc>
          <w:tcPr>
            <w:tcW w:type="dxa" w:w="3685"/>
            <w:shd w:val="clear" w:color="auto" w:fill="f4f7fb"/>
          </w:tcPr>
          <w:p>
            <w:pPr>
              <w:jc w:val="left"/>
            </w:pPr>
            <w:r>
              <w:rPr>
                <w:rFonts w:ascii="Calibri" w:hAnsi="Calibri"/>
                <w:sz w:val="20"/>
              </w:rPr>
              <w:t>Extended — signing integration, chain verification</w:t>
            </w:r>
          </w:p>
        </w:tc>
        <w:tc>
          <w:tcPr>
            <w:tcW w:type="dxa" w:w="1701"/>
            <w:shd w:val="clear" w:color="auto" w:fill="f4f7fb"/>
          </w:tcPr>
          <w:p>
            <w:pPr>
              <w:jc w:val="left"/>
            </w:pPr>
            <w:r>
              <w:rPr>
                <w:rFonts w:ascii="Calibri" w:hAnsi="Calibri"/>
                <w:sz w:val="20"/>
              </w:rPr>
              <w:t>+221</w:t>
            </w:r>
          </w:p>
        </w:tc>
      </w:tr>
      <w:tr>
        <w:tc>
          <w:tcPr>
            <w:tcW w:type="dxa" w:w="3402"/>
            <w:shd w:val="clear" w:color="auto" w:fill="ffffff"/>
          </w:tcPr>
          <w:p>
            <w:pPr>
              <w:jc w:val="left"/>
            </w:pPr>
            <w:r>
              <w:rPr>
                <w:rFonts w:ascii="Calibri" w:hAnsi="Calibri"/>
                <w:sz w:val="20"/>
              </w:rPr>
              <w:t>backend/routes/batch.routes.js</w:t>
            </w:r>
          </w:p>
        </w:tc>
        <w:tc>
          <w:tcPr>
            <w:tcW w:type="dxa" w:w="3685"/>
            <w:shd w:val="clear" w:color="auto" w:fill="ffffff"/>
          </w:tcPr>
          <w:p>
            <w:pPr>
              <w:jc w:val="left"/>
            </w:pPr>
            <w:r>
              <w:rPr>
                <w:rFonts w:ascii="Calibri" w:hAnsi="Calibri"/>
                <w:sz w:val="20"/>
              </w:rPr>
              <w:t>Extended — 5 new admin endpoints, RPC routing logic</w:t>
            </w:r>
          </w:p>
        </w:tc>
        <w:tc>
          <w:tcPr>
            <w:tcW w:type="dxa" w:w="1701"/>
            <w:shd w:val="clear" w:color="auto" w:fill="ffffff"/>
          </w:tcPr>
          <w:p>
            <w:pPr>
              <w:jc w:val="left"/>
            </w:pPr>
            <w:r>
              <w:rPr>
                <w:rFonts w:ascii="Calibri" w:hAnsi="Calibri"/>
                <w:sz w:val="20"/>
              </w:rPr>
              <w:t>+234</w:t>
            </w:r>
          </w:p>
        </w:tc>
      </w:tr>
      <w:tr>
        <w:tc>
          <w:tcPr>
            <w:tcW w:type="dxa" w:w="3402"/>
            <w:shd w:val="clear" w:color="auto" w:fill="f4f7fb"/>
          </w:tcPr>
          <w:p>
            <w:pPr>
              <w:jc w:val="left"/>
            </w:pPr>
            <w:r>
              <w:rPr>
                <w:rFonts w:ascii="Calibri" w:hAnsi="Calibri"/>
                <w:sz w:val="20"/>
              </w:rPr>
              <w:t>backend/workers/sync.worker.js</w:t>
            </w:r>
          </w:p>
        </w:tc>
        <w:tc>
          <w:tcPr>
            <w:tcW w:type="dxa" w:w="3685"/>
            <w:shd w:val="clear" w:color="auto" w:fill="f4f7fb"/>
          </w:tcPr>
          <w:p>
            <w:pPr>
              <w:jc w:val="left"/>
            </w:pPr>
            <w:r>
              <w:rPr>
                <w:rFonts w:ascii="Calibri" w:hAnsi="Calibri"/>
                <w:sz w:val="20"/>
              </w:rPr>
              <w:t>Extended — auto-merge fix, skip guard, tampered halt logic</w:t>
            </w:r>
          </w:p>
        </w:tc>
        <w:tc>
          <w:tcPr>
            <w:tcW w:type="dxa" w:w="1701"/>
            <w:shd w:val="clear" w:color="auto" w:fill="f4f7fb"/>
          </w:tcPr>
          <w:p>
            <w:pPr>
              <w:jc w:val="left"/>
            </w:pPr>
            <w:r>
              <w:rPr>
                <w:rFonts w:ascii="Calibri" w:hAnsi="Calibri"/>
                <w:sz w:val="20"/>
              </w:rPr>
              <w:t>+63</w:t>
            </w:r>
          </w:p>
        </w:tc>
      </w:tr>
      <w:tr>
        <w:tc>
          <w:tcPr>
            <w:tcW w:type="dxa" w:w="3402"/>
            <w:shd w:val="clear" w:color="auto" w:fill="ffffff"/>
          </w:tcPr>
          <w:p>
            <w:pPr>
              <w:jc w:val="left"/>
            </w:pPr>
            <w:r>
              <w:rPr>
                <w:rFonts w:ascii="Calibri" w:hAnsi="Calibri"/>
                <w:sz w:val="20"/>
              </w:rPr>
              <w:t>backend/test-e2e.mjs</w:t>
            </w:r>
          </w:p>
        </w:tc>
        <w:tc>
          <w:tcPr>
            <w:tcW w:type="dxa" w:w="3685"/>
            <w:shd w:val="clear" w:color="auto" w:fill="ffffff"/>
          </w:tcPr>
          <w:p>
            <w:pPr>
              <w:jc w:val="left"/>
            </w:pPr>
            <w:r>
              <w:rPr>
                <w:rFonts w:ascii="Calibri" w:hAnsi="Calibri"/>
                <w:sz w:val="20"/>
              </w:rPr>
              <w:t>New — 5-scenario E2E test with assertions</w:t>
            </w:r>
          </w:p>
        </w:tc>
        <w:tc>
          <w:tcPr>
            <w:tcW w:type="dxa" w:w="1701"/>
            <w:shd w:val="clear" w:color="auto" w:fill="ffffff"/>
          </w:tcPr>
          <w:p>
            <w:pPr>
              <w:jc w:val="left"/>
            </w:pPr>
            <w:r>
              <w:rPr>
                <w:rFonts w:ascii="Calibri" w:hAnsi="Calibri"/>
                <w:sz w:val="20"/>
              </w:rPr>
              <w:t>+470</w:t>
            </w:r>
          </w:p>
        </w:tc>
      </w:tr>
      <w:tr>
        <w:tc>
          <w:tcPr>
            <w:tcW w:type="dxa" w:w="3402"/>
            <w:shd w:val="clear" w:color="auto" w:fill="f4f7fb"/>
          </w:tcPr>
          <w:p>
            <w:pPr>
              <w:jc w:val="left"/>
            </w:pPr>
            <w:r>
              <w:rPr>
                <w:rFonts w:ascii="Calibri" w:hAnsi="Calibri"/>
                <w:sz w:val="20"/>
              </w:rPr>
              <w:t>postman/Admin-Tamper-Resolution.json</w:t>
            </w:r>
          </w:p>
        </w:tc>
        <w:tc>
          <w:tcPr>
            <w:tcW w:type="dxa" w:w="3685"/>
            <w:shd w:val="clear" w:color="auto" w:fill="f4f7fb"/>
          </w:tcPr>
          <w:p>
            <w:pPr>
              <w:jc w:val="left"/>
            </w:pPr>
            <w:r>
              <w:rPr>
                <w:rFonts w:ascii="Calibri" w:hAnsi="Calibri"/>
                <w:sz w:val="20"/>
              </w:rPr>
              <w:t>New — Postman collection, all 9 endpoints</w:t>
            </w:r>
          </w:p>
        </w:tc>
        <w:tc>
          <w:tcPr>
            <w:tcW w:type="dxa" w:w="1701"/>
            <w:shd w:val="clear" w:color="auto" w:fill="f4f7fb"/>
          </w:tcPr>
          <w:p>
            <w:pPr>
              <w:jc w:val="left"/>
            </w:pPr>
            <w:r>
              <w:rPr>
                <w:rFonts w:ascii="Calibri" w:hAnsi="Calibri"/>
                <w:sz w:val="20"/>
              </w:rPr>
              <w:t>—</w:t>
            </w:r>
          </w:p>
        </w:tc>
      </w:tr>
      <w:tr>
        <w:tc>
          <w:tcPr>
            <w:tcW w:type="dxa" w:w="3402"/>
            <w:shd w:val="clear" w:color="auto" w:fill="ffffff"/>
          </w:tcPr>
          <w:p>
            <w:pPr>
              <w:jc w:val="left"/>
            </w:pPr>
            <w:r>
              <w:rPr>
                <w:rFonts w:ascii="Calibri" w:hAnsi="Calibri"/>
                <w:sz w:val="20"/>
              </w:rPr>
              <w:t>docs/audit-chain-flow.png</w:t>
            </w:r>
          </w:p>
        </w:tc>
        <w:tc>
          <w:tcPr>
            <w:tcW w:type="dxa" w:w="3685"/>
            <w:shd w:val="clear" w:color="auto" w:fill="ffffff"/>
          </w:tcPr>
          <w:p>
            <w:pPr>
              <w:jc w:val="left"/>
            </w:pPr>
            <w:r>
              <w:rPr>
                <w:rFonts w:ascii="Calibri" w:hAnsi="Calibri"/>
                <w:sz w:val="20"/>
              </w:rPr>
              <w:t>New — 1400 px system flow diagram</w:t>
            </w:r>
          </w:p>
        </w:tc>
        <w:tc>
          <w:tcPr>
            <w:tcW w:type="dxa" w:w="1701"/>
            <w:shd w:val="clear" w:color="auto" w:fill="ffffff"/>
          </w:tcPr>
          <w:p>
            <w:pPr>
              <w:jc w:val="left"/>
            </w:pPr>
            <w:r>
              <w:rPr>
                <w:rFonts w:ascii="Calibri" w:hAnsi="Calibri"/>
                <w:sz w:val="20"/>
              </w:rPr>
              <w:t>—</w:t>
            </w:r>
          </w:p>
        </w:tc>
      </w:tr>
      <w:tr>
        <w:tc>
          <w:tcPr>
            <w:tcW w:type="dxa" w:w="3402"/>
            <w:shd w:val="clear" w:color="auto" w:fill="f4f7fb"/>
          </w:tcPr>
          <w:p>
            <w:pPr>
              <w:jc w:val="left"/>
            </w:pPr>
            <w:r>
              <w:rPr>
                <w:rFonts w:ascii="Calibri" w:hAnsi="Calibri"/>
                <w:sz w:val="20"/>
              </w:rPr>
              <w:t>progress/docs/Incident_scenario.md</w:t>
            </w:r>
          </w:p>
        </w:tc>
        <w:tc>
          <w:tcPr>
            <w:tcW w:type="dxa" w:w="3685"/>
            <w:shd w:val="clear" w:color="auto" w:fill="f4f7fb"/>
          </w:tcPr>
          <w:p>
            <w:pPr>
              <w:jc w:val="left"/>
            </w:pPr>
            <w:r>
              <w:rPr>
                <w:rFonts w:ascii="Calibri" w:hAnsi="Calibri"/>
                <w:sz w:val="20"/>
              </w:rPr>
              <w:t>Extended — Scenarios 4 &amp; 5, Option 3 resolution section</w:t>
            </w:r>
          </w:p>
        </w:tc>
        <w:tc>
          <w:tcPr>
            <w:tcW w:type="dxa" w:w="1701"/>
            <w:shd w:val="clear" w:color="auto" w:fill="f4f7fb"/>
          </w:tcPr>
          <w:p>
            <w:pPr>
              <w:jc w:val="left"/>
            </w:pPr>
            <w:r>
              <w:rPr>
                <w:rFonts w:ascii="Calibri" w:hAnsi="Calibri"/>
                <w:sz w:val="20"/>
              </w:rPr>
              <w:t>+147</w:t>
            </w:r>
          </w:p>
        </w:tc>
      </w:tr>
      <w:tr>
        <w:tc>
          <w:tcPr>
            <w:tcW w:type="dxa" w:w="3402"/>
            <w:shd w:val="clear" w:color="auto" w:fill="ffffff"/>
          </w:tcPr>
          <w:p>
            <w:pPr>
              <w:jc w:val="left"/>
            </w:pPr>
            <w:r>
              <w:rPr>
                <w:rFonts w:ascii="Calibri" w:hAnsi="Calibri"/>
                <w:sz w:val="20"/>
              </w:rPr>
              <w:t>TOTAL (code lines)</w:t>
            </w:r>
          </w:p>
        </w:tc>
        <w:tc>
          <w:tcPr>
            <w:tcW w:type="dxa" w:w="3685"/>
            <w:shd w:val="clear" w:color="auto" w:fill="ffffff"/>
          </w:tcPr>
          <w:p>
            <w:pPr>
              <w:jc w:val="left"/>
            </w:pPr>
            <w:r>
              <w:rPr>
                <w:rFonts w:ascii="Calibri" w:hAnsi="Calibri"/>
                <w:sz w:val="20"/>
              </w:rPr>
            </w:r>
          </w:p>
        </w:tc>
        <w:tc>
          <w:tcPr>
            <w:tcW w:type="dxa" w:w="1701"/>
            <w:shd w:val="clear" w:color="auto" w:fill="ffffff"/>
          </w:tcPr>
          <w:p>
            <w:pPr>
              <w:jc w:val="left"/>
            </w:pPr>
            <w:r>
              <w:rPr>
                <w:rFonts w:ascii="Calibri" w:hAnsi="Calibri"/>
                <w:sz w:val="20"/>
              </w:rPr>
              <w:t>+1,870</w:t>
            </w:r>
          </w:p>
        </w:tc>
      </w:tr>
    </w:tbl>
    <w:p/>
    <w:p>
      <w:pPr>
        <w:spacing w:before="200" w:after="80"/>
        <w:pBdr>
          <w:bottom w:val="single" w:sz="6" w:space="1" w:color="1f3864"/>
        </w:pBdr>
      </w:pPr>
      <w:r>
        <w:rPr>
          <w:rFonts w:ascii="Calibri" w:hAnsi="Calibri"/>
          <w:b/>
          <w:color w:val="1F3864"/>
          <w:sz w:val="26"/>
        </w:rPr>
        <w:t>7. Next Steps / Recommendations</w:t>
      </w:r>
    </w:p>
    <w:p>
      <w:pPr>
        <w:pStyle w:val="ListBullet"/>
        <w:spacing w:before="20" w:after="40"/>
      </w:pPr>
      <w:r>
        <w:rPr>
          <w:rFonts w:ascii="Calibri" w:hAnsi="Calibri"/>
          <w:b/>
          <w:sz w:val="22"/>
        </w:rPr>
        <w:t xml:space="preserve">Signing key trust boundary: </w:t>
      </w:r>
      <w:r>
        <w:rPr>
          <w:rFonts w:ascii="Calibri" w:hAnsi="Calibri"/>
          <w:b w:val="0"/>
          <w:sz w:val="22"/>
        </w:rPr>
        <w:t>In the current dev setup the Ed25519 private key lives on the same machine as MongoDB. For production it should move to an HSM, TPM, or isolated secure element so an attacker who can write to MongoDB cannot forge signatures.</w:t>
      </w:r>
    </w:p>
    <w:p>
      <w:pPr>
        <w:pStyle w:val="ListBullet"/>
        <w:spacing w:before="20" w:after="40"/>
      </w:pPr>
      <w:r>
        <w:rPr>
          <w:rFonts w:ascii="Calibri" w:hAnsi="Calibri"/>
          <w:b/>
          <w:sz w:val="22"/>
        </w:rPr>
        <w:t xml:space="preserve">SQLite trust boundary: </w:t>
      </w:r>
      <w:r>
        <w:rPr>
          <w:rFonts w:ascii="Calibri" w:hAnsi="Calibri"/>
          <w:b w:val="0"/>
          <w:sz w:val="22"/>
        </w:rPr>
        <w:t>Recovery via /recover is only meaningful if SQLite is in a trust zone the attacker cannot reach. In production this should be an append-only store on isolated hardware or a write-protected audit service.</w:t>
      </w:r>
    </w:p>
    <w:p>
      <w:pPr>
        <w:pStyle w:val="ListBullet"/>
        <w:spacing w:before="20" w:after="40"/>
      </w:pPr>
      <w:r>
        <w:rPr>
          <w:rFonts w:ascii="Calibri" w:hAnsi="Calibri"/>
          <w:b/>
          <w:sz w:val="22"/>
        </w:rPr>
        <w:t xml:space="preserve">Admin notification: </w:t>
      </w:r>
      <w:r>
        <w:rPr>
          <w:rFonts w:ascii="Calibri" w:hAnsi="Calibri"/>
          <w:b w:val="0"/>
          <w:sz w:val="22"/>
        </w:rPr>
        <w:t>Currently, tampered blocks are surfaced by polling GET /tampered. A production system should push an alert (email, Slack, webhook) when a block is flagged.</w:t>
      </w:r>
    </w:p>
    <w:p>
      <w:pPr>
        <w:pStyle w:val="ListBullet"/>
        <w:spacing w:before="20" w:after="40"/>
      </w:pPr>
      <w:r>
        <w:rPr>
          <w:rFonts w:ascii="Calibri" w:hAnsi="Calibri"/>
          <w:b/>
          <w:sz w:val="22"/>
        </w:rPr>
        <w:t xml:space="preserve">Access control on admin endpoints: </w:t>
      </w:r>
      <w:r>
        <w:rPr>
          <w:rFonts w:ascii="Calibri" w:hAnsi="Calibri"/>
          <w:b w:val="0"/>
          <w:sz w:val="22"/>
        </w:rPr>
        <w:t>The five admin resolution endpoints are currently unprotected and should be gated behind an admin role check (JWT claim or RBAC middleware) before deployment.</w:t>
      </w:r>
    </w:p>
    <w:p/>
    <w:p>
      <w:pPr>
        <w:jc w:val="center"/>
      </w:pPr>
      <w:r>
        <w:rPr>
          <w:rFonts w:ascii="Calibri" w:hAnsi="Calibri"/>
          <w:b w:val="0"/>
          <w:color w:val="555555"/>
          <w:sz w:val="18"/>
        </w:rPr>
        <w:t>Decentralized AAA System — Industry 5.0  ·  Monthly Report August 2026  ·  Mouazzama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