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D2137"/>
          <w:sz w:val="56"/>
          <w:szCs w:val="56"/>
        </w:rPr>
        <w:t xml:space="preserve">Adama Ndiaye</w:t>
      </w:r>
    </w:p>
    <w:p>
      <w:pPr>
        <w:spacing w:after="80" w:before="0"/>
      </w:pPr>
      <w:r>
        <w:rPr>
          <w:color w:val="1565C0"/>
          <w:sz w:val="24"/>
          <w:szCs w:val="24"/>
        </w:rPr>
        <w:t xml:space="preserve">Assistante Gestion de Projets | Analyste Financière &amp; CRM</w:t>
      </w:r>
    </w:p>
    <w:p>
      <w:pPr>
        <w:spacing w:after="200" w:before="0"/>
      </w:pPr>
      <w:r>
        <w:rPr>
          <w:color w:val="718096"/>
          <w:sz w:val="17"/>
          <w:szCs w:val="17"/>
        </w:rPr>
        <w:t xml:space="preserve">adamandiaye.works@gmail.com   |   +221 76 271 48 88   |   Dakar, Sénégal   |   linkedin.com/in/adamandiayeworks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PROFIL</w:t>
      </w:r>
    </w:p>
    <w:p>
      <w:pPr>
        <w:spacing w:after="80" w:before="0"/>
      </w:pPr>
      <w:r>
        <w:rPr>
          <w:color w:val="4A5568"/>
          <w:sz w:val="20"/>
          <w:szCs w:val="20"/>
        </w:rPr>
        <w:t xml:space="preserve">Diplômée d'une Licence en Comptabilité &amp; Gestion (FASEG – UCAD) et certifiée Salesforce Sales Operations, j'ai accompagné 4 missions freelance dans des secteurs variés — fintech, plateformes numériques et collaboration franco-sénégalaise — tout en gérant la comptabilité d'une structure éducative sur deux ans. Rigoureuse, organisée et à l'aise avec les outils digitaux et l'IA, je cherche à contribuer à des projets à impact social et de développement.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EXPÉRIENCE PROFESSIONNELLE</w:t>
      </w:r>
    </w:p>
    <w:p>
      <w:pPr>
        <w:spacing w:after="40" w:before="200"/>
      </w:pPr>
      <w:r>
        <w:rPr>
          <w:b/>
          <w:bCs/>
          <w:color w:val="1565C0"/>
          <w:sz w:val="18"/>
          <w:szCs w:val="18"/>
        </w:rPr>
        <w:t xml:space="preserve">2025 – 2026   </w:t>
      </w:r>
      <w:r>
        <w:rPr>
          <w:b/>
          <w:bCs/>
          <w:color w:val="1A1A2E"/>
          <w:sz w:val="21"/>
          <w:szCs w:val="21"/>
        </w:rPr>
        <w:t xml:space="preserve">Assistante – Acquisition Clients, Projets &amp; Comptabilité</w:t>
      </w:r>
    </w:p>
    <w:p>
      <w:pPr>
        <w:spacing w:after="80" w:before="0"/>
      </w:pPr>
      <w:r>
        <w:rPr>
          <w:i/>
          <w:iCs/>
          <w:color w:val="1976D2"/>
          <w:sz w:val="19"/>
          <w:szCs w:val="19"/>
        </w:rPr>
        <w:t xml:space="preserve">MODLABS — Mission freelance   |   Dakar, Sénégal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Accompagné 4 clients sur des missions de développement web &amp; mobile : FLA (freelancing sénégalais), SMK (fintech), AACTE (collaboration franco-sénégalaise) et un client basé en France.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Coordonné le suivi opérationnel de chaque projet : planification des jalons, relances clients et respect des délais.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Établi les devis, factures et assuré le suivi des encaissements.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Produit des rapports financiers mensuels synthétisant les flux de trésorerie.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Contribué à la fidélisation client via un accompagnement personnalisé post-livraison.</w:t>
      </w:r>
    </w:p>
    <w:p>
      <w:pPr>
        <w:spacing w:after="40" w:before="200"/>
      </w:pPr>
      <w:r>
        <w:rPr>
          <w:b/>
          <w:bCs/>
          <w:color w:val="1565C0"/>
          <w:sz w:val="18"/>
          <w:szCs w:val="18"/>
        </w:rPr>
        <w:t xml:space="preserve">2024 – 2026   </w:t>
      </w:r>
      <w:r>
        <w:rPr>
          <w:b/>
          <w:bCs/>
          <w:color w:val="1A1A2E"/>
          <w:sz w:val="21"/>
          <w:szCs w:val="21"/>
        </w:rPr>
        <w:t xml:space="preserve">Gestionnaire Comptable</w:t>
      </w:r>
    </w:p>
    <w:p>
      <w:pPr>
        <w:spacing w:after="80" w:before="0"/>
      </w:pPr>
      <w:r>
        <w:rPr>
          <w:i/>
          <w:iCs/>
          <w:color w:val="1976D2"/>
          <w:sz w:val="19"/>
          <w:szCs w:val="19"/>
        </w:rPr>
        <w:t xml:space="preserve">École Franco-Arabe Alhidaya Keur Fatma Haris — Mission externe   |   Dakar, Sénégal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Tenu la comptabilité générale : saisie des opérations, lettrage et rapprochements bancaires.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Établi les rapports financiers mensuels et annuels à destination de la direction.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Assuré le suivi des encaissements (frais de scolarité) et des dépenses opérationnelles.</w:t>
      </w:r>
    </w:p>
    <w:p>
      <w:pPr>
        <w:spacing w:after="40" w:before="0"/>
        <w:ind w:left="360"/>
      </w:pPr>
      <w:r>
        <w:rPr>
          <w:color w:val="4A5568"/>
          <w:sz w:val="20"/>
          <w:szCs w:val="20"/>
        </w:rPr>
        <w:t xml:space="preserve">• Garanti la conformité des documents comptables et la traçabilité financière.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FORMATION</w:t>
      </w:r>
    </w:p>
    <w:p>
      <w:pPr>
        <w:spacing w:after="40" w:before="200"/>
      </w:pPr>
      <w:r>
        <w:rPr>
          <w:b/>
          <w:bCs/>
          <w:color w:val="1565C0"/>
          <w:sz w:val="18"/>
          <w:szCs w:val="18"/>
        </w:rPr>
        <w:t xml:space="preserve">2022   </w:t>
      </w:r>
      <w:r>
        <w:rPr>
          <w:b/>
          <w:bCs/>
          <w:color w:val="1A1A2E"/>
          <w:sz w:val="21"/>
          <w:szCs w:val="21"/>
        </w:rPr>
        <w:t xml:space="preserve">Licence en Comptabilité &amp; Gestion</w:t>
      </w:r>
    </w:p>
    <w:p>
      <w:pPr>
        <w:spacing w:after="40" w:before="0"/>
      </w:pPr>
      <w:r>
        <w:rPr>
          <w:i/>
          <w:iCs/>
          <w:color w:val="1976D2"/>
          <w:sz w:val="19"/>
          <w:szCs w:val="19"/>
        </w:rPr>
        <w:t xml:space="preserve">FASEG – UCAD  —  Dakar, Sénégal</w:t>
      </w:r>
    </w:p>
    <w:p>
      <w:pPr>
        <w:spacing w:after="40" w:before="0"/>
      </w:pPr>
      <w:r>
        <w:rPr>
          <w:b/>
          <w:bCs/>
          <w:color w:val="1565C0"/>
          <w:sz w:val="19"/>
          <w:szCs w:val="19"/>
        </w:rPr>
        <w:t xml:space="preserve">Option : Analyse Politique et Économique</w:t>
      </w:r>
    </w:p>
    <w:p>
      <w:pPr>
        <w:spacing w:after="120" w:before="0"/>
      </w:pPr>
      <w:r>
        <w:rPr>
          <w:i/>
          <w:iCs/>
          <w:color w:val="718096"/>
          <w:sz w:val="17"/>
          <w:szCs w:val="17"/>
        </w:rPr>
        <w:t xml:space="preserve">Comptabilité générale, Analyse financière, Macroéconomie, Droit des affaires</w:t>
      </w:r>
    </w:p>
    <w:p>
      <w:pPr>
        <w:spacing w:after="40" w:before="200"/>
      </w:pPr>
      <w:r>
        <w:rPr>
          <w:b/>
          <w:bCs/>
          <w:color w:val="1565C0"/>
          <w:sz w:val="18"/>
          <w:szCs w:val="18"/>
        </w:rPr>
        <w:t xml:space="preserve">2018   </w:t>
      </w:r>
      <w:r>
        <w:rPr>
          <w:b/>
          <w:bCs/>
          <w:color w:val="1A1A2E"/>
          <w:sz w:val="21"/>
          <w:szCs w:val="21"/>
        </w:rPr>
        <w:t xml:space="preserve">Baccalauréat Général – Série S2</w:t>
      </w:r>
    </w:p>
    <w:p>
      <w:pPr>
        <w:spacing w:after="40" w:before="0"/>
      </w:pPr>
      <w:r>
        <w:rPr>
          <w:i/>
          <w:iCs/>
          <w:color w:val="1976D2"/>
          <w:sz w:val="19"/>
          <w:szCs w:val="19"/>
        </w:rPr>
        <w:t xml:space="preserve">Sénégal</w:t>
      </w:r>
    </w:p>
    <w:p>
      <w:pPr>
        <w:spacing w:after="40" w:before="0"/>
      </w:pPr>
      <w:r>
        <w:rPr>
          <w:b/>
          <w:bCs/>
          <w:color w:val="1565C0"/>
          <w:sz w:val="19"/>
          <w:szCs w:val="19"/>
        </w:rPr>
        <w:t xml:space="preserve">Sciences Expérimentales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CERTIFICATIONS</w:t>
      </w:r>
    </w:p>
    <w:p>
      <w:pPr>
        <w:spacing w:after="60" w:before="60"/>
      </w:pPr>
      <w:r>
        <w:rPr>
          <w:b/>
          <w:bCs/>
          <w:color w:val="C8963E"/>
          <w:sz w:val="20"/>
          <w:szCs w:val="20"/>
        </w:rPr>
        <w:t xml:space="preserve">★  </w:t>
      </w:r>
      <w:r>
        <w:rPr>
          <w:b/>
          <w:bCs/>
          <w:color w:val="1A1A2E"/>
          <w:sz w:val="21"/>
          <w:szCs w:val="21"/>
        </w:rPr>
        <w:t xml:space="preserve">Salesforce Sales Operations</w:t>
      </w:r>
      <w:r>
        <w:rPr>
          <w:color w:val="718096"/>
          <w:sz w:val="17"/>
          <w:szCs w:val="17"/>
        </w:rPr>
        <w:t xml:space="preserve">   —   Coursera · Salesforce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Gestion des prospects dans Salesforce</w:t>
      </w:r>
      <w:r>
        <w:rPr>
          <w:color w:val="718096"/>
          <w:sz w:val="17"/>
          <w:szCs w:val="17"/>
        </w:rPr>
        <w:t xml:space="preserve">   —   Coursera · Salesforce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Gestion des opportunités dans Salesforce</w:t>
      </w:r>
      <w:r>
        <w:rPr>
          <w:color w:val="718096"/>
          <w:sz w:val="17"/>
          <w:szCs w:val="17"/>
        </w:rPr>
        <w:t xml:space="preserve">   —   Coursera · Salesforce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Vue d'ensemble des ventes et de la GRC</w:t>
      </w:r>
      <w:r>
        <w:rPr>
          <w:color w:val="718096"/>
          <w:sz w:val="17"/>
          <w:szCs w:val="17"/>
        </w:rPr>
        <w:t xml:space="preserve">   —   Coursera · Salesforce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Rapports, tableaux de bord et réussite clients dans Salesforce</w:t>
      </w:r>
      <w:r>
        <w:rPr>
          <w:color w:val="718096"/>
          <w:sz w:val="17"/>
          <w:szCs w:val="17"/>
        </w:rPr>
        <w:t xml:space="preserve">   —   Coursera · Salesforce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Données pour les analystes commerciaux – Microsoft Excel</w:t>
      </w:r>
      <w:r>
        <w:rPr>
          <w:color w:val="718096"/>
          <w:sz w:val="17"/>
          <w:szCs w:val="17"/>
        </w:rPr>
        <w:t xml:space="preserve">   —   Coursera · Microsoft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Principes fondamentaux de l'analyse d'entreprise</w:t>
      </w:r>
      <w:r>
        <w:rPr>
          <w:color w:val="718096"/>
          <w:sz w:val="17"/>
          <w:szCs w:val="17"/>
        </w:rPr>
        <w:t xml:space="preserve">   —   Coursera · 2025</w:t>
      </w:r>
    </w:p>
    <w:p>
      <w:pPr>
        <w:spacing w:after="60" w:before="60"/>
      </w:pPr>
      <w:r>
        <w:rPr>
          <w:b w:val="false"/>
          <w:bCs w:val="false"/>
          <w:color w:val="1565C0"/>
          <w:sz w:val="20"/>
          <w:szCs w:val="20"/>
        </w:rPr>
        <w:t xml:space="preserve">›  </w:t>
      </w:r>
      <w:r>
        <w:rPr>
          <w:b w:val="false"/>
          <w:bCs w:val="false"/>
          <w:color w:val="1A1A2E"/>
          <w:sz w:val="20"/>
          <w:szCs w:val="20"/>
        </w:rPr>
        <w:t xml:space="preserve">Développement Web – HTML, CSS, JavaScript</w:t>
      </w:r>
      <w:r>
        <w:rPr>
          <w:color w:val="718096"/>
          <w:sz w:val="17"/>
          <w:szCs w:val="17"/>
        </w:rPr>
        <w:t xml:space="preserve">   —   GoMyCode · Dakar · 2021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COMPÉTENCES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Gestion de Projets &amp; CRM : </w:t>
      </w:r>
      <w:r>
        <w:rPr>
          <w:color w:val="4A5568"/>
          <w:sz w:val="20"/>
          <w:szCs w:val="20"/>
        </w:rPr>
        <w:t xml:space="preserve">Coordination de projets · Salesforce CRM · Suivi opérationnel · Reporting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Analyse &amp; Données : </w:t>
      </w:r>
      <w:r>
        <w:rPr>
          <w:color w:val="4A5568"/>
          <w:sz w:val="20"/>
          <w:szCs w:val="20"/>
        </w:rPr>
        <w:t xml:space="preserve">Excel avancé (TCD) · Reporting financier · Analyse de données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Comptabilité : </w:t>
      </w:r>
      <w:r>
        <w:rPr>
          <w:color w:val="4A5568"/>
          <w:sz w:val="20"/>
          <w:szCs w:val="20"/>
        </w:rPr>
        <w:t xml:space="preserve">Comptabilité générale · Facturation &amp; devis · Analyse financière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Outils Digitaux &amp; IA : </w:t>
      </w:r>
      <w:r>
        <w:rPr>
          <w:color w:val="4A5568"/>
          <w:sz w:val="20"/>
          <w:szCs w:val="20"/>
        </w:rPr>
        <w:t xml:space="preserve">Suite Microsoft Office · Outils IA · Canva · HTML/CSS</w:t>
      </w:r>
    </w:p>
    <w:p>
      <w:pPr>
        <w:pBdr>
          <w:bottom w:val="single" w:color="1565C0" w:sz="12" w:space="4"/>
        </w:pBdr>
        <w:spacing w:after="160" w:before="320"/>
      </w:pPr>
      <w:r>
        <w:rPr>
          <w:b/>
          <w:bCs/>
          <w:color w:val="1565C0"/>
          <w:spacing w:val="20"/>
          <w:sz w:val="18"/>
          <w:szCs w:val="18"/>
        </w:rPr>
        <w:t xml:space="preserve">LANGUES</w:t>
      </w:r>
    </w:p>
    <w:p>
      <w:pPr>
        <w:spacing w:after="40" w:before="40"/>
      </w:pPr>
      <w:r>
        <w:rPr>
          <w:b/>
          <w:bCs/>
          <w:color w:val="1A1A2E"/>
          <w:sz w:val="20"/>
          <w:szCs w:val="20"/>
        </w:rPr>
        <w:t xml:space="preserve">Français  </w:t>
      </w:r>
      <w:r>
        <w:rPr>
          <w:color w:val="4A5568"/>
          <w:sz w:val="20"/>
          <w:szCs w:val="20"/>
        </w:rPr>
        <w:t xml:space="preserve">— Avancé — C1</w:t>
      </w:r>
    </w:p>
    <w:p>
      <w:pPr>
        <w:spacing w:after="40" w:before="40"/>
      </w:pPr>
      <w:r>
        <w:rPr>
          <w:b/>
          <w:bCs/>
          <w:color w:val="1A1A2E"/>
          <w:sz w:val="20"/>
          <w:szCs w:val="20"/>
        </w:rPr>
        <w:t xml:space="preserve">Anglais  </w:t>
      </w:r>
      <w:r>
        <w:rPr>
          <w:color w:val="4A5568"/>
          <w:sz w:val="20"/>
          <w:szCs w:val="20"/>
        </w:rPr>
        <w:t xml:space="preserve">— Intermédiaire — B1</w:t>
      </w:r>
    </w:p>
    <w:p>
      <w:pPr>
        <w:spacing w:after="40" w:before="40"/>
      </w:pPr>
      <w:r>
        <w:rPr>
          <w:b/>
          <w:bCs/>
          <w:color w:val="1A1A2E"/>
          <w:sz w:val="20"/>
          <w:szCs w:val="20"/>
        </w:rPr>
        <w:t xml:space="preserve">Wolof  </w:t>
      </w:r>
      <w:r>
        <w:rPr>
          <w:color w:val="4A5568"/>
          <w:sz w:val="20"/>
          <w:szCs w:val="20"/>
        </w:rPr>
        <w:t xml:space="preserve">— Langue maternelle</w:t>
      </w:r>
    </w:p>
    <w:p>
      <w:pPr>
        <w:spacing w:after="40" w:before="40"/>
      </w:pPr>
      <w:r>
        <w:rPr>
          <w:b/>
          <w:bCs/>
          <w:color w:val="1A1A2E"/>
          <w:sz w:val="20"/>
          <w:szCs w:val="20"/>
        </w:rPr>
        <w:t xml:space="preserve">Espagnol  </w:t>
      </w:r>
      <w:r>
        <w:rPr>
          <w:color w:val="4A5568"/>
          <w:sz w:val="20"/>
          <w:szCs w:val="20"/>
        </w:rPr>
        <w:t xml:space="preserve">— Débutant — A1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Adama Ndiaye</dc:title>
  <dc:creator>Adama Ndiaye</dc:creator>
  <cp:lastModifiedBy>Un-named</cp:lastModifiedBy>
  <cp:revision>1</cp:revision>
  <dcterms:created xsi:type="dcterms:W3CDTF">2026-05-09T22:35:29.411Z</dcterms:created>
  <dcterms:modified xsi:type="dcterms:W3CDTF">2026-05-09T22:35:29.411Z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