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pPr>
      <w:r>
        <w:rPr>
          <w:rFonts w:ascii="Arial" w:cs="Arial" w:eastAsia="Arial" w:hAnsi="Arial"/>
          <w:b/>
          <w:bCs/>
          <w:color w:val="111111"/>
          <w:sz w:val="72"/>
          <w:szCs w:val="72"/>
        </w:rPr>
        <w:t xml:space="preserve">ROSTER</w:t>
      </w:r>
    </w:p>
    <w:p>
      <w:pPr>
        <w:spacing w:after="80" w:before="0"/>
      </w:pPr>
      <w:r>
        <w:rPr>
          <w:rFonts w:ascii="Arial" w:cs="Arial" w:eastAsia="Arial" w:hAnsi="Arial"/>
          <w:color w:val="666666"/>
          <w:sz w:val="28"/>
          <w:szCs w:val="28"/>
        </w:rPr>
        <w:t xml:space="preserve">Design Context for Claude Code</w:t>
      </w:r>
    </w:p>
    <w:p>
      <w:pPr>
        <w:spacing w:after="60" w:before="0"/>
      </w:pPr>
      <w:r>
        <w:rPr>
          <w:rFonts w:ascii="Arial" w:cs="Arial" w:eastAsia="Arial" w:hAnsi="Arial"/>
          <w:i/>
          <w:iCs/>
          <w:color w:val="999999"/>
          <w:sz w:val="20"/>
          <w:szCs w:val="20"/>
        </w:rPr>
        <w:t xml:space="preserve">UX &amp; Emotional Design Specification  ·  v1.0  ·  June 2026</w:t>
      </w:r>
    </w:p>
    <w:p>
      <w:pPr>
        <w:pBdr>
          <w:bottom w:val="single" w:color="2E75B6" w:sz="12" w:space="1"/>
        </w:pBdr>
        <w:spacing w:after="6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DDDDD" w:sz="1"/>
              <w:left w:val="single" w:color="DDDDDD" w:sz="1"/>
              <w:bottom w:val="single" w:color="DDDDDD" w:sz="1"/>
              <w:right w:val="single" w:color="DDDDDD" w:sz="1"/>
            </w:tcBorders>
            <w:shd w:fill="F0F4FA" w:val="clear"/>
            <w:tcMar>
              <w:top w:type="dxa" w:w="200"/>
              <w:left w:type="dxa" w:w="280"/>
              <w:bottom w:type="dxa" w:w="200"/>
              <w:right w:type="dxa" w:w="280"/>
            </w:tcMar>
          </w:tcPr>
          <w:p>
            <w:pPr>
              <w:spacing w:after="80"/>
            </w:pPr>
            <w:r>
              <w:rPr>
                <w:rFonts w:ascii="Arial" w:cs="Arial" w:eastAsia="Arial" w:hAnsi="Arial"/>
                <w:b/>
                <w:bCs/>
                <w:color w:val="1A1A1A"/>
                <w:sz w:val="22"/>
                <w:szCs w:val="22"/>
              </w:rPr>
              <w:t xml:space="preserve">Purpose of this document</w:t>
            </w:r>
          </w:p>
          <w:p>
            <w:pPr>
              <w:spacing w:after="80"/>
            </w:pPr>
            <w:r>
              <w:rPr>
                <w:rFonts w:ascii="Arial" w:cs="Arial" w:eastAsia="Arial" w:hAnsi="Arial"/>
                <w:color w:val="333333"/>
                <w:sz w:val="20"/>
                <w:szCs w:val="20"/>
              </w:rPr>
              <w:t xml:space="preserve">This document gives Claude Code everything it needs to implement Roster with design intent, not just functional correctness. It translates the GDD's emotional goals into concrete implementation guidance: what ceremony looks like, when to use transitions, how data should feel alive, and which moments in the game require special visual treatment.</w:t>
            </w:r>
          </w:p>
          <w:p>
            <w:pPr>
              <w:spacing w:after="0"/>
            </w:pPr>
            <w:r>
              <w:rPr>
                <w:rFonts w:ascii="Arial" w:cs="Arial" w:eastAsia="Arial" w:hAnsi="Arial"/>
                <w:i/>
                <w:iCs/>
                <w:color w:val="555555"/>
                <w:sz w:val="20"/>
                <w:szCs w:val="20"/>
              </w:rPr>
              <w:t xml:space="preserve">Read this alongside the GDD. The GDD defines what the systems do. This document defines how they should feel.</w:t>
            </w:r>
          </w:p>
        </w:tc>
      </w:tr>
    </w:tbl>
    <w:p>
      <w:pPr>
        <w:spacing w:after="0" w:before="0"/>
      </w:pPr>
      <w:r>
        <w:br w:type="page"/>
      </w:r>
    </w:p>
    <w:p>
      <w:pPr>
        <w:pStyle w:val="Heading1"/>
      </w:pPr>
      <w:r>
        <w:rPr>
          <w:rFonts w:ascii="Arial" w:cs="Arial" w:eastAsia="Arial" w:hAnsi="Arial"/>
        </w:rPr>
        <w:t xml:space="preserve">1. Core Design Principles</w:t>
      </w:r>
    </w:p>
    <w:p>
      <w:pPr>
        <w:spacing w:after="160" w:before="0"/>
      </w:pPr>
      <w:r>
        <w:rPr>
          <w:rFonts w:ascii="Arial" w:cs="Arial" w:eastAsia="Arial" w:hAnsi="Arial"/>
          <w:color w:val="333333"/>
          <w:sz w:val="20"/>
          <w:szCs w:val="20"/>
        </w:rPr>
        <w:t xml:space="preserve">These four principles apply to every screen, component, and interaction. When in doubt, return to them.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val="false"/>
        </w:trPr>
        <w:tc>
          <w:tcPr>
            <w:tcW w:type="dxa" w:w="4600"/>
            <w:tcBorders>
              <w:top w:val="none"/>
              <w:left w:val="none"/>
              <w:bottom w:val="none"/>
              <w:right w:val="none"/>
            </w:tcBorders>
            <w:shd w:fill="F8F8F8" w:val="clear"/>
            <w:tcMar>
              <w:top w:type="dxa" w:w="180"/>
              <w:left w:type="dxa" w:w="200"/>
              <w:bottom w:type="dxa" w:w="180"/>
              <w:right w:type="dxa" w:w="200"/>
            </w:tcMar>
          </w:tcPr>
          <w:p>
            <w:pPr>
              <w:spacing w:after="80"/>
            </w:pPr>
            <w:r>
              <w:rPr>
                <w:rFonts w:ascii="Arial" w:cs="Arial" w:eastAsia="Arial" w:hAnsi="Arial"/>
                <w:b/>
                <w:bCs/>
                <w:color w:val="1A1A1A"/>
                <w:sz w:val="22"/>
                <w:szCs w:val="22"/>
              </w:rPr>
              <w:t xml:space="preserve">Tell less, show more</w:t>
            </w:r>
          </w:p>
          <w:p>
            <w:pPr>
              <w:spacing w:after="0"/>
            </w:pPr>
            <w:r>
              <w:rPr>
                <w:rFonts w:ascii="Arial" w:cs="Arial" w:eastAsia="Arial" w:hAnsi="Arial"/>
                <w:color w:val="444444"/>
                <w:sz w:val="19"/>
                <w:szCs w:val="19"/>
              </w:rPr>
              <w:t xml:space="preserve">The game earns attention by withholding. Data revealed at the right moment lands harder than data always on screen. Design for progressive disclosure — new information should feel like a discovery, not a database row.</w:t>
            </w:r>
          </w:p>
        </w:tc>
        <w:tc>
          <w:tcPr>
            <w:tcW w:type="dxa" w:w="4600"/>
            <w:tcBorders>
              <w:top w:val="none"/>
              <w:left w:val="none"/>
              <w:bottom w:val="none"/>
              <w:right w:val="none"/>
            </w:tcBorders>
            <w:shd w:fill="F8F8F8" w:val="clear"/>
            <w:tcMar>
              <w:top w:type="dxa" w:w="180"/>
              <w:left w:type="dxa" w:w="200"/>
              <w:bottom w:type="dxa" w:w="180"/>
              <w:right w:type="dxa" w:w="200"/>
            </w:tcMar>
          </w:tcPr>
          <w:p>
            <w:pPr>
              <w:spacing w:after="80"/>
            </w:pPr>
            <w:r>
              <w:rPr>
                <w:rFonts w:ascii="Arial" w:cs="Arial" w:eastAsia="Arial" w:hAnsi="Arial"/>
                <w:b/>
                <w:bCs/>
                <w:color w:val="1A1A1A"/>
                <w:sz w:val="22"/>
                <w:szCs w:val="22"/>
              </w:rPr>
              <w:t xml:space="preserve">Ceremony for consequential moments</w:t>
            </w:r>
          </w:p>
          <w:p>
            <w:pPr>
              <w:spacing w:after="0"/>
            </w:pPr>
            <w:r>
              <w:rPr>
                <w:rFonts w:ascii="Arial" w:cs="Arial" w:eastAsia="Arial" w:hAnsi="Arial"/>
                <w:color w:val="444444"/>
                <w:sz w:val="19"/>
                <w:szCs w:val="19"/>
              </w:rPr>
              <w:t xml:space="preserve">Signing an artist, seeing weekly royalties, a contract expiry — these are the emotional peaks. They must have more visual weight than changing a setting. The gap between quiet moments and ceremonial ones is what makes ceremony feel meaningful.</w:t>
            </w:r>
          </w:p>
        </w:tc>
      </w:tr>
      <w:tr>
        <w:trPr>
          <w:tblHeader w:val="false"/>
        </w:trPr>
        <w:tc>
          <w:tcPr>
            <w:tcW w:type="dxa" w:w="9360"/>
            <w:tcBorders>
              <w:top w:val="none"/>
              <w:left w:val="none"/>
              <w:bottom w:val="none"/>
              <w:right w:val="none"/>
            </w:tcBorders>
          </w:tcPr>
          <w:p>
            <w:pPr>
              <w:spacing w:after="0"/>
            </w:pPr>
          </w:p>
        </w:tc>
      </w:tr>
      <w:tr>
        <w:trPr>
          <w:tblHeader w:val="false"/>
        </w:trPr>
        <w:tc>
          <w:tcPr>
            <w:tcW w:type="dxa" w:w="4600"/>
            <w:tcBorders>
              <w:top w:val="none"/>
              <w:left w:val="none"/>
              <w:bottom w:val="none"/>
              <w:right w:val="none"/>
            </w:tcBorders>
            <w:shd w:fill="F8F8F8" w:val="clear"/>
            <w:tcMar>
              <w:top w:type="dxa" w:w="180"/>
              <w:left w:type="dxa" w:w="200"/>
              <w:bottom w:type="dxa" w:w="180"/>
              <w:right w:type="dxa" w:w="200"/>
            </w:tcMar>
          </w:tcPr>
          <w:p>
            <w:pPr>
              <w:spacing w:after="80"/>
            </w:pPr>
            <w:r>
              <w:rPr>
                <w:rFonts w:ascii="Arial" w:cs="Arial" w:eastAsia="Arial" w:hAnsi="Arial"/>
                <w:b/>
                <w:bCs/>
                <w:color w:val="1A1A1A"/>
                <w:sz w:val="22"/>
                <w:szCs w:val="22"/>
              </w:rPr>
              <w:t xml:space="preserve">Data should have a heartbeat</w:t>
            </w:r>
          </w:p>
          <w:p>
            <w:pPr>
              <w:spacing w:after="0"/>
            </w:pPr>
            <w:r>
              <w:rPr>
                <w:rFonts w:ascii="Arial" w:cs="Arial" w:eastAsia="Arial" w:hAnsi="Arial"/>
                <w:color w:val="444444"/>
                <w:sz w:val="19"/>
                <w:szCs w:val="19"/>
              </w:rPr>
              <w:t xml:space="preserve">Real Spotify streams refresh daily. The UI should feel like something is always moving underneath it — not constantly animated, but alive. Spark lines, day indicators, countdown timers, and pulse effects make real data feel real.</w:t>
            </w:r>
          </w:p>
        </w:tc>
        <w:tc>
          <w:tcPr>
            <w:tcW w:type="dxa" w:w="4600"/>
            <w:tcBorders>
              <w:top w:val="none"/>
              <w:left w:val="none"/>
              <w:bottom w:val="none"/>
              <w:right w:val="none"/>
            </w:tcBorders>
            <w:shd w:fill="F8F8F8" w:val="clear"/>
            <w:tcMar>
              <w:top w:type="dxa" w:w="180"/>
              <w:left w:type="dxa" w:w="200"/>
              <w:bottom w:type="dxa" w:w="180"/>
              <w:right w:type="dxa" w:w="200"/>
            </w:tcMar>
          </w:tcPr>
          <w:p>
            <w:pPr>
              <w:spacing w:after="80"/>
            </w:pPr>
            <w:r>
              <w:rPr>
                <w:rFonts w:ascii="Arial" w:cs="Arial" w:eastAsia="Arial" w:hAnsi="Arial"/>
                <w:b/>
                <w:bCs/>
                <w:color w:val="1A1A1A"/>
                <w:sz w:val="22"/>
                <w:szCs w:val="22"/>
              </w:rPr>
              <w:t xml:space="preserve">Reward prior knowledge</w:t>
            </w:r>
          </w:p>
          <w:p>
            <w:pPr>
              <w:spacing w:after="0"/>
            </w:pPr>
            <w:r>
              <w:rPr>
                <w:rFonts w:ascii="Arial" w:cs="Arial" w:eastAsia="Arial" w:hAnsi="Arial"/>
                <w:color w:val="444444"/>
                <w:sz w:val="19"/>
                <w:szCs w:val="19"/>
              </w:rPr>
              <w:t xml:space="preserve">A player who already knows an artist should feel their knowledge is valued — not neutralised by tutorials. Surfaces like the artist profile and the signing screen should feel familiar to someone with A&amp;R experience, not generic.</w:t>
            </w:r>
          </w:p>
        </w:tc>
      </w:tr>
    </w:tbl>
    <w:p>
      <w:pPr>
        <w:pStyle w:val="Heading1"/>
      </w:pPr>
      <w:r>
        <w:rPr>
          <w:rFonts w:ascii="Arial" w:cs="Arial" w:eastAsia="Arial" w:hAnsi="Arial"/>
        </w:rPr>
        <w:t xml:space="preserve">2. Screen Hierarchy &amp; Navigation</w:t>
      </w:r>
    </w:p>
    <w:p>
      <w:pPr>
        <w:spacing w:after="160" w:before="0"/>
      </w:pPr>
      <w:r>
        <w:rPr>
          <w:rFonts w:ascii="Arial" w:cs="Arial" w:eastAsia="Arial" w:hAnsi="Arial"/>
          <w:color w:val="333333"/>
          <w:sz w:val="20"/>
          <w:szCs w:val="20"/>
        </w:rPr>
        <w:t xml:space="preserve">Roster has five primary surfaces. Each has a distinct emotional register and a clear purpose. Do not blend them.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Screen</w:t>
            </w:r>
          </w:p>
        </w:tc>
        <w:tc>
          <w:tcPr>
            <w:tcW w:type="dxa" w:w="30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Emotional register</w:t>
            </w:r>
          </w:p>
        </w:tc>
        <w:tc>
          <w:tcPr>
            <w:tcW w:type="dxa" w:w="45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Key design constraint</w:t>
            </w:r>
          </w:p>
        </w:tc>
      </w:tr>
      <w:tr>
        <w:trPr>
          <w:tblHeader w:val="false"/>
        </w:trPr>
        <w:tc>
          <w:tcPr>
            <w:tcW w:type="dxa" w:w="18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Dashboard</w:t>
            </w:r>
          </w:p>
        </w:tc>
        <w:tc>
          <w:tcPr>
            <w:tcW w:type="dxa" w:w="3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Ambient, alive, always-on</w:t>
            </w:r>
          </w:p>
        </w:tc>
        <w:tc>
          <w:tcPr>
            <w:tcW w:type="dxa" w:w="456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Should look different on Monday vs Sunday. Artist cards must pulse when alerts are active.</w:t>
            </w:r>
          </w:p>
        </w:tc>
      </w:tr>
      <w:tr>
        <w:trPr>
          <w:tblHeader w:val="false"/>
        </w:trPr>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Artist Profile</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Deliberate, evaluative</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Player is reading the room before they act. No distractions. Data hierarchy is strict.</w:t>
            </w:r>
          </w:p>
        </w:tc>
      </w:tr>
      <w:tr>
        <w:trPr>
          <w:tblHeader w:val="false"/>
        </w:trPr>
        <w:tc>
          <w:tcPr>
            <w:tcW w:type="dxa" w:w="18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Signing Screen</w:t>
            </w:r>
          </w:p>
        </w:tc>
        <w:tc>
          <w:tcPr>
            <w:tcW w:type="dxa" w:w="3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Tense, consequential</w:t>
            </w:r>
          </w:p>
        </w:tc>
        <w:tc>
          <w:tcPr>
            <w:tcW w:type="dxa" w:w="456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Three-act flow. Never a form. The waiting moment before the response is load-bearing.</w:t>
            </w:r>
          </w:p>
        </w:tc>
      </w:tr>
      <w:tr>
        <w:trPr>
          <w:tblHeader w:val="false"/>
        </w:trPr>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Weekly Results</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Satisfying, reflective</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Full-screen reveal before the dashboard returns. One number, large. Then breakdown.</w:t>
            </w:r>
          </w:p>
        </w:tc>
      </w:tr>
      <w:tr>
        <w:trPr>
          <w:tblHeader w:val="false"/>
        </w:trPr>
        <w:tc>
          <w:tcPr>
            <w:tcW w:type="dxa" w:w="18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Contract Expiry</w:t>
            </w:r>
          </w:p>
        </w:tc>
        <w:tc>
          <w:tcPr>
            <w:tcW w:type="dxa" w:w="3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Climactic, weighted</w:t>
            </w:r>
          </w:p>
        </w:tc>
        <w:tc>
          <w:tcPr>
            <w:tcW w:type="dxa" w:w="456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The emotional peak of each artist arc. Show the full history. All three options visible.</w:t>
            </w:r>
          </w:p>
        </w:tc>
      </w:tr>
    </w:tbl>
    <w:p>
      <w:pPr>
        <w:pStyle w:val="Heading1"/>
      </w:pPr>
      <w:r>
        <w:rPr>
          <w:rFonts w:ascii="Arial" w:cs="Arial" w:eastAsia="Arial" w:hAnsi="Arial"/>
        </w:rPr>
        <w:t xml:space="preserve">3. The Signing Flow</w:t>
      </w:r>
    </w:p>
    <w:p>
      <w:pPr>
        <w:spacing w:after="160" w:before="0"/>
      </w:pPr>
      <w:r>
        <w:rPr>
          <w:rFonts w:ascii="Arial" w:cs="Arial" w:eastAsia="Arial" w:hAnsi="Arial"/>
          <w:color w:val="333333"/>
          <w:sz w:val="20"/>
          <w:szCs w:val="20"/>
        </w:rPr>
        <w:t xml:space="preserve">This is the most important interaction in the game. It must feel like sitting across a table from someone — not filling out a form. Implement it as a three-act sequence with distinct panels, not a single modal.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rPr>
          <w:tblHeader w:val="false"/>
        </w:trPr>
        <w:tc>
          <w:tcPr>
            <w:tcW w:type="dxa" w:w="240"/>
            <w:tcBorders>
              <w:top w:val="single" w:color="DDDDDD" w:sz="1"/>
              <w:left w:val="single" w:color="DDDDDD" w:sz="1"/>
              <w:bottom w:val="single" w:color="DDDDDD" w:sz="1"/>
              <w:right w:val="single" w:color="DDDDDD" w:sz="1"/>
            </w:tcBorders>
            <w:shd w:fill="2E75B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WHY</w:t>
            </w:r>
          </w:p>
        </w:tc>
        <w:tc>
          <w:tcPr>
            <w:tcW w:type="dxa" w:w="9120"/>
            <w:tcBorders>
              <w:top w:val="single" w:color="DDDDDD" w:sz="1"/>
              <w:left w:val="single" w:color="DDDDDD" w:sz="1"/>
              <w:bottom w:val="single" w:color="DDDDDD" w:sz="1"/>
              <w:right w:val="single" w:color="DDDDDD" w:sz="1"/>
            </w:tcBorders>
            <w:shd w:fill="EBF3FC" w:val="clear"/>
            <w:tcMar>
              <w:top w:type="dxa" w:w="100"/>
              <w:left w:type="dxa" w:w="140"/>
              <w:bottom w:type="dxa" w:w="100"/>
              <w:right w:type="dxa" w:w="140"/>
            </w:tcMar>
          </w:tcPr>
          <w:p>
            <w:pPr>
              <w:jc w:val="left"/>
            </w:pPr>
            <w:r>
              <w:rPr>
                <w:rFonts w:ascii="Arial" w:cs="Arial" w:eastAsia="Arial" w:hAnsi="Arial"/>
                <w:color w:val="111111"/>
                <w:sz w:val="19"/>
                <w:szCs w:val="19"/>
              </w:rPr>
              <w:t xml:space="preserve">The GDD describes hidden priority weights, cultural signals, and a live likelihood indicator with intentional lag and noise. A form collapses all of this into a data entry exercise. The ceremony of negotiation is where the skill gap between players lives.</w:t>
            </w:r>
          </w:p>
        </w:tc>
      </w:tr>
    </w:tbl>
    <w:p>
      <w:pPr>
        <w:spacing w:after="160"/>
      </w:pPr>
    </w:p>
    <w:p>
      <w:pPr>
        <w:pStyle w:val="Heading2"/>
      </w:pPr>
      <w:r>
        <w:rPr>
          <w:rFonts w:ascii="Arial" w:cs="Arial" w:eastAsia="Arial" w:hAnsi="Arial"/>
        </w:rPr>
        <w:t xml:space="preserve">Act 1 — Reading the Room</w:t>
      </w:r>
    </w:p>
    <w:p>
      <w:pPr>
        <w:spacing w:after="160" w:before="0"/>
      </w:pPr>
      <w:r>
        <w:rPr>
          <w:rFonts w:ascii="Arial" w:cs="Arial" w:eastAsia="Arial" w:hAnsi="Arial"/>
          <w:color w:val="333333"/>
          <w:sz w:val="20"/>
          <w:szCs w:val="20"/>
        </w:rPr>
        <w:t xml:space="preserve">Shown before the player opens their offer. This screen cannot be skipped.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What to show</w:t>
            </w:r>
          </w:p>
        </w:tc>
        <w:tc>
          <w:tcPr>
            <w:tcW w:type="dxa" w:w="624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Implementation notes</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Artist name, tier, region, genre</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Large type. This is the identity line. Not a data row.</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Key stats: monthly listeners, 7-day velocity, Momentum Score</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Three numbers in a row with clear labels. Velocity shows as +/- percentage with colour: green positive, muted negative.</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Signal tags</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Small pill tags surfacing cultural signals: 'Self-released last 2 projects', 'Turned down prior offers', 'Scout: Freedom-weighted'. Tags from the scout report use a distinct fill (info blue). Tags from public data are neutral grey. This is where prior music knowledge is rewarded.</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Narrative paragraph</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One short paragraph of plain English interpretation. Not a data dump — a reading. 'Two years building independently. The scout report is clear: this artist values control above everything.' Max 3 sentences.</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CTA</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Single button: 'Build your offer →'. No skip. The player must sit with this before they act.</w:t>
            </w:r>
          </w:p>
        </w:tc>
      </w:tr>
    </w:tbl>
    <w:p>
      <w:pPr>
        <w:spacing w:after="200"/>
      </w:pPr>
    </w:p>
    <w:p>
      <w:pPr>
        <w:pStyle w:val="Heading2"/>
      </w:pPr>
      <w:r>
        <w:rPr>
          <w:rFonts w:ascii="Arial" w:cs="Arial" w:eastAsia="Arial" w:hAnsi="Arial"/>
        </w:rPr>
        <w:t xml:space="preserve">Act 2 — Building the Offer</w:t>
      </w:r>
    </w:p>
    <w:p>
      <w:pPr>
        <w:spacing w:after="160" w:before="0"/>
      </w:pPr>
      <w:r>
        <w:rPr>
          <w:rFonts w:ascii="Arial" w:cs="Arial" w:eastAsia="Arial" w:hAnsi="Arial"/>
          <w:color w:val="333333"/>
          <w:sz w:val="20"/>
          <w:szCs w:val="20"/>
        </w:rPr>
        <w:t xml:space="preserve">The offer construction screen. Lead with the split — it is the most emotionally loaded variable.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Element</w:t>
            </w:r>
          </w:p>
        </w:tc>
        <w:tc>
          <w:tcPr>
            <w:tcW w:type="dxa" w:w="624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Implementation notes</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Variable order</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Revenue split FIRST, then signing bonus, then contract term. The split is about respect — it signals how you see the artist. Putting money first sends the wrong message and trains the wrong reading.</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Split visualisation</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A horizontal bar showing artist% vs label% updating live. Numbers beside it (e.g. '72% artist / 28% label'). The bar makes the power dynamic visible.</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Likelihood indicator</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A face or ring element (not a colour bar, not a percentage). States: neutral/unsure → promising → misaligned. Updates with a 400ms delay after slider change + slight noise (±1 state jitter on weaker signals). With a scout report: add a one-line directional hint below — 'Split appears to be the weak point.' Never say what value to set.</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Estimated royalties</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Show estimated weekly label income at current split, calculated live. Grounds the abstract split % in real money. Format: '$X,XXX / week'.</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Contract term</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Three toggle buttons (3 months / 6 months / 12 months). Not a slider. These are meaningfully different commitments, not a continuous range.</w:t>
            </w:r>
          </w:p>
        </w:tc>
      </w:tr>
    </w:tbl>
    <w:p>
      <w:pPr>
        <w:spacing w:after="200"/>
      </w:pPr>
    </w:p>
    <w:p>
      <w:pPr>
        <w:pStyle w:val="Heading2"/>
      </w:pPr>
      <w:r>
        <w:rPr>
          <w:rFonts w:ascii="Arial" w:cs="Arial" w:eastAsia="Arial" w:hAnsi="Arial"/>
        </w:rPr>
        <w:t xml:space="preserve">Act 3 — The Response</w:t>
      </w:r>
    </w:p>
    <w:p>
      <w:pPr>
        <w:spacing w:after="160" w:before="0"/>
      </w:pPr>
      <w:r>
        <w:rPr>
          <w:rFonts w:ascii="Arial" w:cs="Arial" w:eastAsia="Arial" w:hAnsi="Arial"/>
          <w:color w:val="333333"/>
          <w:sz w:val="20"/>
          <w:szCs w:val="20"/>
        </w:rPr>
        <w:t xml:space="preserve">The most important screen in the entire game. It currently renders as one message. This is the problem.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rPr>
          <w:tblHeader w:val="false"/>
        </w:trPr>
        <w:tc>
          <w:tcPr>
            <w:tcW w:type="dxa" w:w="240"/>
            <w:tcBorders>
              <w:top w:val="single" w:color="DDDDDD" w:sz="1"/>
              <w:left w:val="single" w:color="DDDDDD" w:sz="1"/>
              <w:bottom w:val="single" w:color="DDDDDD" w:sz="1"/>
              <w:right w:val="single" w:color="DDDDDD"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9120"/>
            <w:tcBorders>
              <w:top w:val="single" w:color="DDDDDD" w:sz="1"/>
              <w:left w:val="single" w:color="DDDDDD" w:sz="1"/>
              <w:bottom w:val="single" w:color="DDDDDD" w:sz="1"/>
              <w:right w:val="single" w:color="DDDDDD" w:sz="1"/>
            </w:tcBorders>
            <w:shd w:fill="FDF0EE" w:val="clear"/>
            <w:tcMar>
              <w:top w:type="dxa" w:w="100"/>
              <w:left w:type="dxa" w:w="140"/>
              <w:bottom w:type="dxa" w:w="100"/>
              <w:right w:type="dxa" w:w="140"/>
            </w:tcMar>
          </w:tcPr>
          <w:p>
            <w:pPr>
              <w:jc w:val="left"/>
            </w:pPr>
            <w:r>
              <w:rPr>
                <w:rFonts w:ascii="Arial" w:cs="Arial" w:eastAsia="Arial" w:hAnsi="Arial"/>
                <w:color w:val="111111"/>
                <w:sz w:val="19"/>
                <w:szCs w:val="19"/>
              </w:rPr>
              <w:t xml:space="preserve">Add a 1.8–2.5 second 'waiting for response' interstitial before the result renders. Animated thinking dots. One line of flavour text that doesn't reveal the outcome. This single change transforms a database write into a human moment.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Outcome</w:t>
            </w:r>
          </w:p>
        </w:tc>
        <w:tc>
          <w:tcPr>
            <w:tcW w:type="dxa" w:w="24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Visual treatment</w:t>
            </w:r>
          </w:p>
        </w:tc>
        <w:tc>
          <w:tcPr>
            <w:tcW w:type="dxa" w:w="536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Copy and detail</w:t>
            </w:r>
          </w:p>
        </w:tc>
      </w:tr>
      <w:tr>
        <w:trPr>
          <w:tblHeader w:val="false"/>
        </w:trPr>
        <w:tc>
          <w:tcPr>
            <w:tcW w:type="dxa" w:w="160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Acceptance</w:t>
            </w:r>
          </w:p>
        </w:tc>
        <w:tc>
          <w:tcPr>
            <w:tcW w:type="dxa" w:w="240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Warm, clean. Large 'Signed.' heading. Stats locked in below.</w:t>
            </w:r>
          </w:p>
        </w:tc>
        <w:tc>
          <w:tcPr>
            <w:tcW w:type="dxa" w:w="536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Show: stats at signing (listeners, velocity) + est. weekly label income + contract terms in a summary card. Sub-headline: 'First-round acceptance — they liked what they saw.' Fade in the summary card 200ms after the heading.</w:t>
            </w:r>
          </w:p>
        </w:tc>
      </w:tr>
      <w:tr>
        <w:trPr>
          <w:tblHeader w:val="false"/>
        </w:trPr>
        <w:tc>
          <w:tcPr>
            <w:tcW w:type="dxa" w:w="160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tcPr>
          <w:p>
            <w:pPr>
              <w:jc w:val="left"/>
            </w:pPr>
            <w:r>
              <w:rPr>
                <w:rFonts w:ascii="Arial" w:cs="Arial" w:eastAsia="Arial" w:hAnsi="Arial"/>
                <w:color w:val="000000"/>
                <w:sz w:val="20"/>
                <w:szCs w:val="20"/>
              </w:rPr>
              <w:t xml:space="preserve">Counter-offer</w:t>
            </w:r>
          </w:p>
        </w:tc>
        <w:tc>
          <w:tcPr>
            <w:tcW w:type="dxa" w:w="240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tcPr>
          <w:p>
            <w:pPr>
              <w:jc w:val="left"/>
            </w:pPr>
            <w:r>
              <w:rPr>
                <w:rFonts w:ascii="Arial" w:cs="Arial" w:eastAsia="Arial" w:hAnsi="Arial"/>
                <w:color w:val="000000"/>
                <w:sz w:val="20"/>
                <w:szCs w:val="20"/>
              </w:rPr>
              <w:t xml:space="preserve">Tense. Show their counter terms clearly with the changed variable highlighted.</w:t>
            </w:r>
          </w:p>
        </w:tc>
        <w:tc>
          <w:tcPr>
            <w:tcW w:type="dxa" w:w="536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tcPr>
          <w:p>
            <w:pPr>
              <w:jc w:val="left"/>
            </w:pPr>
            <w:r>
              <w:rPr>
                <w:rFonts w:ascii="Arial" w:cs="Arial" w:eastAsia="Arial" w:hAnsi="Arial"/>
                <w:color w:val="000000"/>
                <w:sz w:val="20"/>
                <w:szCs w:val="20"/>
              </w:rPr>
              <w:t xml:space="preserve">Explain which variable they moved and the implication ('They pushed back on the split — consistent with a Freedom-weighted profile'). Two CTAs: 'Accept counter' and 'Revise and resubmit'. Max one further round; if round 2 fails, deal collapses.</w:t>
            </w:r>
          </w:p>
        </w:tc>
      </w:tr>
      <w:tr>
        <w:trPr>
          <w:tblHeader w:val="false"/>
        </w:trPr>
        <w:tc>
          <w:tcPr>
            <w:tcW w:type="dxa" w:w="16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Rejection</w:t>
            </w:r>
          </w:p>
        </w:tc>
        <w:tc>
          <w:tcPr>
            <w:tcW w:type="dxa" w:w="24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Cold, final. Muted palette. Large 'Pass.' in secondary text colour.</w:t>
            </w:r>
          </w:p>
        </w:tc>
        <w:tc>
          <w:tcPr>
            <w:tcW w:type="dxa" w:w="536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Show what the gap was — which variable was the issue. '30-day cooling off. They're not available to you during this period.' One CTA: 'Understood'. No way to immediately retry.</w:t>
            </w:r>
          </w:p>
        </w:tc>
      </w:tr>
    </w:tbl>
    <w:p>
      <w:pPr>
        <w:pStyle w:val="Heading1"/>
      </w:pPr>
      <w:r>
        <w:rPr>
          <w:rFonts w:ascii="Arial" w:cs="Arial" w:eastAsia="Arial" w:hAnsi="Arial"/>
        </w:rPr>
        <w:t xml:space="preserve">4. Dashboard — Ambient Pulse</w:t>
      </w:r>
    </w:p>
    <w:p>
      <w:pPr>
        <w:spacing w:after="160" w:before="0"/>
      </w:pPr>
      <w:r>
        <w:rPr>
          <w:rFonts w:ascii="Arial" w:cs="Arial" w:eastAsia="Arial" w:hAnsi="Arial"/>
          <w:color w:val="333333"/>
          <w:sz w:val="20"/>
          <w:szCs w:val="20"/>
        </w:rPr>
        <w:t xml:space="preserve">The dashboard is not a static table. It is the label's living room — something should always be moving. The player should be able to tell at a glance what day of the week it is and where their artists are headed.</w:t>
      </w:r>
    </w:p>
    <w:p>
      <w:pPr>
        <w:spacing w:after="120"/>
      </w:pPr>
    </w:p>
    <w:p>
      <w:pPr>
        <w:pStyle w:val="Heading2"/>
      </w:pPr>
      <w:r>
        <w:rPr>
          <w:rFonts w:ascii="Arial" w:cs="Arial" w:eastAsia="Arial" w:hAnsi="Arial"/>
        </w:rPr>
        <w:t xml:space="preserve">Week Progress Indicator</w:t>
      </w:r>
    </w:p>
    <w:p>
      <w:pPr>
        <w:spacing w:after="160" w:before="0"/>
      </w:pPr>
      <w:r>
        <w:rPr>
          <w:rFonts w:ascii="Arial" w:cs="Arial" w:eastAsia="Arial" w:hAnsi="Arial"/>
          <w:color w:val="333333"/>
          <w:sz w:val="20"/>
          <w:szCs w:val="20"/>
        </w:rPr>
        <w:t xml:space="preserve">A persistent element showing the current day within the weekly cycle. Required — it provides orientation that the entire game cadence depends 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Spec</w:t>
            </w:r>
          </w:p>
        </w:tc>
        <w:tc>
          <w:tcPr>
            <w:tcW w:type="dxa" w:w="624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Detail</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Format</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Seven dots or pills: Mon · Tue · Wed · Thu · Fri · Sat · Sun. Current day highlighted with primary text colour. Past days muted. Future days at 30% opacity.</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Position</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Top of dashboard, always visible. Not in a card — it floats above the artist grid.</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Monday special state</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Monday shows a 'Budget unlocked' indicator alongside the day marker. This is the budget allocation prompt. It should feel like a new week starting, not a reminder notification.</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Sunday special state</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Sunday shows 'Royalties calculating…' in anticipation. After the calculation runs, it transitions to 'Week complete — see results →'.</w:t>
            </w:r>
          </w:p>
        </w:tc>
      </w:tr>
    </w:tbl>
    <w:p>
      <w:pPr>
        <w:spacing w:after="200"/>
      </w:pPr>
    </w:p>
    <w:p>
      <w:pPr>
        <w:pStyle w:val="Heading2"/>
      </w:pPr>
      <w:r>
        <w:rPr>
          <w:rFonts w:ascii="Arial" w:cs="Arial" w:eastAsia="Arial" w:hAnsi="Arial"/>
        </w:rPr>
        <w:t xml:space="preserve">Artist Cards</w:t>
      </w:r>
    </w:p>
    <w:p>
      <w:pPr>
        <w:spacing w:after="160" w:before="0"/>
      </w:pPr>
      <w:r>
        <w:rPr>
          <w:rFonts w:ascii="Arial" w:cs="Arial" w:eastAsia="Arial" w:hAnsi="Arial"/>
          <w:color w:val="333333"/>
          <w:sz w:val="20"/>
          <w:szCs w:val="20"/>
        </w:rPr>
        <w:t xml:space="preserve">Each signed artist is a card. Cards are not static — they reflect real-time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State</w:t>
            </w:r>
          </w:p>
        </w:tc>
        <w:tc>
          <w:tcPr>
            <w:tcW w:type="dxa" w:w="624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Visual treatment</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Default</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Artist name, tier badge, Momentum Score, weekly royalty income, 7-bar spark line (Mon–Sun). Spark line bars animate fill on load — left to right, 300ms stagger. Bars for days with no data yet render at 30% height in muted grey.</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Breaking Alert active</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Card border pulses amber: CSS animation, 2s ease-in-out infinite. A small 'BREAKING' pill in amber appears top-right of the card. '47h left' countdown visible. This must be impossible to miss — it is a time-limited opportunity.</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Contract expiring soon</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Within 7 days of expiry: a subtle expiry indicator below the artist name ('Contract ends in 5 days'). Not urgent styling — the decision is strategic, not panicked.</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Negative velocity</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If 7-day stream velocity is negative, the spark line's most recent bars render in coral/red. The velocity number shows in the same colour. No other special treatment — the data makes its own case.</w:t>
            </w:r>
          </w:p>
        </w:tc>
      </w:tr>
    </w:tbl>
    <w:p>
      <w:pPr>
        <w:pStyle w:val="Heading1"/>
      </w:pPr>
      <w:r>
        <w:rPr>
          <w:rFonts w:ascii="Arial" w:cs="Arial" w:eastAsia="Arial" w:hAnsi="Arial"/>
        </w:rPr>
        <w:t xml:space="preserve">5. Weekly Results Reveal</w:t>
      </w:r>
    </w:p>
    <w:p>
      <w:pPr>
        <w:spacing w:after="160" w:before="0"/>
      </w:pPr>
      <w:r>
        <w:rPr>
          <w:rFonts w:ascii="Arial" w:cs="Arial" w:eastAsia="Arial" w:hAnsi="Arial"/>
          <w:color w:val="333333"/>
          <w:sz w:val="20"/>
          <w:szCs w:val="20"/>
        </w:rPr>
        <w:t xml:space="preserve">The Sunday royalty calculation is the emotional peak of every week. When the player first opens the app after it runs, they must see a results screen — not the dashboard. This is not a notification. It is a moment.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rPr>
          <w:tblHeader w:val="false"/>
        </w:trPr>
        <w:tc>
          <w:tcPr>
            <w:tcW w:type="dxa" w:w="240"/>
            <w:tcBorders>
              <w:top w:val="single" w:color="DDDDDD" w:sz="1"/>
              <w:left w:val="single" w:color="DDDDDD" w:sz="1"/>
              <w:bottom w:val="single" w:color="DDDDDD" w:sz="1"/>
              <w:right w:val="single" w:color="DDDDDD"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INTENT</w:t>
            </w:r>
          </w:p>
        </w:tc>
        <w:tc>
          <w:tcPr>
            <w:tcW w:type="dxa" w:w="9120"/>
            <w:tcBorders>
              <w:top w:val="single" w:color="DDDDDD" w:sz="1"/>
              <w:left w:val="single" w:color="DDDDDD" w:sz="1"/>
              <w:bottom w:val="single" w:color="DDDDDD" w:sz="1"/>
              <w:right w:val="single" w:color="DDDDDD" w:sz="1"/>
            </w:tcBorders>
            <w:shd w:fill="EDFAF3" w:val="clear"/>
            <w:tcMar>
              <w:top w:type="dxa" w:w="100"/>
              <w:left w:type="dxa" w:w="140"/>
              <w:bottom w:type="dxa" w:w="100"/>
              <w:right w:type="dxa" w:w="140"/>
            </w:tcMar>
          </w:tcPr>
          <w:p>
            <w:pPr>
              <w:jc w:val="left"/>
            </w:pPr>
            <w:r>
              <w:rPr>
                <w:rFonts w:ascii="Arial" w:cs="Arial" w:eastAsia="Arial" w:hAnsi="Arial"/>
                <w:color w:val="111111"/>
                <w:sz w:val="19"/>
                <w:szCs w:val="19"/>
              </w:rPr>
              <w:t xml:space="preserve">The results reveal creates a ritual. Players will start anticipating it. The Monday budget allocation that follows feels earned rather than obligatory. These two moments — the reveal and the allocation — are the weekly heartbeat of the game.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Element</w:t>
            </w:r>
          </w:p>
        </w:tc>
        <w:tc>
          <w:tcPr>
            <w:tcW w:type="dxa" w:w="624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Spec</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Headline number</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Total weekly royalties in large type (48–56px). Week-over-week delta below it in smaller type: '↑ 23% from last week' in green, or '↓ 12%' in coral. This number should dominate the screen.</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Artist breakdown</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Each artist's contribution listed below the headline, smaller. Name + amount + brief velocity context ('Laylow: $4,280 — up 18% this week'). Fade in 300ms after headline renders.</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Development ROI</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If any development spend was active this week, show a single line: 'Development spend returned $X above base'. Makes the investment system legible.</w:t>
            </w:r>
          </w:p>
        </w:tc>
      </w:tr>
      <w:tr>
        <w:trPr>
          <w:tblHeader w:val="false"/>
        </w:trP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CTA</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Single primary button: 'Allocate next week's budget →'. This transitions to the budget allocation screen, which then returns to the dashboard. The results screen is a gate — the player must pass through it.</w:t>
            </w:r>
          </w:p>
        </w:tc>
      </w:tr>
      <w:tr>
        <w:trPr>
          <w:tblHeader w:val="false"/>
        </w:trP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Leaderboard nudge</w:t>
            </w:r>
          </w:p>
        </w:tc>
        <w:tc>
          <w:tcPr>
            <w:tcW w:type="dxa" w:w="62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Small secondary line: 'You're ranked #47 this week — up 3 positions.' Only show after week 1. Passive, not prominent.</w:t>
            </w:r>
          </w:p>
        </w:tc>
      </w:tr>
    </w:tbl>
    <w:p>
      <w:pPr>
        <w:pStyle w:val="Heading1"/>
      </w:pPr>
      <w:r>
        <w:rPr>
          <w:rFonts w:ascii="Arial" w:cs="Arial" w:eastAsia="Arial" w:hAnsi="Arial"/>
        </w:rPr>
        <w:t xml:space="preserve">6. Contract Expiry Screen</w:t>
      </w:r>
    </w:p>
    <w:p>
      <w:pPr>
        <w:spacing w:after="160" w:before="0"/>
      </w:pPr>
      <w:r>
        <w:rPr>
          <w:rFonts w:ascii="Arial" w:cs="Arial" w:eastAsia="Arial" w:hAnsi="Arial"/>
          <w:color w:val="333333"/>
          <w:sz w:val="20"/>
          <w:szCs w:val="20"/>
        </w:rPr>
        <w:t xml:space="preserve">The emotional climax of each artist arc. The player sees the full history of their relationship with this artist and decides what happens next. This screen should feel like the end of a chapter.</w:t>
      </w:r>
    </w:p>
    <w:p>
      <w:pPr>
        <w:spacing w:after="80"/>
      </w:pPr>
    </w:p>
    <w:p>
      <w:pPr>
        <w:spacing w:after="160" w:before="0"/>
      </w:pPr>
      <w:r>
        <w:rPr>
          <w:rFonts w:ascii="Arial" w:cs="Arial" w:eastAsia="Arial" w:hAnsi="Arial"/>
          <w:color w:val="333333"/>
          <w:sz w:val="20"/>
          <w:szCs w:val="20"/>
        </w:rPr>
        <w:t xml:space="preserve">Show in sequence, not simultaneously:</w:t>
      </w:r>
    </w:p>
    <w:p>
      <w:pPr>
        <w:pStyle w:val="ListParagraph"/>
        <w:numPr>
          <w:ilvl w:val="0"/>
          <w:numId w:val="2"/>
        </w:numPr>
      </w:pPr>
      <w:r>
        <w:rPr>
          <w:rFonts w:ascii="Arial" w:cs="Arial" w:eastAsia="Arial" w:hAnsi="Arial"/>
          <w:color w:val="333333"/>
          <w:sz w:val="20"/>
          <w:szCs w:val="20"/>
        </w:rPr>
        <w:t xml:space="preserve">The artist's stats at signing vs today — listeners, velocity, Momentum Score delta</w:t>
      </w:r>
    </w:p>
    <w:p>
      <w:pPr>
        <w:pStyle w:val="ListParagraph"/>
        <w:numPr>
          <w:ilvl w:val="0"/>
          <w:numId w:val="2"/>
        </w:numPr>
      </w:pPr>
      <w:r>
        <w:rPr>
          <w:rFonts w:ascii="Arial" w:cs="Arial" w:eastAsia="Arial" w:hAnsi="Arial"/>
          <w:color w:val="333333"/>
          <w:sz w:val="20"/>
          <w:szCs w:val="20"/>
        </w:rPr>
        <w:t xml:space="preserve">Total royalties earned over the term and total development investment</w:t>
      </w:r>
    </w:p>
    <w:p>
      <w:pPr>
        <w:pStyle w:val="ListParagraph"/>
        <w:numPr>
          <w:ilvl w:val="0"/>
          <w:numId w:val="2"/>
        </w:numPr>
      </w:pPr>
      <w:r>
        <w:rPr>
          <w:rFonts w:ascii="Arial" w:cs="Arial" w:eastAsia="Arial" w:hAnsi="Arial"/>
          <w:color w:val="333333"/>
          <w:sz w:val="20"/>
          <w:szCs w:val="20"/>
        </w:rPr>
        <w:t xml:space="preserve">Net P&amp;L for the contract period</w:t>
      </w:r>
    </w:p>
    <w:p>
      <w:pPr>
        <w:pStyle w:val="ListParagraph"/>
        <w:numPr>
          <w:ilvl w:val="0"/>
          <w:numId w:val="2"/>
        </w:numPr>
      </w:pPr>
      <w:r>
        <w:rPr>
          <w:rFonts w:ascii="Arial" w:cs="Arial" w:eastAsia="Arial" w:hAnsi="Arial"/>
          <w:color w:val="333333"/>
          <w:sz w:val="20"/>
          <w:szCs w:val="20"/>
        </w:rPr>
        <w:t xml:space="preserve">A momentum spark line across the full contract term</w:t>
      </w:r>
    </w:p>
    <w:p>
      <w:pPr>
        <w:spacing w:after="120"/>
      </w:pPr>
    </w:p>
    <w:p>
      <w:pPr>
        <w:spacing w:after="160" w:before="0"/>
      </w:pPr>
      <w:r>
        <w:rPr>
          <w:rFonts w:ascii="Arial" w:cs="Arial" w:eastAsia="Arial" w:hAnsi="Arial"/>
          <w:color w:val="333333"/>
          <w:sz w:val="20"/>
          <w:szCs w:val="20"/>
        </w:rPr>
        <w:t xml:space="preserve">Then — and only then — present the three options: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Option</w:t>
            </w:r>
          </w:p>
        </w:tc>
        <w:tc>
          <w:tcPr>
            <w:tcW w:type="dxa" w:w="2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Visual weight</w:t>
            </w:r>
          </w:p>
        </w:tc>
        <w:tc>
          <w:tcPr>
            <w:tcW w:type="dxa" w:w="576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9"/>
                <w:szCs w:val="19"/>
              </w:rPr>
              <w:t xml:space="preserve">Copy guidance</w:t>
            </w:r>
          </w:p>
        </w:tc>
      </w:tr>
      <w:tr>
        <w:trPr>
          <w:tblHeader w:val="false"/>
        </w:trPr>
        <w:tc>
          <w:tcPr>
            <w:tcW w:type="dxa" w:w="140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Re-sign</w:t>
            </w:r>
          </w:p>
        </w:tc>
        <w:tc>
          <w:tcPr>
            <w:tcW w:type="dxa" w:w="220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Primary button. Highest weight.</w:t>
            </w:r>
          </w:p>
        </w:tc>
        <w:tc>
          <w:tcPr>
            <w:tcW w:type="dxa" w:w="576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Show the new asking price immediately. If the artist grew, the new terms are more expensive — show the delta explicitly ('They're asking for $48k now vs $12k at signing'). This makes their growth feel real.</w:t>
            </w:r>
          </w:p>
        </w:tc>
      </w:tr>
      <w:tr>
        <w:trPr>
          <w:tblHeader w:val="false"/>
        </w:trP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Release</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Secondary button. Neutral weight.</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'Release back to the free catalog. Your slot opens up. You keep the royalties earned.' Strategic, not emotional. The correct move when an artist has peaked.</w:t>
            </w:r>
          </w:p>
        </w:tc>
      </w:tr>
      <w:tr>
        <w:trPr>
          <w:tblHeader w:val="false"/>
        </w:trPr>
        <w:tc>
          <w:tcPr>
            <w:tcW w:type="dxa" w:w="14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Drop (early)</w:t>
            </w:r>
          </w:p>
        </w:tc>
        <w:tc>
          <w:tcPr>
            <w:tcW w:type="dxa" w:w="22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Tertiary / destructive styling. Low visual prominence.</w:t>
            </w:r>
          </w:p>
        </w:tc>
        <w:tc>
          <w:tcPr>
            <w:tcW w:type="dxa" w:w="576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Only available before natural expiry. Show the buyout penalty amount explicitly. Require a confirmation click. Small reputation penalty shown: '−20 reputation points'.</w:t>
            </w:r>
          </w:p>
        </w:tc>
      </w:tr>
    </w:tbl>
    <w:p>
      <w:pPr>
        <w:pStyle w:val="Heading1"/>
      </w:pPr>
      <w:r>
        <w:rPr>
          <w:rFonts w:ascii="Arial" w:cs="Arial" w:eastAsia="Arial" w:hAnsi="Arial"/>
        </w:rPr>
        <w:t xml:space="preserve">7. Animation &amp; Transition Guidelines</w:t>
      </w:r>
    </w:p>
    <w:p>
      <w:pPr>
        <w:spacing w:after="160" w:before="0"/>
      </w:pPr>
      <w:r>
        <w:rPr>
          <w:rFonts w:ascii="Arial" w:cs="Arial" w:eastAsia="Arial" w:hAnsi="Arial"/>
          <w:color w:val="333333"/>
          <w:sz w:val="20"/>
          <w:szCs w:val="20"/>
        </w:rPr>
        <w:t xml:space="preserve">Roster is not a heavily animated product. Animation is used sparingly — only where it makes data or state change legible. Every animation listed here has a functional reason.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Element</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Animation</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Duration</w:t>
            </w:r>
          </w:p>
        </w:tc>
        <w:tc>
          <w:tcPr>
            <w:tcW w:type="dxa" w:w="29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Reason</w:t>
            </w:r>
          </w:p>
        </w:tc>
      </w:tr>
      <w:tr>
        <w:trPr>
          <w:tblHeader w:val="false"/>
        </w:trPr>
        <w:tc>
          <w:tcPr>
            <w:tcW w:type="dxa" w:w="2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Spark line bars on load</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Fill left-to-right, staggered</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300ms per bar, 40ms stagger</w:t>
            </w:r>
          </w:p>
        </w:tc>
        <w:tc>
          <w:tcPr>
            <w:tcW w:type="dxa" w:w="296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Makes weekly data feel like it's arriving, not just sitting there</w:t>
            </w:r>
          </w:p>
        </w:tc>
      </w:tr>
      <w:tr>
        <w:trPr>
          <w:tblHeader w:val="false"/>
        </w:trP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Breaking Alert card pulse</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Box-shadow pulse, amber</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2s ease-in-out infinite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Time-limited opportunity — must be impossible to miss</w:t>
            </w:r>
          </w:p>
        </w:tc>
      </w:tr>
      <w:tr>
        <w:trPr>
          <w:tblHeader w:val="false"/>
        </w:trPr>
        <w:tc>
          <w:tcPr>
            <w:tcW w:type="dxa" w:w="2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Signing: likelihood indicator update</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Fade transition between states, slight jitter on weak signal</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400ms delay after input, 200ms transition</w:t>
            </w:r>
          </w:p>
        </w:tc>
        <w:tc>
          <w:tcPr>
            <w:tcW w:type="dxa" w:w="296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GDD specifies intentional lag — instant feedback collapses the skill gap</w:t>
            </w:r>
          </w:p>
        </w:tc>
      </w:tr>
      <w:tr>
        <w:trPr>
          <w:tblHeader w:val="false"/>
        </w:trP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Signing: waiting for response</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Thinking dots (3-dot bounce)</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1.8–2.5s before result renders</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Transforms a database write into a human moment</w:t>
            </w:r>
          </w:p>
        </w:tc>
      </w:tr>
      <w:tr>
        <w:trPr>
          <w:tblHeader w:val="false"/>
        </w:trPr>
        <w:tc>
          <w:tcPr>
            <w:tcW w:type="dxa" w:w="2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Signing result: acceptance</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Headline fades in, summary card fades in 200ms later</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200ms + 200ms offset</w:t>
            </w:r>
          </w:p>
        </w:tc>
        <w:tc>
          <w:tcPr>
            <w:tcW w:type="dxa" w:w="296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Staggered reveal makes the outcome feel earned</w:t>
            </w:r>
          </w:p>
        </w:tc>
      </w:tr>
      <w:tr>
        <w:trPr>
          <w:tblHeader w:val="false"/>
        </w:trP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Weekly results reveal</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Slide up from below or fade in full-screen</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300ms ease-out</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Signals a break from the normal dashboard flow</w:t>
            </w:r>
          </w:p>
        </w:tc>
      </w:tr>
      <w:tr>
        <w:trPr>
          <w:tblHeader w:val="false"/>
        </w:trPr>
        <w:tc>
          <w:tcPr>
            <w:tcW w:type="dxa" w:w="2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Budget allocation confirm</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Brief fill animation on the 'spent' portion</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200ms</w:t>
            </w:r>
          </w:p>
        </w:tc>
        <w:tc>
          <w:tcPr>
            <w:tcW w:type="dxa" w:w="296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Makes spending feel like an action, not a configuration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rPr>
          <w:tblHeader w:val="false"/>
        </w:trPr>
        <w:tc>
          <w:tcPr>
            <w:tcW w:type="dxa" w:w="240"/>
            <w:tcBorders>
              <w:top w:val="single" w:color="DDDDDD" w:sz="1"/>
              <w:left w:val="single" w:color="DDDDDD" w:sz="1"/>
              <w:bottom w:val="single" w:color="DDDDDD" w:sz="1"/>
              <w:right w:val="single" w:color="DDDDDD" w:sz="1"/>
            </w:tcBorders>
            <w:shd w:fill="77777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RULE</w:t>
            </w:r>
          </w:p>
        </w:tc>
        <w:tc>
          <w:tcPr>
            <w:tcW w:type="dxa" w:w="9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color w:val="111111"/>
                <w:sz w:val="19"/>
                <w:szCs w:val="19"/>
              </w:rPr>
              <w:t xml:space="preserve">Wrap all animations in prefers-reduced-motion: no-preference. Every animation must degrade gracefully to an instant state change for users who need it.</w:t>
            </w:r>
          </w:p>
        </w:tc>
      </w:tr>
    </w:tbl>
    <w:p>
      <w:pPr>
        <w:pStyle w:val="Heading1"/>
      </w:pPr>
      <w:r>
        <w:rPr>
          <w:rFonts w:ascii="Arial" w:cs="Arial" w:eastAsia="Arial" w:hAnsi="Arial"/>
        </w:rPr>
        <w:t xml:space="preserve">8. Typography &amp;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left w:val="none"/>
              <w:bottom w:val="none"/>
              <w:right w:val="none"/>
            </w:tcBorders>
            <w:tcMar>
              <w:right w:type="dxa" w:w="240"/>
            </w:tcMar>
          </w:tcPr>
          <w:p>
            <w:pPr>
              <w:pStyle w:val="Heading2"/>
            </w:pPr>
            <w:r>
              <w:rPr>
                <w:rFonts w:ascii="Arial" w:cs="Arial" w:eastAsia="Arial" w:hAnsi="Arial"/>
              </w:rPr>
              <w:t xml:space="preserve">Type scale</w:t>
            </w:r>
          </w:p>
          <w:p>
            <w:pPr>
              <w:spacing w:after="80"/>
            </w:pPr>
          </w:p>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1400"/>
              <w:gridCol w:w="3080"/>
            </w:tblGrid>
            <w:tr>
              <w:trPr>
                <w:tblHeader/>
              </w:trPr>
              <w:tc>
                <w:tcPr>
                  <w:tcW w:type="dxa" w:w="14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Use</w:t>
                  </w:r>
                </w:p>
              </w:tc>
              <w:tc>
                <w:tcPr>
                  <w:tcW w:type="dxa" w:w="308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Size</w:t>
                  </w:r>
                </w:p>
              </w:tc>
            </w:tr>
            <w:tr>
              <w:trPr>
                <w:tblHeader w:val="false"/>
              </w:trPr>
              <w:tc>
                <w:tcPr>
                  <w:tcW w:type="dxa" w:w="1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Results headline</w:t>
                  </w:r>
                </w:p>
              </w:tc>
              <w:tc>
                <w:tcPr>
                  <w:tcW w:type="dxa" w:w="30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48–56px / 500wt</w:t>
                  </w:r>
                </w:p>
              </w:tc>
            </w:tr>
            <w:tr>
              <w:trPr>
                <w:tblHeader w:val="false"/>
              </w:trP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Artist name (large)</w:t>
                  </w:r>
                </w:p>
              </w:tc>
              <w:tc>
                <w:tcPr>
                  <w:tcW w:type="dxa" w:w="30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28–32px / 500wt</w:t>
                  </w:r>
                </w:p>
              </w:tc>
            </w:tr>
            <w:tr>
              <w:trPr>
                <w:tblHeader w:val="false"/>
              </w:trPr>
              <w:tc>
                <w:tcPr>
                  <w:tcW w:type="dxa" w:w="1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Section heading</w:t>
                  </w:r>
                </w:p>
              </w:tc>
              <w:tc>
                <w:tcPr>
                  <w:tcW w:type="dxa" w:w="30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18–20px / 500wt</w:t>
                  </w:r>
                </w:p>
              </w:tc>
            </w:tr>
            <w:tr>
              <w:trPr>
                <w:tblHeader w:val="false"/>
              </w:trP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Body / cards</w:t>
                  </w:r>
                </w:p>
              </w:tc>
              <w:tc>
                <w:tcPr>
                  <w:tcW w:type="dxa" w:w="30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14–16px / 400wt</w:t>
                  </w:r>
                </w:p>
              </w:tc>
            </w:tr>
            <w:tr>
              <w:trPr>
                <w:tblHeader w:val="false"/>
              </w:trPr>
              <w:tc>
                <w:tcPr>
                  <w:tcW w:type="dxa" w:w="1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Labels / tags</w:t>
                  </w:r>
                </w:p>
              </w:tc>
              <w:tc>
                <w:tcPr>
                  <w:tcW w:type="dxa" w:w="30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11–13px / 400wt</w:t>
                  </w:r>
                </w:p>
              </w:tc>
            </w:tr>
            <w:tr>
              <w:trPr>
                <w:tblHeader w:val="false"/>
              </w:trP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Stat numbers</w:t>
                  </w:r>
                </w:p>
              </w:tc>
              <w:tc>
                <w:tcPr>
                  <w:tcW w:type="dxa" w:w="30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20–24px / 500wt</w:t>
                  </w:r>
                </w:p>
              </w:tc>
            </w:tr>
          </w:tbl>
          <w:p/>
        </w:tc>
        <w:tc>
          <w:tcPr>
            <w:tcW w:type="dxa" w:w="4560"/>
            <w:tcBorders>
              <w:top w:val="none"/>
              <w:left w:val="none"/>
              <w:bottom w:val="none"/>
              <w:right w:val="none"/>
            </w:tcBorders>
            <w:tcMar>
              <w:left w:type="dxa" w:w="240"/>
            </w:tcMar>
          </w:tcPr>
          <w:p>
            <w:pPr>
              <w:pStyle w:val="Heading2"/>
            </w:pPr>
            <w:r>
              <w:rPr>
                <w:rFonts w:ascii="Arial" w:cs="Arial" w:eastAsia="Arial" w:hAnsi="Arial"/>
              </w:rPr>
              <w:t xml:space="preserve">Semantic colour use</w:t>
            </w:r>
          </w:p>
          <w:p>
            <w:pPr>
              <w:spacing w:after="80"/>
            </w:pPr>
          </w:p>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1400"/>
              <w:gridCol w:w="3080"/>
            </w:tblGrid>
            <w:tr>
              <w:trPr>
                <w:tblHeader/>
              </w:trPr>
              <w:tc>
                <w:tcPr>
                  <w:tcW w:type="dxa" w:w="14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Signal</w:t>
                  </w:r>
                </w:p>
              </w:tc>
              <w:tc>
                <w:tcPr>
                  <w:tcW w:type="dxa" w:w="308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Colour</w:t>
                  </w:r>
                </w:p>
              </w:tc>
            </w:tr>
            <w:tr>
              <w:trPr>
                <w:tblHeader w:val="false"/>
              </w:trPr>
              <w:tc>
                <w:tcPr>
                  <w:tcW w:type="dxa" w:w="1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Positive velocity / growth</w:t>
                  </w:r>
                </w:p>
              </w:tc>
              <w:tc>
                <w:tcPr>
                  <w:tcW w:type="dxa" w:w="30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Success green</w:t>
                  </w:r>
                </w:p>
              </w:tc>
            </w:tr>
            <w:tr>
              <w:trPr>
                <w:tblHeader w:val="false"/>
              </w:trP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Negative velocity / decline</w:t>
                  </w:r>
                </w:p>
              </w:tc>
              <w:tc>
                <w:tcPr>
                  <w:tcW w:type="dxa" w:w="30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Coral / warning red</w:t>
                  </w:r>
                </w:p>
              </w:tc>
            </w:tr>
            <w:tr>
              <w:trPr>
                <w:tblHeader w:val="false"/>
              </w:trPr>
              <w:tc>
                <w:tcPr>
                  <w:tcW w:type="dxa" w:w="1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Breaking Alert / urgency</w:t>
                  </w:r>
                </w:p>
              </w:tc>
              <w:tc>
                <w:tcPr>
                  <w:tcW w:type="dxa" w:w="30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Amber, pulsing</w:t>
                  </w:r>
                </w:p>
              </w:tc>
            </w:tr>
            <w:tr>
              <w:trPr>
                <w:tblHeader w:val="false"/>
              </w:trP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Scout report data</w:t>
                  </w:r>
                </w:p>
              </w:tc>
              <w:tc>
                <w:tcPr>
                  <w:tcW w:type="dxa" w:w="30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Info blue (distinct from default)</w:t>
                  </w:r>
                </w:p>
              </w:tc>
            </w:tr>
            <w:tr>
              <w:trPr>
                <w:tblHeader w:val="false"/>
              </w:trPr>
              <w:tc>
                <w:tcPr>
                  <w:tcW w:type="dxa" w:w="1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Signed / confirmed</w:t>
                  </w:r>
                </w:p>
              </w:tc>
              <w:tc>
                <w:tcPr>
                  <w:tcW w:type="dxa" w:w="30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Success green (subtle fill)</w:t>
                  </w:r>
                </w:p>
              </w:tc>
            </w:tr>
            <w:tr>
              <w:trPr>
                <w:tblHeader w:val="false"/>
              </w:trP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Rejected / expired</w:t>
                  </w:r>
                </w:p>
              </w:tc>
              <w:tc>
                <w:tcPr>
                  <w:tcW w:type="dxa" w:w="30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Muted / secondary text colour</w:t>
                  </w:r>
                </w:p>
              </w:tc>
            </w:tr>
            <w:tr>
              <w:trPr>
                <w:tblHeader w:val="false"/>
              </w:trPr>
              <w:tc>
                <w:tcPr>
                  <w:tcW w:type="dxa" w:w="140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Underground tier</w:t>
                  </w:r>
                </w:p>
              </w:tc>
              <w:tc>
                <w:tcPr>
                  <w:tcW w:type="dxa" w:w="30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color w:val="000000"/>
                      <w:sz w:val="20"/>
                      <w:szCs w:val="20"/>
                    </w:rPr>
                    <w:t xml:space="preserve">No Momentum Score colour — show 'Low signal' badge in neutral grey</w:t>
                  </w:r>
                </w:p>
              </w:tc>
            </w:tr>
          </w:tbl>
          <w:p/>
        </w:tc>
      </w:tr>
    </w:tbl>
    <w:p>
      <w:pPr>
        <w:pStyle w:val="Heading1"/>
      </w:pPr>
      <w:r>
        <w:rPr>
          <w:rFonts w:ascii="Arial" w:cs="Arial" w:eastAsia="Arial" w:hAnsi="Arial"/>
        </w:rPr>
        <w:t xml:space="preserve">9. Onboarding — Design Constraints</w:t>
      </w:r>
    </w:p>
    <w:p>
      <w:pPr>
        <w:spacing w:after="160" w:before="0"/>
      </w:pPr>
      <w:r>
        <w:rPr>
          <w:rFonts w:ascii="Arial" w:cs="Arial" w:eastAsia="Arial" w:hAnsi="Arial"/>
          <w:color w:val="333333"/>
          <w:sz w:val="20"/>
          <w:szCs w:val="20"/>
        </w:rPr>
        <w:t xml:space="preserve">The GDD specifies: first artist signed within 15 minutes, no tutorial walls, every step must feel like playing. These are hard constraints, not suggestions.</w:t>
      </w:r>
    </w:p>
    <w:p>
      <w:pPr>
        <w:spacing w:after="120"/>
      </w:pPr>
    </w:p>
    <w:p>
      <w:pPr>
        <w:pStyle w:val="Heading2"/>
      </w:pPr>
      <w:r>
        <w:rPr>
          <w:rFonts w:ascii="Arial" w:cs="Arial" w:eastAsia="Arial" w:hAnsi="Arial"/>
        </w:rPr>
        <w:t xml:space="preserve">The Three Curated Artist Cards</w:t>
      </w:r>
    </w:p>
    <w:p>
      <w:pPr>
        <w:spacing w:after="160" w:before="0"/>
      </w:pPr>
      <w:r>
        <w:rPr>
          <w:rFonts w:ascii="Arial" w:cs="Arial" w:eastAsia="Arial" w:hAnsi="Arial"/>
          <w:color w:val="333333"/>
          <w:sz w:val="20"/>
          <w:szCs w:val="20"/>
        </w:rPr>
        <w:t xml:space="preserve">Step 3 of onboarding surfaces exactly three artist suggestions. These must not look like search results or list items. They are A&amp;R briefs.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rPr>
          <w:tblHeader w:val="false"/>
        </w:trPr>
        <w:tc>
          <w:tcPr>
            <w:tcW w:type="dxa" w:w="240"/>
            <w:tcBorders>
              <w:top w:val="single" w:color="DDDDDD" w:sz="1"/>
              <w:left w:val="single" w:color="DDDDDD" w:sz="1"/>
              <w:bottom w:val="single" w:color="DDDDDD" w:sz="1"/>
              <w:right w:val="single" w:color="DDDDDD" w:sz="1"/>
            </w:tcBorders>
            <w:shd w:fill="8E44A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SPEC</w:t>
            </w:r>
          </w:p>
        </w:tc>
        <w:tc>
          <w:tcPr>
            <w:tcW w:type="dxa" w:w="9120"/>
            <w:tcBorders>
              <w:top w:val="single" w:color="DDDDDD" w:sz="1"/>
              <w:left w:val="single" w:color="DDDDDD" w:sz="1"/>
              <w:bottom w:val="single" w:color="DDDDDD" w:sz="1"/>
              <w:right w:val="single" w:color="DDDDDD" w:sz="1"/>
            </w:tcBorders>
            <w:shd w:fill="F7EEF9" w:val="clear"/>
            <w:tcMar>
              <w:top w:type="dxa" w:w="100"/>
              <w:left w:type="dxa" w:w="140"/>
              <w:bottom w:type="dxa" w:w="100"/>
              <w:right w:type="dxa" w:w="140"/>
            </w:tcMar>
          </w:tcPr>
          <w:p>
            <w:pPr>
              <w:jc w:val="left"/>
            </w:pPr>
            <w:r>
              <w:rPr>
                <w:rFonts w:ascii="Arial" w:cs="Arial" w:eastAsia="Arial" w:hAnsi="Arial"/>
                <w:color w:val="111111"/>
                <w:sz w:val="19"/>
                <w:szCs w:val="19"/>
              </w:rPr>
              <w:t xml:space="preserve">Each card: Artist name (large) · Genre tag · One evocative data hook in plain English ('Up 34% this week — fourth week running') · Momentum Score as a simple horizontal bar (not a number) · Tier badge. The player should want to click one. If it looks like a table row, redesign it.</w:t>
            </w:r>
          </w:p>
        </w:tc>
      </w:tr>
    </w:tbl>
    <w:p>
      <w:pPr>
        <w:spacing w:after="120"/>
      </w:pPr>
    </w:p>
    <w:p>
      <w:pPr>
        <w:pStyle w:val="Heading2"/>
      </w:pPr>
      <w:r>
        <w:rPr>
          <w:rFonts w:ascii="Arial" w:cs="Arial" w:eastAsia="Arial" w:hAnsi="Arial"/>
        </w:rPr>
        <w:t xml:space="preserve">The Only Tooltip</w:t>
      </w:r>
    </w:p>
    <w:p>
      <w:pPr>
        <w:spacing w:after="160" w:before="0"/>
      </w:pPr>
      <w:r>
        <w:rPr>
          <w:rFonts w:ascii="Arial" w:cs="Arial" w:eastAsia="Arial" w:hAnsi="Arial"/>
          <w:color w:val="333333"/>
          <w:sz w:val="20"/>
          <w:szCs w:val="20"/>
        </w:rPr>
        <w:t xml:space="preserve">The GDD specifies a single contextual tooltip in all of onboarding — on the Momentum Score. Implement exactly one tooltip. Do not add others. Everything else is learned by doing.</w:t>
      </w:r>
    </w:p>
    <w:p>
      <w:pPr>
        <w:spacing w:after="80"/>
      </w:pPr>
    </w:p>
    <w:p>
      <w:pPr>
        <w:spacing w:after="160" w:before="0"/>
      </w:pPr>
      <w:r>
        <w:rPr>
          <w:rFonts w:ascii="Arial" w:cs="Arial" w:eastAsia="Arial" w:hAnsi="Arial"/>
          <w:i/>
          <w:iCs/>
          <w:color w:val="555555"/>
          <w:sz w:val="20"/>
          <w:szCs w:val="20"/>
        </w:rPr>
        <w:t xml:space="preserve">Tooltip text (verbatim from GDD): 'This score combines streaming growth, listener momentum, and catalog depth. Higher = more heat right now.'</w:t>
      </w:r>
    </w:p>
    <w:p>
      <w:pPr>
        <w:spacing w:after="120"/>
      </w:pPr>
    </w:p>
    <w:p>
      <w:pPr>
        <w:pStyle w:val="Heading2"/>
      </w:pPr>
      <w:r>
        <w:rPr>
          <w:rFonts w:ascii="Arial" w:cs="Arial" w:eastAsia="Arial" w:hAnsi="Arial"/>
        </w:rPr>
        <w:t xml:space="preserve">Post-Signing Frame</w:t>
      </w:r>
    </w:p>
    <w:p>
      <w:pPr>
        <w:spacing w:after="160" w:before="0"/>
      </w:pPr>
      <w:r>
        <w:rPr>
          <w:rFonts w:ascii="Arial" w:cs="Arial" w:eastAsia="Arial" w:hAnsi="Arial"/>
          <w:color w:val="333333"/>
          <w:sz w:val="20"/>
          <w:szCs w:val="20"/>
        </w:rPr>
        <w:t xml:space="preserve">After the first signing, show a single in-world memo — not a tutorial popup. The GDD text is final: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F5F5F5" w:val="clear"/>
            <w:tcMar>
              <w:top w:type="dxa" w:w="200"/>
              <w:left w:type="dxa" w:w="280"/>
              <w:bottom w:type="dxa" w:w="200"/>
              <w:right w:type="dxa" w:w="280"/>
            </w:tcMar>
          </w:tcPr>
          <w:p>
            <w:pPr>
              <w:spacing w:after="60"/>
            </w:pPr>
            <w:r>
              <w:rPr>
                <w:rFonts w:ascii="Arial" w:cs="Arial" w:eastAsia="Arial" w:hAnsi="Arial"/>
                <w:b/>
                <w:bCs/>
                <w:color w:val="1A1A1A"/>
                <w:sz w:val="22"/>
                <w:szCs w:val="22"/>
              </w:rPr>
              <w:t xml:space="preserve">Welcome to the label.</w:t>
            </w:r>
          </w:p>
          <w:p>
            <w:pPr>
              <w:spacing w:after="60"/>
            </w:pPr>
            <w:r>
              <w:rPr>
                <w:rFonts w:ascii="Arial" w:cs="Arial" w:eastAsia="Arial" w:hAnsi="Arial"/>
                <w:color w:val="333333"/>
                <w:sz w:val="20"/>
                <w:szCs w:val="20"/>
              </w:rPr>
              <w:t xml:space="preserve">Your first artist is signed. Royalties start flowing from their real Spotify streams — updated every day. Every Monday you'll allocate your development budget. Every Sunday your weekly royalties land. The leaderboard updates daily.</w:t>
            </w:r>
          </w:p>
          <w:p>
            <w:pPr>
              <w:spacing w:after="0"/>
            </w:pPr>
            <w:r>
              <w:rPr>
                <w:rFonts w:ascii="Arial" w:cs="Arial" w:eastAsia="Arial" w:hAnsi="Arial"/>
                <w:b/>
                <w:bCs/>
                <w:color w:val="1A1A1A"/>
                <w:sz w:val="20"/>
                <w:szCs w:val="20"/>
              </w:rPr>
              <w:t xml:space="preserve">Now find your next artist.</w:t>
            </w:r>
          </w:p>
        </w:tc>
      </w:tr>
    </w:tbl>
    <w:p>
      <w:pPr>
        <w:pStyle w:val="Heading1"/>
      </w:pPr>
      <w:r>
        <w:rPr>
          <w:rFonts w:ascii="Arial" w:cs="Arial" w:eastAsia="Arial" w:hAnsi="Arial"/>
        </w:rPr>
        <w:t xml:space="preserve">10. Quick Reference — Do / Don't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7AE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w:t>
            </w:r>
          </w:p>
        </w:tc>
        <w:tc>
          <w:tcPr>
            <w:tcW w:type="dxa" w:w="4680"/>
            <w:tcBorders>
              <w:top w:val="single" w:color="DDDDDD" w:sz="1"/>
              <w:left w:val="single" w:color="DDDDDD" w:sz="1"/>
              <w:bottom w:val="single" w:color="DDDDDD" w:sz="1"/>
              <w:right w:val="single" w:color="DDDDDD" w:sz="1"/>
            </w:tcBorders>
            <w:shd w:fill="C0392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DON'T</w:t>
            </w:r>
          </w:p>
        </w:tc>
      </w:tr>
      <w:tr>
        <w:trPr>
          <w:tblHeader w:val="false"/>
        </w:trPr>
        <w:tc>
          <w:tcPr>
            <w:tcW w:type="dxa" w:w="468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Use a three-act panel sequence for signing</w:t>
            </w:r>
          </w:p>
        </w:tc>
        <w:tc>
          <w:tcPr>
            <w:tcW w:type="dxa" w:w="468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Implement signing as a single modal form</w:t>
            </w:r>
          </w:p>
        </w:tc>
      </w:tr>
      <w:tr>
        <w:trPr>
          <w:tblHeader w:val="false"/>
        </w:trP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Add a 1.8–2.5s wait before the signing result renders</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Show the result instantly</w:t>
            </w:r>
          </w:p>
        </w:tc>
      </w:tr>
      <w:tr>
        <w:trPr>
          <w:tblHeader w:val="false"/>
        </w:trPr>
        <w:tc>
          <w:tcPr>
            <w:tcW w:type="dxa" w:w="468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Show the week progress indicator (Mon–Sun) on the dashboard</w:t>
            </w:r>
          </w:p>
        </w:tc>
        <w:tc>
          <w:tcPr>
            <w:tcW w:type="dxa" w:w="468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Rely on the player knowing what day of the week it is</w:t>
            </w:r>
          </w:p>
        </w:tc>
      </w:tr>
      <w:tr>
        <w:trPr>
          <w:tblHeader w:val="false"/>
        </w:trP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Pulse Breaking Alert cards with an amber animation</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Use a toast notification for breaking alerts</w:t>
            </w:r>
          </w:p>
        </w:tc>
      </w:tr>
      <w:tr>
        <w:trPr>
          <w:tblHeader w:val="false"/>
        </w:trPr>
        <w:tc>
          <w:tcPr>
            <w:tcW w:type="dxa" w:w="468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Show the full-screen results reveal after Sunday calculation</w:t>
            </w:r>
          </w:p>
        </w:tc>
        <w:tc>
          <w:tcPr>
            <w:tcW w:type="dxa" w:w="468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Update a royalty number in the dashboard and move on</w:t>
            </w:r>
          </w:p>
        </w:tc>
      </w:tr>
      <w:tr>
        <w:trPr>
          <w:tblHeader w:val="false"/>
        </w:trP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Lead the signing offer with the revenue split variable</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Show all three variables with equal weight</w:t>
            </w:r>
          </w:p>
        </w:tc>
      </w:tr>
      <w:tr>
        <w:trPr>
          <w:tblHeader w:val="false"/>
        </w:trPr>
        <w:tc>
          <w:tcPr>
            <w:tcW w:type="dxa" w:w="468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Use a face/ring for the likelihood indicator with 400ms lag</w:t>
            </w:r>
          </w:p>
        </w:tc>
        <w:tc>
          <w:tcPr>
            <w:tcW w:type="dxa" w:w="468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Use a percentage bar or instant feedback</w:t>
            </w:r>
          </w:p>
        </w:tc>
      </w:tr>
      <w:tr>
        <w:trPr>
          <w:tblHeader w:val="false"/>
        </w:trP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Show P&amp;L history before the re-sign options on contract expiry</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Jump straight to the three options without context</w:t>
            </w:r>
          </w:p>
        </w:tc>
      </w:tr>
      <w:tr>
        <w:trPr>
          <w:tblHeader w:val="false"/>
        </w:trPr>
        <w:tc>
          <w:tcPr>
            <w:tcW w:type="dxa" w:w="4680"/>
            <w:tcBorders>
              <w:top w:val="single" w:color="DDDDDD" w:sz="1"/>
              <w:left w:val="single" w:color="DDDDDD" w:sz="1"/>
              <w:bottom w:val="single" w:color="DDDDDD" w:sz="1"/>
              <w:right w:val="single" w:color="DDDDDD" w:sz="1"/>
            </w:tcBorders>
            <w:shd w:fill="F0FFF4" w:val="clear"/>
            <w:tcMar>
              <w:top w:type="dxa" w:w="100"/>
              <w:left w:type="dxa" w:w="140"/>
              <w:bottom w:type="dxa" w:w="100"/>
              <w:right w:type="dxa" w:w="140"/>
            </w:tcMar>
          </w:tcPr>
          <w:p>
            <w:pPr>
              <w:jc w:val="left"/>
            </w:pPr>
            <w:r>
              <w:rPr>
                <w:rFonts w:ascii="Arial" w:cs="Arial" w:eastAsia="Arial" w:hAnsi="Arial"/>
                <w:color w:val="000000"/>
                <w:sz w:val="20"/>
                <w:szCs w:val="20"/>
              </w:rPr>
              <w:t xml:space="preserve">Animate spark line bars filling on load</w:t>
            </w:r>
          </w:p>
        </w:tc>
        <w:tc>
          <w:tcPr>
            <w:tcW w:type="dxa" w:w="468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tcPr>
          <w:p>
            <w:pPr>
              <w:jc w:val="left"/>
            </w:pPr>
            <w:r>
              <w:rPr>
                <w:rFonts w:ascii="Arial" w:cs="Arial" w:eastAsia="Arial" w:hAnsi="Arial"/>
                <w:color w:val="000000"/>
                <w:sz w:val="20"/>
                <w:szCs w:val="20"/>
              </w:rPr>
              <w:t xml:space="preserve">Render static bars with no animation</w:t>
            </w:r>
          </w:p>
        </w:tc>
      </w:tr>
      <w:tr>
        <w:trPr>
          <w:tblHeader w:val="false"/>
        </w:trP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Wrap all animations in prefers-reduced-motion</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color w:val="000000"/>
                <w:sz w:val="20"/>
                <w:szCs w:val="20"/>
              </w:rPr>
              <w:t xml:space="preserve">Add animations without accessibility fallbacks</w:t>
            </w:r>
          </w:p>
        </w:tc>
      </w:tr>
    </w:tbl>
    <w:p>
      <w:pPr>
        <w:spacing w:after="80" w:before="400"/>
      </w:pPr>
    </w:p>
    <w:p>
      <w:pPr>
        <w:pBdr>
          <w:bottom w:val="single" w:color="DDDDDD" w:sz="6" w:space="1"/>
        </w:pBdr>
        <w:spacing w:after="200" w:before="0"/>
      </w:pPr>
    </w:p>
    <w:p>
      <w:pPr>
        <w:spacing w:after="0"/>
        <w:jc w:val="center"/>
      </w:pPr>
      <w:r>
        <w:rPr>
          <w:rFonts w:ascii="Arial" w:cs="Arial" w:eastAsia="Arial" w:hAnsi="Arial"/>
          <w:i/>
          <w:iCs/>
          <w:color w:val="999999"/>
          <w:sz w:val="18"/>
          <w:szCs w:val="18"/>
        </w:rPr>
        <w:t xml:space="preserve">Roster Design Context v1.0  ·  For use with Claude Code  ·  June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60" w:hanging="280"/>
      </w:pPr>
      <w:rPr>
        <w:rFonts w:ascii="Arial" w:cs="Arial" w:eastAsia="Arial" w:hAnsi="Arial"/>
        <w:color w:val="333333"/>
        <w:sz w:val="20"/>
        <w:szCs w:val="20"/>
      </w:rPr>
    </w:lvl>
  </w:abstractNum>
  <w:abstractNum w:abstractNumId="3" w15:restartNumberingAfterBreak="0">
    <w:multiLevelType w:val="hybridMultilevel"/>
    <w:lvl w:ilvl="0" w15:tentative="1">
      <w:start w:val="1"/>
      <w:numFmt w:val="bullet"/>
      <w:lvlText w:val="–"/>
      <w:lvlJc w:val="left"/>
      <w:pPr>
        <w:spacing w:after="60"/>
        <w:ind w:left="900" w:hanging="280"/>
      </w:pPr>
      <w:rPr>
        <w:rFonts w:ascii="Arial" w:cs="Arial" w:eastAsia="Arial" w:hAnsi="Arial"/>
        <w:color w:val="555555"/>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2026-06-07T17:30:53.522Z</dcterms:created>
  <dcterms:modified xsi:type="dcterms:W3CDTF">2026-06-07T17:30:53.523Z</dcterms:modified>
</cp:coreProperties>
</file>

<file path=docProps/custom.xml><?xml version="1.0" encoding="utf-8"?>
<Properties xmlns="http://schemas.openxmlformats.org/officeDocument/2006/custom-properties" xmlns:vt="http://schemas.openxmlformats.org/officeDocument/2006/docPropsVTypes"/>
</file>