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SENIOR TERM LOAN FACILITY - SUMMARY OF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Borrower</w:t>
            </w:r>
          </w:p>
        </w:tc>
        <w:tc>
          <w:tcPr>
            <w:tcW w:type="dxa" w:w="4320"/>
          </w:tcPr>
          <w:p>
            <w:r>
              <w:t>Contoso Holdings Limited</w:t>
            </w:r>
          </w:p>
        </w:tc>
      </w:tr>
      <w:tr>
        <w:tc>
          <w:tcPr>
            <w:tcW w:type="dxa" w:w="4320"/>
          </w:tcPr>
          <w:p>
            <w:r>
              <w:t>Lender</w:t>
            </w:r>
          </w:p>
        </w:tc>
        <w:tc>
          <w:tcPr>
            <w:tcW w:type="dxa" w:w="4320"/>
          </w:tcPr>
          <w:p>
            <w:r>
              <w:t>Barclays Bank PLC</w:t>
            </w:r>
          </w:p>
        </w:tc>
      </w:tr>
      <w:tr>
        <w:tc>
          <w:tcPr>
            <w:tcW w:type="dxa" w:w="4320"/>
          </w:tcPr>
          <w:p>
            <w:r>
              <w:t>Facility Agent</w:t>
            </w:r>
          </w:p>
        </w:tc>
        <w:tc>
          <w:tcPr>
            <w:tcW w:type="dxa" w:w="4320"/>
          </w:tcPr>
          <w:p>
            <w:r>
              <w:t>Barclays Bank PLC</w:t>
            </w:r>
          </w:p>
        </w:tc>
      </w:tr>
      <w:tr>
        <w:tc>
          <w:tcPr>
            <w:tcW w:type="dxa" w:w="4320"/>
          </w:tcPr>
          <w:p>
            <w:r>
              <w:t>Facility Type</w:t>
            </w:r>
          </w:p>
        </w:tc>
        <w:tc>
          <w:tcPr>
            <w:tcW w:type="dxa" w:w="4320"/>
          </w:tcPr>
          <w:p>
            <w:r>
              <w:t>Senior secured term loan</w:t>
            </w:r>
          </w:p>
        </w:tc>
      </w:tr>
      <w:tr>
        <w:tc>
          <w:tcPr>
            <w:tcW w:type="dxa" w:w="4320"/>
          </w:tcPr>
          <w:p>
            <w:r>
              <w:t>Facility Amount</w:t>
            </w:r>
          </w:p>
        </w:tc>
        <w:tc>
          <w:tcPr>
            <w:tcW w:type="dxa" w:w="4320"/>
          </w:tcPr>
          <w:p>
            <w:r>
              <w:t>GBP 25,000,000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Refinancing of existing indebtedness</w:t>
            </w:r>
          </w:p>
        </w:tc>
      </w:tr>
      <w:tr>
        <w:tc>
          <w:tcPr>
            <w:tcW w:type="dxa" w:w="4320"/>
          </w:tcPr>
          <w:p>
            <w:r>
              <w:t>Utilisation Date</w:t>
            </w:r>
          </w:p>
        </w:tc>
        <w:tc>
          <w:tcPr>
            <w:tcW w:type="dxa" w:w="4320"/>
          </w:tcPr>
          <w:p>
            <w:r>
              <w:t>1 April 2026</w:t>
            </w:r>
          </w:p>
        </w:tc>
      </w:tr>
      <w:tr>
        <w:tc>
          <w:tcPr>
            <w:tcW w:type="dxa" w:w="4320"/>
          </w:tcPr>
          <w:p>
            <w:r>
              <w:t>Final Maturity Date</w:t>
            </w:r>
          </w:p>
        </w:tc>
        <w:tc>
          <w:tcPr>
            <w:tcW w:type="dxa" w:w="4320"/>
          </w:tcPr>
          <w:p>
            <w:r>
              <w:t>1 April 2031</w:t>
            </w:r>
          </w:p>
        </w:tc>
      </w:tr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SONIA plus Margin</w:t>
            </w:r>
          </w:p>
        </w:tc>
      </w:tr>
      <w:tr>
        <w:tc>
          <w:tcPr>
            <w:tcW w:type="dxa" w:w="4320"/>
          </w:tcPr>
          <w:p>
            <w:r>
              <w:t>Margin</w:t>
            </w:r>
          </w:p>
        </w:tc>
        <w:tc>
          <w:tcPr>
            <w:tcW w:type="dxa" w:w="4320"/>
          </w:tcPr>
          <w:p>
            <w:r>
              <w:t>2.25% per annum</w:t>
            </w:r>
          </w:p>
        </w:tc>
      </w:tr>
      <w:tr>
        <w:tc>
          <w:tcPr>
            <w:tcW w:type="dxa" w:w="4320"/>
          </w:tcPr>
          <w:p>
            <w:r>
              <w:t>Interest Period</w:t>
            </w:r>
          </w:p>
        </w:tc>
        <w:tc>
          <w:tcPr>
            <w:tcW w:type="dxa" w:w="4320"/>
          </w:tcPr>
          <w:p>
            <w:r>
              <w:t>3 months</w:t>
            </w:r>
          </w:p>
        </w:tc>
      </w:tr>
      <w:tr>
        <w:tc>
          <w:tcPr>
            <w:tcW w:type="dxa" w:w="4320"/>
          </w:tcPr>
          <w:p>
            <w:r>
              <w:t>Repayment</w:t>
            </w:r>
          </w:p>
        </w:tc>
        <w:tc>
          <w:tcPr>
            <w:tcW w:type="dxa" w:w="4320"/>
          </w:tcPr>
          <w:p>
            <w:r>
              <w:t>Bullet at Final Maturity Date</w:t>
            </w:r>
          </w:p>
        </w:tc>
      </w:tr>
      <w:tr>
        <w:tc>
          <w:tcPr>
            <w:tcW w:type="dxa" w:w="4320"/>
          </w:tcPr>
          <w:p>
            <w:r>
              <w:t>Arrangement Fee</w:t>
            </w:r>
          </w:p>
        </w:tc>
        <w:tc>
          <w:tcPr>
            <w:tcW w:type="dxa" w:w="4320"/>
          </w:tcPr>
          <w:p>
            <w:r>
              <w:t>75 bps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Fixed and floating charge over all assets</w:t>
            </w:r>
          </w:p>
        </w:tc>
      </w:tr>
      <w:tr>
        <w:tc>
          <w:tcPr>
            <w:tcW w:type="dxa" w:w="4320"/>
          </w:tcPr>
          <w:p>
            <w:r>
              <w:t>Governing Law</w:t>
            </w:r>
          </w:p>
        </w:tc>
        <w:tc>
          <w:tcPr>
            <w:tcW w:type="dxa" w:w="4320"/>
          </w:tcPr>
          <w:p>
            <w:r>
              <w:t>England and Wales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LMA standard facility agreement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