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SAP ALE Demo (Student Management using EDI/IDoc exchange between 2 SAP Systems Ministry (Ministry &amp; Faculty ) </w:t>
      </w:r>
    </w:p>
    <w:p>
      <w:pPr/>
      <w:r>
        <w:t xml:space="preserve">Oct 20, 2026</w:t>
      </w:r>
      <w:r>
        <w:t xml:space="preserve"> · </w:t>
      </w:r>
      <w:r>
        <w:t xml:space="preserve">@Mohamed ABDELMOULA</w:t>
      </w:r>
    </w:p>
    <w:p>
      <w:pPr/>
      <w:r>
        <w:t xml:space="preserve">This page documents a demo application exchanging EDI/IDoc between two SAP systems through </w:t>
      </w:r>
      <w:r>
        <w:rPr>
          <w:b/>
        </w:rPr>
        <w:t xml:space="preserve">ALE</w:t>
      </w:r>
      <w:r>
        <w:t xml:space="preserve">: a </w:t>
      </w:r>
      <w:r>
        <w:rPr>
          <w:b/>
        </w:rPr>
        <w:t xml:space="preserve">ministry system</w:t>
      </w:r>
      <w:r>
        <w:t xml:space="preserve"> that holds the national list of students, and a </w:t>
      </w:r>
      <w:r>
        <w:rPr>
          <w:b/>
        </w:rPr>
        <w:t xml:space="preserve">faculty system</w:t>
      </w:r>
      <w:r>
        <w:t xml:space="preserve"> that manages the assigned students.</w:t>
      </w:r>
    </w:p>
    <w:p>
      <w:pPr/>
      <w:r>
        <w:t xml:space="preserve">The example is educational but very close to a real deployment: same transactions, same objects, same pitfalls. It also serves as a reusable base for other developments.</w:t>
      </w:r>
    </w:p>
    <w:p>
      <w:pPr>
        <w:pStyle w:val="Heading2"/>
      </w:pPr>
      <w:r>
        <w:t xml:space="preserve">The need</w:t>
      </w:r>
    </w:p>
    <w:p>
      <w:pPr/>
      <w:r>
        <w:t xml:space="preserve">A ministry keeps the national list of students with all their details. When a student is assigned to a faculty, the ministry system must send their record to the faculty management system, which then integrates the student into its own database. In the other direction, the faculty reports the student's life events back to the ministry: result (pass or fail), average, death, left, university transfer request, and so on.</w:t>
      </w:r>
    </w:p>
    <w:p>
      <w:pPr/>
      <w:r>
        <w:t xml:space="preserve">So we have two autonomous systems that must exchange structured data reliably and asynchronously (each system stays available even if the other is momentarily down). This is exactly what SAP designed </w:t>
      </w:r>
      <w:r>
        <w:rPr>
          <w:b/>
        </w:rPr>
        <w:t xml:space="preserve">ALE</w:t>
      </w:r>
      <w:r>
        <w:t xml:space="preserve"> and </w:t>
      </w:r>
      <w:r>
        <w:rPr>
          <w:b/>
        </w:rPr>
        <w:t xml:space="preserve">IDocs</w:t>
      </w:r>
      <w:r>
        <w:t xml:space="preserve"> for. Rather than using a standard </w:t>
      </w:r>
      <w:r>
        <w:rPr>
          <w:b/>
        </w:rPr>
        <w:t xml:space="preserve">message type</w:t>
      </w:r>
      <w:r>
        <w:t xml:space="preserve">, we create a custom one, exactly as SAP does for its own objects (</w:t>
      </w:r>
      <w:r>
        <w:rPr>
          <w:b/>
        </w:rPr>
        <w:t xml:space="preserve">MATMAS</w:t>
      </w:r>
      <w:r>
        <w:t xml:space="preserve"> for materials, </w:t>
      </w:r>
      <w:r>
        <w:rPr>
          <w:b/>
        </w:rPr>
        <w:t xml:space="preserve">DEBMAS</w:t>
      </w:r>
      <w:r>
        <w:t xml:space="preserve"> for customers, and so on), applied here to students.</w:t>
      </w:r>
    </w:p>
    <w:p>
      <w:pPr>
        <w:pStyle w:val="Heading2"/>
      </w:pPr>
      <w:r>
        <w:t xml:space="preserve">The flow in theory</w:t>
      </w:r>
    </w:p>
    <w:p>
      <w:pPr/>
      <w:r>
        <w:t xml:space="preserve">Two flows, in opposite directions, rely on a </w:t>
      </w:r>
      <w:r>
        <w:rPr>
          <w:b/>
        </w:rPr>
        <w:t xml:space="preserve">single message type</w:t>
      </w:r>
      <w:r>
        <w:t xml:space="preserve"> </w:t>
      </w:r>
      <w:r>
        <w:rPr>
          <w:rStyle w:val="CodeChar"/>
        </w:rPr>
        <w:t xml:space="preserve">ZSTUD</w:t>
      </w:r>
      <w:r>
        <w:t xml:space="preserve"> that carries </w:t>
      </w:r>
      <w:r>
        <w:rPr>
          <w:b/>
        </w:rPr>
        <w:t xml:space="preserve">two basic types</w:t>
      </w:r>
      <w:r>
        <w:t xml:space="preserve"> (the MATMAS-style model):</w:t>
      </w:r>
    </w:p>
    <w:tbl>
      <w:tblPr>
        <w:tblStyle w:val="TableGrid"/>
        <w:tblW w:w="0" w:type="auto"/>
        <w:tblLayout w:type="fixed"/>
        <w:tblLook w:val="04A0" w:firstRow="1" w:lastRow="0" w:firstColumn="0" w:lastColumn="0" w:noHBand="0" w:noVBand="1"/>
      </w:tblPr>
      <w:tblGrid>
        <w:gridCol w:w="1470"/>
        <w:gridCol w:w="2262"/>
        <w:gridCol w:w="1344"/>
        <w:gridCol w:w="4283"/>
      </w:tblGrid>
      <w:tr>
        <w:trPr>
          <w:tblHeader/>
        </w:trPr>
        <w:tc>
          <w:tcPr>
            <w:tcW w:w="1470" w:type="dxa"/>
            <w:shd w:val="clear" w:color="auto" w:fill="F2F2F2"/>
          </w:tcPr>
          <w:p>
            <w:pPr/>
            <w:r>
              <w:t xml:space="preserve">Flow</w:t>
            </w:r>
          </w:p>
        </w:tc>
        <w:tc>
          <w:tcPr>
            <w:tcW w:w="2262" w:type="dxa"/>
            <w:shd w:val="clear" w:color="auto" w:fill="F2F2F2"/>
          </w:tcPr>
          <w:p>
            <w:pPr/>
            <w:r>
              <w:t xml:space="preserve">Direction</w:t>
            </w:r>
          </w:p>
        </w:tc>
        <w:tc>
          <w:tcPr>
            <w:tcW w:w="1344" w:type="dxa"/>
            <w:shd w:val="clear" w:color="auto" w:fill="F2F2F2"/>
          </w:tcPr>
          <w:p>
            <w:pPr/>
            <w:r>
              <w:t xml:space="preserve">Basic type</w:t>
            </w:r>
          </w:p>
        </w:tc>
        <w:tc>
          <w:tcPr>
            <w:tcW w:w="4283" w:type="dxa"/>
            <w:shd w:val="clear" w:color="auto" w:fill="F2F2F2"/>
          </w:tcPr>
          <w:p>
            <w:pPr/>
            <w:r>
              <w:t xml:space="preserve">Content</w:t>
            </w:r>
          </w:p>
        </w:tc>
      </w:tr>
      <w:tr>
        <w:tc>
          <w:tcPr>
            <w:tcW w:w="1470" w:type="dxa"/>
          </w:tcPr>
          <w:p>
            <w:pPr/>
            <w:r>
              <w:t xml:space="preserve">Assignment</w:t>
            </w:r>
          </w:p>
        </w:tc>
        <w:tc>
          <w:tcPr>
            <w:tcW w:w="2262" w:type="dxa"/>
          </w:tcPr>
          <w:p>
            <w:pPr/>
            <w:r>
              <w:t xml:space="preserve">Ministry to Faculty</w:t>
            </w:r>
          </w:p>
        </w:tc>
        <w:tc>
          <w:tcPr>
            <w:tcW w:w="1344" w:type="dxa"/>
          </w:tcPr>
          <w:p>
            <w:pPr/>
            <w:r>
              <w:t xml:space="preserve">ZSTUD01</w:t>
            </w:r>
          </w:p>
        </w:tc>
        <w:tc>
          <w:tcPr>
            <w:tcW w:w="4283" w:type="dxa"/>
          </w:tcPr>
          <w:p>
            <w:pPr/>
            <w:r>
              <w:t xml:space="preserve">The student and their assigned specialization</w:t>
            </w:r>
          </w:p>
        </w:tc>
      </w:tr>
      <w:tr>
        <w:tc>
          <w:tcPr>
            <w:tcW w:w="1470" w:type="dxa"/>
          </w:tcPr>
          <w:p>
            <w:pPr/>
            <w:r>
              <w:t xml:space="preserve">Events</w:t>
            </w:r>
          </w:p>
        </w:tc>
        <w:tc>
          <w:tcPr>
            <w:tcW w:w="2262" w:type="dxa"/>
          </w:tcPr>
          <w:p>
            <w:pPr/>
            <w:r>
              <w:t xml:space="preserve">Faculty to Ministry</w:t>
            </w:r>
          </w:p>
        </w:tc>
        <w:tc>
          <w:tcPr>
            <w:tcW w:w="1344" w:type="dxa"/>
          </w:tcPr>
          <w:p>
            <w:pPr/>
            <w:r>
              <w:t xml:space="preserve">ZSTUD02</w:t>
            </w:r>
          </w:p>
        </w:tc>
        <w:tc>
          <w:tcPr>
            <w:tcW w:w="4283" w:type="dxa"/>
          </w:tcPr>
          <w:p>
            <w:pPr/>
            <w:r>
              <w:t xml:space="preserve">Result, average, death, university transfer</w:t>
            </w:r>
          </w:p>
        </w:tc>
      </w:tr>
    </w:tbl>
    <w:p>
      <w:pPr/>
      <w:r>
        <w:t xml:space="preserve">The end-to-end mechanics are the same in both directions:</w:t>
      </w:r>
    </w:p>
    <w:p>
      <w:pPr>
        <w:pStyle w:val="ListParagraph"/>
        <w:numPr>
          <w:ilvl w:val="0"/>
          <w:numId w:val="2"/>
        </w:numPr>
      </w:pPr>
      <w:r>
        <w:t xml:space="preserve">An </w:t>
      </w:r>
      <w:r>
        <w:rPr>
          <w:b/>
        </w:rPr>
        <w:t xml:space="preserve">outbound program</w:t>
      </w:r>
      <w:r>
        <w:t xml:space="preserve"> reads the application data and fills an IDoc (control record + segments).</w:t>
      </w:r>
    </w:p>
    <w:p>
      <w:pPr>
        <w:pStyle w:val="ListParagraph"/>
        <w:numPr>
          <w:ilvl w:val="0"/>
          <w:numId w:val="2"/>
        </w:numPr>
      </w:pPr>
      <w:r>
        <w:t xml:space="preserve">The </w:t>
      </w:r>
      <w:r>
        <w:rPr>
          <w:b/>
        </w:rPr>
        <w:t xml:space="preserve">ALE distribution model</w:t>
      </w:r>
      <w:r>
        <w:t xml:space="preserve"> determines the receiver from the sending system and the message type.</w:t>
      </w:r>
    </w:p>
    <w:p>
      <w:pPr>
        <w:pStyle w:val="ListParagraph"/>
        <w:numPr>
          <w:ilvl w:val="0"/>
          <w:numId w:val="2"/>
        </w:numPr>
      </w:pPr>
      <w:r>
        <w:t xml:space="preserve">The IDoc is transmitted over </w:t>
      </w:r>
      <w:r>
        <w:rPr>
          <w:b/>
        </w:rPr>
        <w:t xml:space="preserve">tRFC</w:t>
      </w:r>
      <w:r>
        <w:t xml:space="preserve"> to the target system, through a </w:t>
      </w:r>
      <w:r>
        <w:rPr>
          <w:b/>
        </w:rPr>
        <w:t xml:space="preserve">port</w:t>
      </w:r>
      <w:r>
        <w:t xml:space="preserve"> and an </w:t>
      </w:r>
      <w:r>
        <w:rPr>
          <w:b/>
        </w:rPr>
        <w:t xml:space="preserve">RFC destination</w:t>
      </w:r>
      <w:r>
        <w:t xml:space="preserve">.</w:t>
      </w:r>
    </w:p>
    <w:p>
      <w:pPr>
        <w:pStyle w:val="ListParagraph"/>
        <w:numPr>
          <w:ilvl w:val="0"/>
          <w:numId w:val="2"/>
        </w:numPr>
      </w:pPr>
      <w:r>
        <w:t xml:space="preserve">On the receiving side, the </w:t>
      </w:r>
      <w:r>
        <w:rPr>
          <w:b/>
        </w:rPr>
        <w:t xml:space="preserve">partner profile</w:t>
      </w:r>
      <w:r>
        <w:t xml:space="preserve"> and the </w:t>
      </w:r>
      <w:r>
        <w:rPr>
          <w:b/>
        </w:rPr>
        <w:t xml:space="preserve">process code</w:t>
      </w:r>
      <w:r>
        <w:t xml:space="preserve"> route the IDoc to an </w:t>
      </w:r>
      <w:r>
        <w:rPr>
          <w:b/>
        </w:rPr>
        <w:t xml:space="preserve">inbound function module</w:t>
      </w:r>
      <w:r>
        <w:t xml:space="preserve">.</w:t>
      </w:r>
    </w:p>
    <w:p>
      <w:pPr>
        <w:pStyle w:val="ListParagraph"/>
        <w:numPr>
          <w:ilvl w:val="0"/>
          <w:numId w:val="2"/>
        </w:numPr>
      </w:pPr>
      <w:r>
        <w:t xml:space="preserve">That function module reads the segments and </w:t>
      </w:r>
      <w:r>
        <w:rPr>
          <w:b/>
        </w:rPr>
        <w:t xml:space="preserve">posts the data</w:t>
      </w:r>
      <w:r>
        <w:t xml:space="preserve"> into the receiver's application tables.</w:t>
      </w:r>
    </w:p>
    <w:p>
      <w:pPr/>
      <w:r>
        <w:t xml:space="preserve">The elegant point of the design: each system only sends its own </w:t>
      </w:r>
      <w:r>
        <w:rPr>
          <w:b/>
        </w:rPr>
        <w:t xml:space="preserve">basic type</w:t>
      </w:r>
      <w:r>
        <w:t xml:space="preserve"> (the ministry sends </w:t>
      </w:r>
      <w:r>
        <w:rPr>
          <w:b/>
        </w:rPr>
        <w:t xml:space="preserve">ZSTUD01</w:t>
      </w:r>
      <w:r>
        <w:t xml:space="preserve">, the faculty sends </w:t>
      </w:r>
      <w:r>
        <w:rPr>
          <w:b/>
        </w:rPr>
        <w:t xml:space="preserve">ZSTUD02</w:t>
      </w:r>
      <w:r>
        <w:t xml:space="preserve">), while it remains the same </w:t>
      </w:r>
      <w:r>
        <w:rPr>
          <w:b/>
        </w:rPr>
        <w:t xml:space="preserve">message type</w:t>
      </w:r>
      <w:r>
        <w:t xml:space="preserve"> </w:t>
      </w:r>
      <w:r>
        <w:rPr>
          <w:b/>
        </w:rPr>
        <w:t xml:space="preserve">ZSTUD</w:t>
      </w:r>
      <w:r>
        <w:t xml:space="preserve">. That is what allows a single channel to carry two distinct data structures depending on direction.</w:t>
      </w:r>
    </w:p>
    <w:p>
      <w:pPr/>
      <w:r>
        <w:drawing>
          <wp:inline distT="0" distB="0" distL="0" distR="0">
            <wp:extent cx="5486400" cy="2000250"/>
            <wp:docPr id="1" name="image1" descr="Landscape - les deux flux IDoc entre S4D et S4Q"/>
            <a:graphic xmlns:a="http://schemas.openxmlformats.org/drawingml/2006/main">
              <a:graphicData uri="http://schemas.openxmlformats.org/drawingml/2006/picture">
                <pic:pic xmlns:pic="http://schemas.openxmlformats.org/drawingml/2006/picture">
                  <pic:nvPicPr>
                    <pic:cNvPr id="1" name="image1" descr="Landscape - les deux flux IDoc entre S4D et S4Q"/>
                    <pic:cNvPicPr/>
                  </pic:nvPicPr>
                  <pic:blipFill>
                    <a:blip r:embed="rId3"/>
                    <a:stretch>
                      <a:fillRect/>
                    </a:stretch>
                  </pic:blipFill>
                  <pic:spPr>
                    <a:xfrm>
                      <a:off x="0" y="0"/>
                      <a:ext cx="5486400" cy="2000250"/>
                    </a:xfrm>
                    <a:prstGeom prst="rect">
                      <a:avLst/>
                    </a:prstGeom>
                  </pic:spPr>
                </pic:pic>
              </a:graphicData>
            </a:graphic>
          </wp:inline>
        </w:drawing>
      </w:r>
    </w:p>
    <w:p>
      <w:pPr/>
      <w:r>
        <w:t xml:space="preserve">Landscape - les deux flux IDoc entre S4D et S4Q</w:t>
      </w:r>
    </w:p>
    <w:p>
      <w:pPr/>
      <w:r>
        <w:t xml:space="preserve">Assignment flows down from the ministry to the faculty (ZSTUD01); events flow back up from the faculty to the ministry (ZSTUD02), over </w:t>
      </w:r>
      <w:r>
        <w:rPr>
          <w:b/>
        </w:rPr>
        <w:t xml:space="preserve">tRFC</w:t>
      </w:r>
      <w:r>
        <w:t xml:space="preserve">.</w:t>
      </w:r>
    </w:p>
    <w:p>
      <w:pPr>
        <w:pStyle w:val="Heading2"/>
      </w:pPr>
      <w:r>
        <w:t xml:space="preserve">The data model</w:t>
      </w:r>
    </w:p>
    <w:p>
      <w:pPr/>
      <w:r>
        <w:t xml:space="preserve">The model rests on two layers: the application tables (the real data, stored in each system) and the </w:t>
      </w:r>
      <w:r>
        <w:rPr>
          <w:b/>
        </w:rPr>
        <w:t xml:space="preserve">IDoc</w:t>
      </w:r>
      <w:r>
        <w:t xml:space="preserve"> structures (the exchange format that travels over the network).</w:t>
      </w:r>
    </w:p>
    <w:p>
      <w:pPr/>
      <w:r>
        <w:t xml:space="preserve">Two application tables, shared by the two systems (on the ministry side they hold the master data, on the faculty side the received data):</w:t>
      </w:r>
    </w:p>
    <w:p>
      <w:pPr>
        <w:pStyle w:val="ListParagraph"/>
        <w:numPr>
          <w:ilvl w:val="0"/>
          <w:numId w:val="3"/>
        </w:numPr>
      </w:pPr>
      <w:r>
        <w:rPr>
          <w:rStyle w:val="CodeChar"/>
          <w:b/>
        </w:rPr>
        <w:t xml:space="preserve">ZSTUD_STUDENT</w:t>
      </w:r>
      <w:r>
        <w:t xml:space="preserve">: the student base (ID, identity, university/faculty/specialization codes, average).</w:t>
      </w:r>
    </w:p>
    <w:p>
      <w:pPr>
        <w:pStyle w:val="ListParagraph"/>
        <w:numPr>
          <w:ilvl w:val="0"/>
          <w:numId w:val="3"/>
        </w:numPr>
      </w:pPr>
      <w:r>
        <w:rPr>
          <w:rStyle w:val="CodeChar"/>
          <w:b/>
        </w:rPr>
        <w:t xml:space="preserve">ZSTUD_EVENT</w:t>
      </w:r>
      <w:r>
        <w:t xml:space="preserve">: the event log (event type, status, average, target university, reason).</w:t>
      </w:r>
    </w:p>
    <w:p>
      <w:pPr/>
      <w:r>
        <w:t xml:space="preserve">Two </w:t>
      </w:r>
      <w:r>
        <w:rPr>
          <w:b/>
        </w:rPr>
        <w:t xml:space="preserve">IDoc</w:t>
      </w:r>
      <w:r>
        <w:t xml:space="preserve"> </w:t>
      </w:r>
      <w:r>
        <w:rPr>
          <w:b/>
        </w:rPr>
        <w:t xml:space="preserve">basic types</w:t>
      </w:r>
      <w:r>
        <w:t xml:space="preserve">, each made up of hierarchical </w:t>
      </w:r>
      <w:r>
        <w:rPr>
          <w:b/>
        </w:rPr>
        <w:t xml:space="preserve">segments</w:t>
      </w:r>
      <w:r>
        <w:t xml:space="preserve">:</w:t>
      </w:r>
    </w:p>
    <w:p>
      <w:pPr>
        <w:pStyle w:val="ListParagraph"/>
        <w:numPr>
          <w:ilvl w:val="0"/>
          <w:numId w:val="4"/>
        </w:numPr>
      </w:pPr>
      <w:r>
        <w:rPr>
          <w:rStyle w:val="CodeChar"/>
          <w:b/>
        </w:rPr>
        <w:t xml:space="preserve">ZSTUD01</w:t>
      </w:r>
      <w:r>
        <w:t xml:space="preserve">: </w:t>
      </w:r>
      <w:r>
        <w:rPr>
          <w:rStyle w:val="CodeChar"/>
          <w:b/>
        </w:rPr>
        <w:t xml:space="preserve">Z1STUHDR</w:t>
      </w:r>
      <w:r>
        <w:rPr>
          <w:b/>
        </w:rPr>
        <w:t xml:space="preserve"> </w:t>
      </w:r>
      <w:r>
        <w:t xml:space="preserve">(student header) + </w:t>
      </w:r>
      <w:r>
        <w:rPr>
          <w:rStyle w:val="CodeChar"/>
          <w:b/>
        </w:rPr>
        <w:t xml:space="preserve">Z1STUAFF</w:t>
      </w:r>
      <w:r>
        <w:t xml:space="preserve"> (assignment).</w:t>
      </w:r>
    </w:p>
    <w:p>
      <w:pPr>
        <w:pStyle w:val="ListParagraph"/>
        <w:numPr>
          <w:ilvl w:val="0"/>
          <w:numId w:val="4"/>
        </w:numPr>
      </w:pPr>
      <w:r>
        <w:rPr>
          <w:rStyle w:val="CodeChar"/>
          <w:b/>
        </w:rPr>
        <w:t xml:space="preserve">ZSTUD02</w:t>
      </w:r>
      <w:r>
        <w:t xml:space="preserve">: </w:t>
      </w:r>
      <w:r>
        <w:rPr>
          <w:rStyle w:val="CodeChar"/>
          <w:b/>
        </w:rPr>
        <w:t xml:space="preserve">Z1EVTHDR</w:t>
      </w:r>
      <w:r>
        <w:rPr>
          <w:b/>
        </w:rPr>
        <w:t xml:space="preserve"> </w:t>
      </w:r>
      <w:r>
        <w:t xml:space="preserve">(event header) + </w:t>
      </w:r>
      <w:r>
        <w:rPr>
          <w:rStyle w:val="CodeChar"/>
          <w:b/>
        </w:rPr>
        <w:t xml:space="preserve">Z1EVTDAT</w:t>
      </w:r>
      <w:r>
        <w:rPr>
          <w:b/>
        </w:rPr>
        <w:t xml:space="preserve"> </w:t>
      </w:r>
      <w:r>
        <w:t xml:space="preserve">(event data).</w:t>
      </w:r>
    </w:p>
    <w:p>
      <w:pPr/>
      <w:r>
        <w:t xml:space="preserve">Two important rules of the model:</w:t>
      </w:r>
    </w:p>
    <w:p>
      <w:pPr>
        <w:pStyle w:val="ListParagraph"/>
        <w:numPr>
          <w:ilvl w:val="0"/>
          <w:numId w:val="5"/>
        </w:numPr>
      </w:pPr>
      <w:r>
        <w:t xml:space="preserve">In an </w:t>
      </w:r>
      <w:r>
        <w:rPr>
          <w:b/>
        </w:rPr>
        <w:t xml:space="preserve">IDoc</w:t>
      </w:r>
      <w:r>
        <w:t xml:space="preserve">, every </w:t>
      </w:r>
      <w:r>
        <w:rPr>
          <w:b/>
        </w:rPr>
        <w:t xml:space="preserve">segment</w:t>
      </w:r>
      <w:r>
        <w:t xml:space="preserve"> field is of character type. Dates travel as CHAR 8 (</w:t>
      </w:r>
      <w:r>
        <w:rPr>
          <w:b/>
        </w:rPr>
        <w:t xml:space="preserve">YYYYMMDD</w:t>
      </w:r>
      <w:r>
        <w:t xml:space="preserve">), averages as </w:t>
      </w:r>
      <w:r>
        <w:rPr>
          <w:b/>
        </w:rPr>
        <w:t xml:space="preserve">CHAR</w:t>
      </w:r>
      <w:r>
        <w:t xml:space="preserve">. The real typing (</w:t>
      </w:r>
      <w:r>
        <w:rPr>
          <w:b/>
        </w:rPr>
        <w:t xml:space="preserve">DATS, DEC</w:t>
      </w:r>
      <w:r>
        <w:t xml:space="preserve">) lives only in the application tables.</w:t>
      </w:r>
    </w:p>
    <w:p>
      <w:pPr>
        <w:pStyle w:val="ListParagraph"/>
        <w:numPr>
          <w:ilvl w:val="0"/>
          <w:numId w:val="5"/>
        </w:numPr>
      </w:pPr>
      <w:r>
        <w:t xml:space="preserve">Universities and faculties are data, not systems. They are identified by a code (</w:t>
      </w:r>
      <w:r>
        <w:rPr>
          <w:b/>
        </w:rPr>
        <w:t xml:space="preserve">CODE_UNIV</w:t>
      </w:r>
      <w:r>
        <w:t xml:space="preserve">, </w:t>
      </w:r>
      <w:r>
        <w:rPr>
          <w:b/>
        </w:rPr>
        <w:t xml:space="preserve">CODE_FAC</w:t>
      </w:r>
      <w:r>
        <w:t xml:space="preserve">) carried in the </w:t>
      </w:r>
      <w:r>
        <w:rPr>
          <w:b/>
        </w:rPr>
        <w:t xml:space="preserve">IDoc</w:t>
      </w:r>
      <w:r>
        <w:t xml:space="preserve">. So you can manage as many universities as you like on a single faculty system, without changing the IDoc structure at all.</w:t>
      </w:r>
    </w:p>
    <w:p>
      <w:pPr/>
      <w:r>
        <w:drawing>
          <wp:inline distT="0" distB="0" distL="0" distR="0">
            <wp:extent cx="5486400" cy="3690257"/>
            <wp:docPr id="2" name="image2" descr="Structure des IDoc - basic types et segments"/>
            <a:graphic xmlns:a="http://schemas.openxmlformats.org/drawingml/2006/main">
              <a:graphicData uri="http://schemas.openxmlformats.org/drawingml/2006/picture">
                <pic:pic xmlns:pic="http://schemas.openxmlformats.org/drawingml/2006/picture">
                  <pic:nvPicPr>
                    <pic:cNvPr id="2" name="image2" descr="Structure des IDoc - basic types et segments"/>
                    <pic:cNvPicPr/>
                  </pic:nvPicPr>
                  <pic:blipFill>
                    <a:blip r:embed="rId4"/>
                    <a:stretch>
                      <a:fillRect/>
                    </a:stretch>
                  </pic:blipFill>
                  <pic:spPr>
                    <a:xfrm>
                      <a:off x="0" y="0"/>
                      <a:ext cx="5486400" cy="3690257"/>
                    </a:xfrm>
                    <a:prstGeom prst="rect">
                      <a:avLst/>
                    </a:prstGeom>
                  </pic:spPr>
                </pic:pic>
              </a:graphicData>
            </a:graphic>
          </wp:inline>
        </w:drawing>
      </w:r>
    </w:p>
    <w:p>
      <w:pPr/>
      <w:r>
        <w:t xml:space="preserve">Structure des IDoc - basic types et segments</w:t>
      </w:r>
    </w:p>
    <w:p>
      <w:pPr/>
      <w:r>
        <w:t xml:space="preserve">A single </w:t>
      </w:r>
      <w:r>
        <w:rPr>
          <w:b/>
        </w:rPr>
        <w:t xml:space="preserve">message type</w:t>
      </w:r>
      <w:r>
        <w:t xml:space="preserve"> carries both </w:t>
      </w:r>
      <w:r>
        <w:rPr>
          <w:b/>
        </w:rPr>
        <w:t xml:space="preserve">basic types</w:t>
      </w:r>
      <w:r>
        <w:t xml:space="preserve">, and each </w:t>
      </w:r>
      <w:r>
        <w:rPr>
          <w:b/>
        </w:rPr>
        <w:t xml:space="preserve">basic type</w:t>
      </w:r>
      <w:r>
        <w:t xml:space="preserve"> composes its </w:t>
      </w:r>
      <w:r>
        <w:rPr>
          <w:b/>
        </w:rPr>
        <w:t xml:space="preserve">segments</w:t>
      </w:r>
      <w:r>
        <w:t xml:space="preserve">, header then detail.</w:t>
      </w:r>
    </w:p>
    <w:p>
      <w:pPr>
        <w:pStyle w:val="Heading2"/>
      </w:pPr>
      <w:r>
        <w:t xml:space="preserve">An educational example on ABAP Platform</w:t>
      </w:r>
    </w:p>
    <w:p>
      <w:pPr/>
      <w:r>
        <w:t xml:space="preserve">This project is deliberately simple, but it is no toy: it uses exactly the same transactions, the same objects and the same </w:t>
      </w:r>
      <w:r>
        <w:rPr>
          <w:b/>
        </w:rPr>
        <w:t xml:space="preserve">ALE</w:t>
      </w:r>
      <w:r>
        <w:t xml:space="preserve"> chain as a real production deployment. The pitfalls you hit along the way (releasing </w:t>
      </w:r>
      <w:r>
        <w:rPr>
          <w:b/>
        </w:rPr>
        <w:t xml:space="preserve">segments</w:t>
      </w:r>
      <w:r>
        <w:t xml:space="preserve">, the outbound format, the </w:t>
      </w:r>
      <w:r>
        <w:rPr>
          <w:b/>
        </w:rPr>
        <w:t xml:space="preserve">inbound function module</w:t>
      </w:r>
      <w:r>
        <w:t xml:space="preserve"> interface) are the same as on a real project, and that is precisely where the exercise earns its value.</w:t>
      </w:r>
    </w:p>
    <w:p>
      <w:pPr/>
      <w:r>
        <w:t xml:space="preserve">An important point: all of this runs on a plain </w:t>
      </w:r>
      <w:r>
        <w:rPr>
          <w:b/>
        </w:rPr>
        <w:t xml:space="preserve">ABAP Platform</w:t>
      </w:r>
      <w:r>
        <w:t xml:space="preserve"> 2023 server, not on a full product like </w:t>
      </w:r>
      <w:r>
        <w:rPr>
          <w:b/>
        </w:rPr>
        <w:t xml:space="preserve">S/4HANA</w:t>
      </w:r>
      <w:r>
        <w:t xml:space="preserve">. It shows you don't need a business product installed to develop real custom solutions. An ABAP Platform server is enough to build and run your own objects: tables, </w:t>
      </w:r>
      <w:r>
        <w:rPr>
          <w:b/>
        </w:rPr>
        <w:t xml:space="preserve">IDocs</w:t>
      </w:r>
      <w:r>
        <w:t xml:space="preserve">, programs, </w:t>
      </w:r>
      <w:r>
        <w:rPr>
          <w:b/>
        </w:rPr>
        <w:t xml:space="preserve">ALE</w:t>
      </w:r>
      <w:r>
        <w:t xml:space="preserve"> configuration, function modules. It is a full-fledged development platform.</w:t>
      </w:r>
    </w:p>
    <w:p>
      <w:pPr/>
      <w:r>
        <w:t xml:space="preserve">Finally, this build is not an end in itself: it serves as a reusable base for other topics. Once the </w:t>
      </w:r>
      <w:r>
        <w:rPr>
          <w:b/>
        </w:rPr>
        <w:t xml:space="preserve">ALE/IDoc</w:t>
      </w:r>
      <w:r>
        <w:t xml:space="preserve"> mechanics are mastered and the skeleton is in place, you can re-derive it for other system-to-system exchange cases, or use it as a testing ground for new developments.</w:t>
      </w:r>
    </w:p>
    <w:p>
      <w:pPr>
        <w:pStyle w:val="Heading2"/>
      </w:pPr>
      <w:r>
        <w:t xml:space="preserve">Roadmap</w:t>
      </w:r>
    </w:p>
    <w:p>
      <w:pPr/>
      <w:r>
        <w:t xml:space="preserve">The project is built in 4 phases. This document covers them, from the data foundation through to the full flow, with the pitfalls met along the way.</w:t>
      </w:r>
    </w:p>
    <w:p>
      <w:pPr>
        <w:pStyle w:val="ListParagraph"/>
        <w:numPr>
          <w:ilvl w:val="0"/>
          <w:numId w:val="6"/>
        </w:numPr>
      </w:pPr>
      <w:r>
        <w:t xml:space="preserve">Data foundation: application tables, </w:t>
      </w:r>
      <w:r>
        <w:rPr>
          <w:b/>
        </w:rPr>
        <w:t xml:space="preserve">segments</w:t>
      </w:r>
      <w:r>
        <w:t xml:space="preserve">, </w:t>
      </w:r>
      <w:r>
        <w:rPr>
          <w:b/>
        </w:rPr>
        <w:t xml:space="preserve">basic types</w:t>
      </w:r>
      <w:r>
        <w:t xml:space="preserve">, </w:t>
      </w:r>
      <w:r>
        <w:rPr>
          <w:b/>
        </w:rPr>
        <w:t xml:space="preserve">message type</w:t>
      </w:r>
      <w:r>
        <w:t xml:space="preserve">, links. (this phase)</w:t>
      </w:r>
    </w:p>
    <w:p>
      <w:pPr>
        <w:pStyle w:val="ListParagraph"/>
        <w:numPr>
          <w:ilvl w:val="0"/>
          <w:numId w:val="6"/>
        </w:numPr>
      </w:pPr>
      <w:r>
        <w:rPr>
          <w:b/>
        </w:rPr>
        <w:t xml:space="preserve">ALE</w:t>
      </w:r>
      <w:r>
        <w:t xml:space="preserve"> config: </w:t>
      </w:r>
      <w:r>
        <w:rPr>
          <w:b/>
        </w:rPr>
        <w:t xml:space="preserve">logical systems</w:t>
      </w:r>
      <w:r>
        <w:t xml:space="preserve">, </w:t>
      </w:r>
      <w:r>
        <w:rPr>
          <w:b/>
        </w:rPr>
        <w:t xml:space="preserve">RFC destinations</w:t>
      </w:r>
      <w:r>
        <w:t xml:space="preserve">, ports, </w:t>
      </w:r>
      <w:r>
        <w:rPr>
          <w:b/>
        </w:rPr>
        <w:t xml:space="preserve">distribution model</w:t>
      </w:r>
      <w:r>
        <w:t xml:space="preserve">, </w:t>
      </w:r>
      <w:r>
        <w:rPr>
          <w:b/>
        </w:rPr>
        <w:t xml:space="preserve">partner profiles</w:t>
      </w:r>
      <w:r>
        <w:t xml:space="preserve">.</w:t>
      </w:r>
    </w:p>
    <w:p>
      <w:pPr>
        <w:pStyle w:val="ListParagraph"/>
        <w:numPr>
          <w:ilvl w:val="0"/>
          <w:numId w:val="6"/>
        </w:numPr>
      </w:pPr>
      <w:r>
        <w:t xml:space="preserve">Application layer: outbound FM (fill the </w:t>
      </w:r>
      <w:r>
        <w:rPr>
          <w:b/>
        </w:rPr>
        <w:t xml:space="preserve">IDoc</w:t>
      </w:r>
      <w:r>
        <w:t xml:space="preserve">), inbound FM (post into the tables), </w:t>
      </w:r>
      <w:r>
        <w:rPr>
          <w:b/>
        </w:rPr>
        <w:t xml:space="preserve">process codes</w:t>
      </w:r>
      <w:r>
        <w:t xml:space="preserve">, sending report.</w:t>
      </w:r>
    </w:p>
    <w:p>
      <w:pPr>
        <w:pStyle w:val="ListParagraph"/>
        <w:numPr>
          <w:ilvl w:val="0"/>
          <w:numId w:val="6"/>
        </w:numPr>
      </w:pPr>
      <w:r>
        <w:t xml:space="preserve">Test and monitoring: </w:t>
      </w:r>
      <w:r>
        <w:rPr>
          <w:b/>
        </w:rPr>
        <w:t xml:space="preserve">WE19</w:t>
      </w:r>
      <w:r>
        <w:t xml:space="preserve">, </w:t>
      </w:r>
      <w:r>
        <w:rPr>
          <w:b/>
        </w:rPr>
        <w:t xml:space="preserve">BD87</w:t>
      </w:r>
      <w:r>
        <w:t xml:space="preserve">, </w:t>
      </w:r>
      <w:r>
        <w:rPr>
          <w:b/>
        </w:rPr>
        <w:t xml:space="preserve">WE02</w:t>
      </w:r>
      <w:r>
        <w:t xml:space="preserve">.</w:t>
      </w:r>
    </w:p>
    <w:p>
      <w:pPr>
        <w:pStyle w:val="Heading2"/>
      </w:pPr>
      <w:r>
        <w:t xml:space="preserve">Demo topology</w:t>
      </w:r>
    </w:p>
    <w:p>
      <w:pPr/>
      <w:r>
        <w:t xml:space="preserve">The landscape chosen for the demo: the Ministry is on system DEV (client 100), the Faculty on system QAS (client 100). Two separate SAP systems linked by </w:t>
      </w:r>
      <w:r>
        <w:rPr>
          <w:b/>
        </w:rPr>
        <w:t xml:space="preserve">ALE</w:t>
      </w:r>
      <w:r>
        <w:t xml:space="preserve">, with the </w:t>
      </w:r>
      <w:r>
        <w:rPr>
          <w:b/>
        </w:rPr>
        <w:t xml:space="preserve">TMS</w:t>
      </w:r>
      <w:r>
        <w:t xml:space="preserve"> configured to transport the objects from DEV to QAS.</w:t>
      </w:r>
    </w:p>
    <w:p>
      <w:pPr/>
      <w:r>
        <w:t xml:space="preserve">The custom objects are developed on DEV and then transported to QAS, since they must exist on both sides for the exchange to work. The </w:t>
      </w:r>
      <w:r>
        <w:rPr>
          <w:b/>
        </w:rPr>
        <w:t xml:space="preserve">partner profiles</w:t>
      </w:r>
      <w:r>
        <w:t xml:space="preserve">, on the other hand, are created directly on each system (they are not transported).</w:t>
      </w:r>
    </w:p>
    <w:p>
      <w:pPr>
        <w:pStyle w:val="Heading2"/>
      </w:pPr>
      <w:r>
        <w:t xml:space="preserve">Application tables (SE11)</w:t>
      </w:r>
    </w:p>
    <w:p>
      <w:pPr/>
      <w:r>
        <w:t xml:space="preserve">Two transparent tables. Technical settings for both: delivery class A, data class APPL0, size 0, maintenance Display/Maintenance allowed. Activate after creation.</w:t>
      </w:r>
    </w:p>
    <w:p>
      <w:pPr>
        <w:pStyle w:val="Heading3"/>
      </w:pPr>
      <w:r>
        <w:t xml:space="preserve">ZSTUD_STUDENT</w:t>
      </w:r>
    </w:p>
    <w:p>
      <w:pPr/>
      <w:r>
        <w:t xml:space="preserve">Student base: master table on the ministry side (client 100), and arrival table on the faculty side (client 200).</w:t>
      </w:r>
    </w:p>
    <w:tbl>
      <w:tblPr>
        <w:tblStyle w:val="TableGrid"/>
        <w:tblW w:w="0" w:type="auto"/>
        <w:tblLayout w:type="fixed"/>
        <w:tblLook w:val="04A0" w:firstRow="1" w:lastRow="0" w:firstColumn="0" w:lastColumn="0" w:noHBand="0" w:noVBand="1"/>
      </w:tblPr>
      <w:tblGrid>
        <w:gridCol w:w="1910"/>
        <w:gridCol w:w="759"/>
        <w:gridCol w:w="2458"/>
        <w:gridCol w:w="759"/>
        <w:gridCol w:w="759"/>
        <w:gridCol w:w="2712"/>
      </w:tblGrid>
      <w:tr>
        <w:trPr>
          <w:tblHeader/>
        </w:trPr>
        <w:tc>
          <w:tcPr>
            <w:tcW w:w="1910" w:type="dxa"/>
            <w:shd w:val="clear" w:color="auto" w:fill="F2F2F2"/>
          </w:tcPr>
          <w:p>
            <w:pPr/>
            <w:r>
              <w:t xml:space="preserve">Field</w:t>
            </w:r>
          </w:p>
        </w:tc>
        <w:tc>
          <w:tcPr>
            <w:tcW w:w="759" w:type="dxa"/>
            <w:shd w:val="clear" w:color="auto" w:fill="F2F2F2"/>
          </w:tcPr>
          <w:p>
            <w:pPr/>
            <w:r>
              <w:t xml:space="preserve">Key</w:t>
            </w:r>
          </w:p>
        </w:tc>
        <w:tc>
          <w:tcPr>
            <w:tcW w:w="2458" w:type="dxa"/>
            <w:shd w:val="clear" w:color="auto" w:fill="F2F2F2"/>
          </w:tcPr>
          <w:p>
            <w:pPr/>
            <w:r>
              <w:t xml:space="preserve">Type</w:t>
            </w:r>
          </w:p>
        </w:tc>
        <w:tc>
          <w:tcPr>
            <w:tcW w:w="759" w:type="dxa"/>
            <w:shd w:val="clear" w:color="auto" w:fill="F2F2F2"/>
          </w:tcPr>
          <w:p>
            <w:pPr/>
            <w:r>
              <w:t xml:space="preserve">Len</w:t>
            </w:r>
          </w:p>
        </w:tc>
        <w:tc>
          <w:tcPr>
            <w:tcW w:w="759" w:type="dxa"/>
            <w:shd w:val="clear" w:color="auto" w:fill="F2F2F2"/>
          </w:tcPr>
          <w:p>
            <w:pPr/>
            <w:r>
              <w:t xml:space="preserve">Dec</w:t>
            </w:r>
          </w:p>
        </w:tc>
        <w:tc>
          <w:tcPr>
            <w:tcW w:w="2712" w:type="dxa"/>
            <w:shd w:val="clear" w:color="auto" w:fill="F2F2F2"/>
          </w:tcPr>
          <w:p>
            <w:pPr/>
            <w:r>
              <w:t xml:space="preserve">Text</w:t>
            </w:r>
          </w:p>
        </w:tc>
      </w:tr>
      <w:tr>
        <w:tc>
          <w:tcPr>
            <w:tcW w:w="1910" w:type="dxa"/>
          </w:tcPr>
          <w:p>
            <w:pPr/>
            <w:r>
              <w:t xml:space="preserve">MANDT</w:t>
            </w:r>
          </w:p>
        </w:tc>
        <w:tc>
          <w:tcPr>
            <w:tcW w:w="759" w:type="dxa"/>
          </w:tcPr>
          <w:p>
            <w:pPr/>
            <w:r>
              <w:t xml:space="preserve">X</w:t>
            </w:r>
          </w:p>
        </w:tc>
        <w:tc>
          <w:tcPr>
            <w:tcW w:w="2458" w:type="dxa"/>
          </w:tcPr>
          <w:p>
            <w:pPr/>
            <w:r>
              <w:t xml:space="preserve">CLNT (DE MANDT)</w:t>
            </w:r>
          </w:p>
        </w:tc>
        <w:tc>
          <w:tcPr>
            <w:tcW w:w="759" w:type="dxa"/>
          </w:tcPr>
          <w:p>
            <w:pPr/>
            <w:r>
              <w:t xml:space="preserve">3</w:t>
            </w:r>
          </w:p>
        </w:tc>
        <w:tc>
          <w:tcPr>
            <w:tcW w:w="759" w:type="dxa"/>
          </w:tcPr>
          <w:p>
            <w:pPr/>
          </w:p>
        </w:tc>
        <w:tc>
          <w:tcPr>
            <w:tcW w:w="2712" w:type="dxa"/>
          </w:tcPr>
          <w:p>
            <w:pPr/>
            <w:r>
              <w:t xml:space="preserve">Client</w:t>
            </w:r>
          </w:p>
        </w:tc>
      </w:tr>
      <w:tr>
        <w:tc>
          <w:tcPr>
            <w:tcW w:w="1910" w:type="dxa"/>
          </w:tcPr>
          <w:p>
            <w:pPr/>
            <w:r>
              <w:t xml:space="preserve">MATRICULE</w:t>
            </w:r>
          </w:p>
        </w:tc>
        <w:tc>
          <w:tcPr>
            <w:tcW w:w="759" w:type="dxa"/>
          </w:tcPr>
          <w:p>
            <w:pPr/>
            <w:r>
              <w:t xml:space="preserve">X</w:t>
            </w:r>
          </w:p>
        </w:tc>
        <w:tc>
          <w:tcPr>
            <w:tcW w:w="2458" w:type="dxa"/>
          </w:tcPr>
          <w:p>
            <w:pPr/>
            <w:r>
              <w:t xml:space="preserve">CHAR</w:t>
            </w:r>
          </w:p>
        </w:tc>
        <w:tc>
          <w:tcPr>
            <w:tcW w:w="759" w:type="dxa"/>
          </w:tcPr>
          <w:p>
            <w:pPr/>
            <w:r>
              <w:t xml:space="preserve">10</w:t>
            </w:r>
          </w:p>
        </w:tc>
        <w:tc>
          <w:tcPr>
            <w:tcW w:w="759" w:type="dxa"/>
          </w:tcPr>
          <w:p>
            <w:pPr/>
          </w:p>
        </w:tc>
        <w:tc>
          <w:tcPr>
            <w:tcW w:w="2712" w:type="dxa"/>
          </w:tcPr>
          <w:p>
            <w:pPr/>
            <w:r>
              <w:t xml:space="preserve">Student ID</w:t>
            </w:r>
          </w:p>
        </w:tc>
      </w:tr>
      <w:tr>
        <w:tc>
          <w:tcPr>
            <w:tcW w:w="1910" w:type="dxa"/>
          </w:tcPr>
          <w:p>
            <w:pPr/>
            <w:r>
              <w:t xml:space="preserve">NOM</w:t>
            </w:r>
          </w:p>
        </w:tc>
        <w:tc>
          <w:tcPr>
            <w:tcW w:w="759" w:type="dxa"/>
          </w:tcPr>
          <w:p>
            <w:pPr/>
          </w:p>
        </w:tc>
        <w:tc>
          <w:tcPr>
            <w:tcW w:w="2458" w:type="dxa"/>
          </w:tcPr>
          <w:p>
            <w:pPr/>
            <w:r>
              <w:t xml:space="preserve">CHAR</w:t>
            </w:r>
          </w:p>
        </w:tc>
        <w:tc>
          <w:tcPr>
            <w:tcW w:w="759" w:type="dxa"/>
          </w:tcPr>
          <w:p>
            <w:pPr/>
            <w:r>
              <w:t xml:space="preserve">40</w:t>
            </w:r>
          </w:p>
        </w:tc>
        <w:tc>
          <w:tcPr>
            <w:tcW w:w="759" w:type="dxa"/>
          </w:tcPr>
          <w:p>
            <w:pPr/>
          </w:p>
        </w:tc>
        <w:tc>
          <w:tcPr>
            <w:tcW w:w="2712" w:type="dxa"/>
          </w:tcPr>
          <w:p>
            <w:pPr/>
            <w:r>
              <w:t xml:space="preserve">Last name</w:t>
            </w:r>
          </w:p>
        </w:tc>
      </w:tr>
      <w:tr>
        <w:tc>
          <w:tcPr>
            <w:tcW w:w="1910" w:type="dxa"/>
          </w:tcPr>
          <w:p>
            <w:pPr/>
            <w:r>
              <w:t xml:space="preserve">PRENOM</w:t>
            </w:r>
          </w:p>
        </w:tc>
        <w:tc>
          <w:tcPr>
            <w:tcW w:w="759" w:type="dxa"/>
          </w:tcPr>
          <w:p>
            <w:pPr/>
          </w:p>
        </w:tc>
        <w:tc>
          <w:tcPr>
            <w:tcW w:w="2458" w:type="dxa"/>
          </w:tcPr>
          <w:p>
            <w:pPr/>
            <w:r>
              <w:t xml:space="preserve">CHAR</w:t>
            </w:r>
          </w:p>
        </w:tc>
        <w:tc>
          <w:tcPr>
            <w:tcW w:w="759" w:type="dxa"/>
          </w:tcPr>
          <w:p>
            <w:pPr/>
            <w:r>
              <w:t xml:space="preserve">40</w:t>
            </w:r>
          </w:p>
        </w:tc>
        <w:tc>
          <w:tcPr>
            <w:tcW w:w="759" w:type="dxa"/>
          </w:tcPr>
          <w:p>
            <w:pPr/>
          </w:p>
        </w:tc>
        <w:tc>
          <w:tcPr>
            <w:tcW w:w="2712" w:type="dxa"/>
          </w:tcPr>
          <w:p>
            <w:pPr/>
            <w:r>
              <w:t xml:space="preserve">First name</w:t>
            </w:r>
          </w:p>
        </w:tc>
      </w:tr>
      <w:tr>
        <w:tc>
          <w:tcPr>
            <w:tcW w:w="1910" w:type="dxa"/>
          </w:tcPr>
          <w:p>
            <w:pPr/>
            <w:r>
              <w:t xml:space="preserve">DATENAIS</w:t>
            </w:r>
          </w:p>
        </w:tc>
        <w:tc>
          <w:tcPr>
            <w:tcW w:w="759" w:type="dxa"/>
          </w:tcPr>
          <w:p>
            <w:pPr/>
          </w:p>
        </w:tc>
        <w:tc>
          <w:tcPr>
            <w:tcW w:w="2458" w:type="dxa"/>
          </w:tcPr>
          <w:p>
            <w:pPr/>
            <w:r>
              <w:t xml:space="preserve">DATS</w:t>
            </w:r>
          </w:p>
        </w:tc>
        <w:tc>
          <w:tcPr>
            <w:tcW w:w="759" w:type="dxa"/>
          </w:tcPr>
          <w:p>
            <w:pPr/>
            <w:r>
              <w:t xml:space="preserve">8</w:t>
            </w:r>
          </w:p>
        </w:tc>
        <w:tc>
          <w:tcPr>
            <w:tcW w:w="759" w:type="dxa"/>
          </w:tcPr>
          <w:p>
            <w:pPr/>
          </w:p>
        </w:tc>
        <w:tc>
          <w:tcPr>
            <w:tcW w:w="2712" w:type="dxa"/>
          </w:tcPr>
          <w:p>
            <w:pPr/>
            <w:r>
              <w:t xml:space="preserve">Date of birth</w:t>
            </w:r>
          </w:p>
        </w:tc>
      </w:tr>
      <w:tr>
        <w:tc>
          <w:tcPr>
            <w:tcW w:w="1910" w:type="dxa"/>
          </w:tcPr>
          <w:p>
            <w:pPr/>
            <w:r>
              <w:t xml:space="preserve">CIN</w:t>
            </w:r>
          </w:p>
        </w:tc>
        <w:tc>
          <w:tcPr>
            <w:tcW w:w="759" w:type="dxa"/>
          </w:tcPr>
          <w:p>
            <w:pPr/>
          </w:p>
        </w:tc>
        <w:tc>
          <w:tcPr>
            <w:tcW w:w="2458" w:type="dxa"/>
          </w:tcPr>
          <w:p>
            <w:pPr/>
            <w:r>
              <w:t xml:space="preserve">CHAR</w:t>
            </w:r>
          </w:p>
        </w:tc>
        <w:tc>
          <w:tcPr>
            <w:tcW w:w="759" w:type="dxa"/>
          </w:tcPr>
          <w:p>
            <w:pPr/>
            <w:r>
              <w:t xml:space="preserve">8</w:t>
            </w:r>
          </w:p>
        </w:tc>
        <w:tc>
          <w:tcPr>
            <w:tcW w:w="759" w:type="dxa"/>
          </w:tcPr>
          <w:p>
            <w:pPr/>
          </w:p>
        </w:tc>
        <w:tc>
          <w:tcPr>
            <w:tcW w:w="2712" w:type="dxa"/>
          </w:tcPr>
          <w:p>
            <w:pPr/>
            <w:r>
              <w:t xml:space="preserve">National ID</w:t>
            </w:r>
          </w:p>
        </w:tc>
      </w:tr>
      <w:tr>
        <w:tc>
          <w:tcPr>
            <w:tcW w:w="1910" w:type="dxa"/>
          </w:tcPr>
          <w:p>
            <w:pPr/>
            <w:r>
              <w:t xml:space="preserve">NATIONALITE</w:t>
            </w:r>
          </w:p>
        </w:tc>
        <w:tc>
          <w:tcPr>
            <w:tcW w:w="759" w:type="dxa"/>
          </w:tcPr>
          <w:p>
            <w:pPr/>
          </w:p>
        </w:tc>
        <w:tc>
          <w:tcPr>
            <w:tcW w:w="2458" w:type="dxa"/>
          </w:tcPr>
          <w:p>
            <w:pPr/>
            <w:r>
              <w:t xml:space="preserve">CHAR</w:t>
            </w:r>
          </w:p>
        </w:tc>
        <w:tc>
          <w:tcPr>
            <w:tcW w:w="759" w:type="dxa"/>
          </w:tcPr>
          <w:p>
            <w:pPr/>
            <w:r>
              <w:t xml:space="preserve">3</w:t>
            </w:r>
          </w:p>
        </w:tc>
        <w:tc>
          <w:tcPr>
            <w:tcW w:w="759" w:type="dxa"/>
          </w:tcPr>
          <w:p>
            <w:pPr/>
          </w:p>
        </w:tc>
        <w:tc>
          <w:tcPr>
            <w:tcW w:w="2712" w:type="dxa"/>
          </w:tcPr>
          <w:p>
            <w:pPr/>
            <w:r>
              <w:t xml:space="preserve">Nationality</w:t>
            </w:r>
          </w:p>
        </w:tc>
      </w:tr>
      <w:tr>
        <w:tc>
          <w:tcPr>
            <w:tcW w:w="1910" w:type="dxa"/>
          </w:tcPr>
          <w:p>
            <w:pPr/>
            <w:r>
              <w:t xml:space="preserve">SEXE</w:t>
            </w:r>
          </w:p>
        </w:tc>
        <w:tc>
          <w:tcPr>
            <w:tcW w:w="759" w:type="dxa"/>
          </w:tcPr>
          <w:p>
            <w:pPr/>
          </w:p>
        </w:tc>
        <w:tc>
          <w:tcPr>
            <w:tcW w:w="2458" w:type="dxa"/>
          </w:tcPr>
          <w:p>
            <w:pPr/>
            <w:r>
              <w:t xml:space="preserve">CHAR</w:t>
            </w:r>
          </w:p>
        </w:tc>
        <w:tc>
          <w:tcPr>
            <w:tcW w:w="759" w:type="dxa"/>
          </w:tcPr>
          <w:p>
            <w:pPr/>
            <w:r>
              <w:t xml:space="preserve">1</w:t>
            </w:r>
          </w:p>
        </w:tc>
        <w:tc>
          <w:tcPr>
            <w:tcW w:w="759" w:type="dxa"/>
          </w:tcPr>
          <w:p>
            <w:pPr/>
          </w:p>
        </w:tc>
        <w:tc>
          <w:tcPr>
            <w:tcW w:w="2712" w:type="dxa"/>
          </w:tcPr>
          <w:p>
            <w:pPr/>
            <w:r>
              <w:t xml:space="preserve">Gender</w:t>
            </w:r>
          </w:p>
        </w:tc>
      </w:tr>
      <w:tr>
        <w:tc>
          <w:tcPr>
            <w:tcW w:w="1910" w:type="dxa"/>
          </w:tcPr>
          <w:p>
            <w:pPr/>
            <w:r>
              <w:t xml:space="preserve">CODE_UNIV</w:t>
            </w:r>
          </w:p>
        </w:tc>
        <w:tc>
          <w:tcPr>
            <w:tcW w:w="759" w:type="dxa"/>
          </w:tcPr>
          <w:p>
            <w:pPr/>
          </w:p>
        </w:tc>
        <w:tc>
          <w:tcPr>
            <w:tcW w:w="2458" w:type="dxa"/>
          </w:tcPr>
          <w:p>
            <w:pPr/>
            <w:r>
              <w:t xml:space="preserve">CHAR</w:t>
            </w:r>
          </w:p>
        </w:tc>
        <w:tc>
          <w:tcPr>
            <w:tcW w:w="759" w:type="dxa"/>
          </w:tcPr>
          <w:p>
            <w:pPr/>
            <w:r>
              <w:t xml:space="preserve">10</w:t>
            </w:r>
          </w:p>
        </w:tc>
        <w:tc>
          <w:tcPr>
            <w:tcW w:w="759" w:type="dxa"/>
          </w:tcPr>
          <w:p>
            <w:pPr/>
          </w:p>
        </w:tc>
        <w:tc>
          <w:tcPr>
            <w:tcW w:w="2712" w:type="dxa"/>
          </w:tcPr>
          <w:p>
            <w:pPr/>
            <w:r>
              <w:t xml:space="preserve">University code</w:t>
            </w:r>
          </w:p>
        </w:tc>
      </w:tr>
      <w:tr>
        <w:tc>
          <w:tcPr>
            <w:tcW w:w="1910" w:type="dxa"/>
          </w:tcPr>
          <w:p>
            <w:pPr/>
            <w:r>
              <w:t xml:space="preserve">CODE_FAC</w:t>
            </w:r>
          </w:p>
        </w:tc>
        <w:tc>
          <w:tcPr>
            <w:tcW w:w="759" w:type="dxa"/>
          </w:tcPr>
          <w:p>
            <w:pPr/>
          </w:p>
        </w:tc>
        <w:tc>
          <w:tcPr>
            <w:tcW w:w="2458" w:type="dxa"/>
          </w:tcPr>
          <w:p>
            <w:pPr/>
            <w:r>
              <w:t xml:space="preserve">CHAR</w:t>
            </w:r>
          </w:p>
        </w:tc>
        <w:tc>
          <w:tcPr>
            <w:tcW w:w="759" w:type="dxa"/>
          </w:tcPr>
          <w:p>
            <w:pPr/>
            <w:r>
              <w:t xml:space="preserve">10</w:t>
            </w:r>
          </w:p>
        </w:tc>
        <w:tc>
          <w:tcPr>
            <w:tcW w:w="759" w:type="dxa"/>
          </w:tcPr>
          <w:p>
            <w:pPr/>
          </w:p>
        </w:tc>
        <w:tc>
          <w:tcPr>
            <w:tcW w:w="2712" w:type="dxa"/>
          </w:tcPr>
          <w:p>
            <w:pPr/>
            <w:r>
              <w:t xml:space="preserve">Faculty code</w:t>
            </w:r>
          </w:p>
        </w:tc>
      </w:tr>
      <w:tr>
        <w:tc>
          <w:tcPr>
            <w:tcW w:w="1910" w:type="dxa"/>
          </w:tcPr>
          <w:p>
            <w:pPr/>
            <w:r>
              <w:t xml:space="preserve">CODE_SPEC</w:t>
            </w:r>
          </w:p>
        </w:tc>
        <w:tc>
          <w:tcPr>
            <w:tcW w:w="759" w:type="dxa"/>
          </w:tcPr>
          <w:p>
            <w:pPr/>
          </w:p>
        </w:tc>
        <w:tc>
          <w:tcPr>
            <w:tcW w:w="2458" w:type="dxa"/>
          </w:tcPr>
          <w:p>
            <w:pPr/>
            <w:r>
              <w:t xml:space="preserve">CHAR</w:t>
            </w:r>
          </w:p>
        </w:tc>
        <w:tc>
          <w:tcPr>
            <w:tcW w:w="759" w:type="dxa"/>
          </w:tcPr>
          <w:p>
            <w:pPr/>
            <w:r>
              <w:t xml:space="preserve">10</w:t>
            </w:r>
          </w:p>
        </w:tc>
        <w:tc>
          <w:tcPr>
            <w:tcW w:w="759" w:type="dxa"/>
          </w:tcPr>
          <w:p>
            <w:pPr/>
          </w:p>
        </w:tc>
        <w:tc>
          <w:tcPr>
            <w:tcW w:w="2712" w:type="dxa"/>
          </w:tcPr>
          <w:p>
            <w:pPr/>
            <w:r>
              <w:t xml:space="preserve">Specialization code</w:t>
            </w:r>
          </w:p>
        </w:tc>
      </w:tr>
      <w:tr>
        <w:tc>
          <w:tcPr>
            <w:tcW w:w="1910" w:type="dxa"/>
          </w:tcPr>
          <w:p>
            <w:pPr/>
            <w:r>
              <w:t xml:space="preserve">ANNEE_UNIV</w:t>
            </w:r>
          </w:p>
        </w:tc>
        <w:tc>
          <w:tcPr>
            <w:tcW w:w="759" w:type="dxa"/>
          </w:tcPr>
          <w:p>
            <w:pPr/>
          </w:p>
        </w:tc>
        <w:tc>
          <w:tcPr>
            <w:tcW w:w="2458" w:type="dxa"/>
          </w:tcPr>
          <w:p>
            <w:pPr/>
            <w:r>
              <w:t xml:space="preserve">CHAR</w:t>
            </w:r>
          </w:p>
        </w:tc>
        <w:tc>
          <w:tcPr>
            <w:tcW w:w="759" w:type="dxa"/>
          </w:tcPr>
          <w:p>
            <w:pPr/>
            <w:r>
              <w:t xml:space="preserve">9</w:t>
            </w:r>
          </w:p>
        </w:tc>
        <w:tc>
          <w:tcPr>
            <w:tcW w:w="759" w:type="dxa"/>
          </w:tcPr>
          <w:p>
            <w:pPr/>
          </w:p>
        </w:tc>
        <w:tc>
          <w:tcPr>
            <w:tcW w:w="2712" w:type="dxa"/>
          </w:tcPr>
          <w:p>
            <w:pPr/>
            <w:r>
              <w:t xml:space="preserve">Academic year</w:t>
            </w:r>
          </w:p>
        </w:tc>
      </w:tr>
      <w:tr>
        <w:tc>
          <w:tcPr>
            <w:tcW w:w="1910" w:type="dxa"/>
          </w:tcPr>
          <w:p>
            <w:pPr/>
            <w:r>
              <w:t xml:space="preserve">MOY_BAC</w:t>
            </w:r>
          </w:p>
        </w:tc>
        <w:tc>
          <w:tcPr>
            <w:tcW w:w="759" w:type="dxa"/>
          </w:tcPr>
          <w:p>
            <w:pPr/>
          </w:p>
        </w:tc>
        <w:tc>
          <w:tcPr>
            <w:tcW w:w="2458" w:type="dxa"/>
          </w:tcPr>
          <w:p>
            <w:pPr/>
            <w:r>
              <w:t xml:space="preserve">DEC</w:t>
            </w:r>
          </w:p>
        </w:tc>
        <w:tc>
          <w:tcPr>
            <w:tcW w:w="759" w:type="dxa"/>
          </w:tcPr>
          <w:p>
            <w:pPr/>
            <w:r>
              <w:t xml:space="preserve">5</w:t>
            </w:r>
          </w:p>
        </w:tc>
        <w:tc>
          <w:tcPr>
            <w:tcW w:w="759" w:type="dxa"/>
          </w:tcPr>
          <w:p>
            <w:pPr/>
            <w:r>
              <w:t xml:space="preserve">2</w:t>
            </w:r>
          </w:p>
        </w:tc>
        <w:tc>
          <w:tcPr>
            <w:tcW w:w="2712" w:type="dxa"/>
          </w:tcPr>
          <w:p>
            <w:pPr/>
            <w:r>
              <w:t xml:space="preserve">Baccalaureate average</w:t>
            </w:r>
          </w:p>
        </w:tc>
      </w:tr>
    </w:tbl>
    <w:p>
      <w:pPr>
        <w:pStyle w:val="Heading3"/>
      </w:pPr>
      <w:r>
        <w:t xml:space="preserve">ZSTUD_EVENT</w:t>
      </w:r>
    </w:p>
    <w:p>
      <w:pPr/>
      <w:r>
        <w:t xml:space="preserve">Event log: the faculty writes (client 200), the ministry receives (client 100).</w:t>
      </w:r>
    </w:p>
    <w:tbl>
      <w:tblPr>
        <w:tblStyle w:val="TableGrid"/>
        <w:tblW w:w="0" w:type="auto"/>
        <w:tblLayout w:type="fixed"/>
        <w:tblLook w:val="04A0" w:firstRow="1" w:lastRow="0" w:firstColumn="0" w:lastColumn="0" w:noHBand="0" w:noVBand="1"/>
      </w:tblPr>
      <w:tblGrid>
        <w:gridCol w:w="1621"/>
        <w:gridCol w:w="720"/>
        <w:gridCol w:w="1902"/>
        <w:gridCol w:w="720"/>
        <w:gridCol w:w="720"/>
        <w:gridCol w:w="3677"/>
      </w:tblGrid>
      <w:tr>
        <w:trPr>
          <w:tblHeader/>
        </w:trPr>
        <w:tc>
          <w:tcPr>
            <w:tcW w:w="1621" w:type="dxa"/>
            <w:shd w:val="clear" w:color="auto" w:fill="F2F2F2"/>
          </w:tcPr>
          <w:p>
            <w:pPr/>
            <w:r>
              <w:rPr>
                <w:b/>
              </w:rPr>
              <w:t xml:space="preserve">Field</w:t>
            </w:r>
          </w:p>
        </w:tc>
        <w:tc>
          <w:tcPr>
            <w:tcW w:w="720" w:type="dxa"/>
            <w:shd w:val="clear" w:color="auto" w:fill="F2F2F2"/>
          </w:tcPr>
          <w:p>
            <w:pPr/>
            <w:r>
              <w:rPr>
                <w:b/>
              </w:rPr>
              <w:t xml:space="preserve">Key</w:t>
            </w:r>
          </w:p>
        </w:tc>
        <w:tc>
          <w:tcPr>
            <w:tcW w:w="1902" w:type="dxa"/>
            <w:shd w:val="clear" w:color="auto" w:fill="F2F2F2"/>
          </w:tcPr>
          <w:p>
            <w:pPr/>
            <w:r>
              <w:rPr>
                <w:b/>
              </w:rPr>
              <w:t xml:space="preserve">Type</w:t>
            </w:r>
          </w:p>
        </w:tc>
        <w:tc>
          <w:tcPr>
            <w:tcW w:w="720" w:type="dxa"/>
            <w:shd w:val="clear" w:color="auto" w:fill="F2F2F2"/>
          </w:tcPr>
          <w:p>
            <w:pPr/>
            <w:r>
              <w:rPr>
                <w:b/>
              </w:rPr>
              <w:t xml:space="preserve">Len</w:t>
            </w:r>
          </w:p>
        </w:tc>
        <w:tc>
          <w:tcPr>
            <w:tcW w:w="720" w:type="dxa"/>
            <w:shd w:val="clear" w:color="auto" w:fill="F2F2F2"/>
          </w:tcPr>
          <w:p>
            <w:pPr/>
            <w:r>
              <w:rPr>
                <w:b/>
              </w:rPr>
              <w:t xml:space="preserve">Dec</w:t>
            </w:r>
          </w:p>
        </w:tc>
        <w:tc>
          <w:tcPr>
            <w:tcW w:w="3677" w:type="dxa"/>
            <w:shd w:val="clear" w:color="auto" w:fill="F2F2F2"/>
          </w:tcPr>
          <w:p>
            <w:pPr/>
            <w:r>
              <w:rPr>
                <w:b/>
              </w:rPr>
              <w:t xml:space="preserve">Text</w:t>
            </w:r>
          </w:p>
        </w:tc>
      </w:tr>
      <w:tr>
        <w:tc>
          <w:tcPr>
            <w:tcW w:w="1621" w:type="dxa"/>
          </w:tcPr>
          <w:p>
            <w:pPr/>
            <w:r>
              <w:t xml:space="preserve">MANDT</w:t>
            </w:r>
          </w:p>
        </w:tc>
        <w:tc>
          <w:tcPr>
            <w:tcW w:w="720" w:type="dxa"/>
          </w:tcPr>
          <w:p>
            <w:pPr/>
            <w:r>
              <w:t xml:space="preserve">X</w:t>
            </w:r>
          </w:p>
        </w:tc>
        <w:tc>
          <w:tcPr>
            <w:tcW w:w="1902" w:type="dxa"/>
          </w:tcPr>
          <w:p>
            <w:pPr/>
            <w:r>
              <w:t xml:space="preserve">CLNT (DE MANDT)</w:t>
            </w:r>
          </w:p>
        </w:tc>
        <w:tc>
          <w:tcPr>
            <w:tcW w:w="720" w:type="dxa"/>
          </w:tcPr>
          <w:p>
            <w:pPr/>
            <w:r>
              <w:t xml:space="preserve">3</w:t>
            </w:r>
          </w:p>
        </w:tc>
        <w:tc>
          <w:tcPr>
            <w:tcW w:w="720" w:type="dxa"/>
          </w:tcPr>
          <w:p>
            <w:pPr/>
          </w:p>
        </w:tc>
        <w:tc>
          <w:tcPr>
            <w:tcW w:w="3677" w:type="dxa"/>
          </w:tcPr>
          <w:p>
            <w:pPr/>
            <w:r>
              <w:t xml:space="preserve">Client</w:t>
            </w:r>
          </w:p>
        </w:tc>
      </w:tr>
      <w:tr>
        <w:tc>
          <w:tcPr>
            <w:tcW w:w="1621" w:type="dxa"/>
          </w:tcPr>
          <w:p>
            <w:pPr/>
            <w:r>
              <w:t xml:space="preserve">MATRICULE</w:t>
            </w:r>
          </w:p>
        </w:tc>
        <w:tc>
          <w:tcPr>
            <w:tcW w:w="720" w:type="dxa"/>
          </w:tcPr>
          <w:p>
            <w:pPr/>
            <w:r>
              <w:t xml:space="preserve">X</w:t>
            </w:r>
          </w:p>
        </w:tc>
        <w:tc>
          <w:tcPr>
            <w:tcW w:w="1902" w:type="dxa"/>
          </w:tcPr>
          <w:p>
            <w:pPr/>
            <w:r>
              <w:t xml:space="preserve">CHAR</w:t>
            </w:r>
          </w:p>
        </w:tc>
        <w:tc>
          <w:tcPr>
            <w:tcW w:w="720" w:type="dxa"/>
          </w:tcPr>
          <w:p>
            <w:pPr/>
            <w:r>
              <w:t xml:space="preserve">10</w:t>
            </w:r>
          </w:p>
        </w:tc>
        <w:tc>
          <w:tcPr>
            <w:tcW w:w="720" w:type="dxa"/>
          </w:tcPr>
          <w:p>
            <w:pPr/>
          </w:p>
        </w:tc>
        <w:tc>
          <w:tcPr>
            <w:tcW w:w="3677" w:type="dxa"/>
          </w:tcPr>
          <w:p>
            <w:pPr/>
            <w:r>
              <w:t xml:space="preserve">Student ID</w:t>
            </w:r>
          </w:p>
        </w:tc>
      </w:tr>
      <w:tr>
        <w:tc>
          <w:tcPr>
            <w:tcW w:w="1621" w:type="dxa"/>
          </w:tcPr>
          <w:p>
            <w:pPr/>
            <w:r>
              <w:t xml:space="preserve">SEQNR</w:t>
            </w:r>
          </w:p>
        </w:tc>
        <w:tc>
          <w:tcPr>
            <w:tcW w:w="720" w:type="dxa"/>
          </w:tcPr>
          <w:p>
            <w:pPr/>
            <w:r>
              <w:t xml:space="preserve">X</w:t>
            </w:r>
          </w:p>
        </w:tc>
        <w:tc>
          <w:tcPr>
            <w:tcW w:w="1902" w:type="dxa"/>
          </w:tcPr>
          <w:p>
            <w:pPr/>
            <w:r>
              <w:t xml:space="preserve">NUMC</w:t>
            </w:r>
          </w:p>
        </w:tc>
        <w:tc>
          <w:tcPr>
            <w:tcW w:w="720" w:type="dxa"/>
          </w:tcPr>
          <w:p>
            <w:pPr/>
            <w:r>
              <w:t xml:space="preserve">6</w:t>
            </w:r>
          </w:p>
        </w:tc>
        <w:tc>
          <w:tcPr>
            <w:tcW w:w="720" w:type="dxa"/>
          </w:tcPr>
          <w:p>
            <w:pPr/>
          </w:p>
        </w:tc>
        <w:tc>
          <w:tcPr>
            <w:tcW w:w="3677" w:type="dxa"/>
          </w:tcPr>
          <w:p>
            <w:pPr/>
            <w:r>
              <w:t xml:space="preserve">Event sequence no.</w:t>
            </w:r>
          </w:p>
        </w:tc>
      </w:tr>
      <w:tr>
        <w:tc>
          <w:tcPr>
            <w:tcW w:w="1621" w:type="dxa"/>
          </w:tcPr>
          <w:p>
            <w:pPr/>
            <w:r>
              <w:t xml:space="preserve">TYPE_EVT</w:t>
            </w:r>
          </w:p>
        </w:tc>
        <w:tc>
          <w:tcPr>
            <w:tcW w:w="720" w:type="dxa"/>
          </w:tcPr>
          <w:p>
            <w:pPr/>
          </w:p>
        </w:tc>
        <w:tc>
          <w:tcPr>
            <w:tcW w:w="1902" w:type="dxa"/>
          </w:tcPr>
          <w:p>
            <w:pPr/>
            <w:r>
              <w:t xml:space="preserve">CHAR</w:t>
            </w:r>
          </w:p>
        </w:tc>
        <w:tc>
          <w:tcPr>
            <w:tcW w:w="720" w:type="dxa"/>
          </w:tcPr>
          <w:p>
            <w:pPr/>
            <w:r>
              <w:t xml:space="preserve">10</w:t>
            </w:r>
          </w:p>
        </w:tc>
        <w:tc>
          <w:tcPr>
            <w:tcW w:w="720" w:type="dxa"/>
          </w:tcPr>
          <w:p>
            <w:pPr/>
          </w:p>
        </w:tc>
        <w:tc>
          <w:tcPr>
            <w:tcW w:w="3677" w:type="dxa"/>
          </w:tcPr>
          <w:p>
            <w:pPr/>
            <w:r>
              <w:t xml:space="preserve">Type (RESULT/DECES/CHANGE)</w:t>
            </w:r>
          </w:p>
        </w:tc>
      </w:tr>
      <w:tr>
        <w:tc>
          <w:tcPr>
            <w:tcW w:w="1621" w:type="dxa"/>
          </w:tcPr>
          <w:p>
            <w:pPr/>
            <w:r>
              <w:t xml:space="preserve">DATE_EVT</w:t>
            </w:r>
          </w:p>
        </w:tc>
        <w:tc>
          <w:tcPr>
            <w:tcW w:w="720" w:type="dxa"/>
          </w:tcPr>
          <w:p>
            <w:pPr/>
          </w:p>
        </w:tc>
        <w:tc>
          <w:tcPr>
            <w:tcW w:w="1902" w:type="dxa"/>
          </w:tcPr>
          <w:p>
            <w:pPr/>
            <w:r>
              <w:t xml:space="preserve">DATS</w:t>
            </w:r>
          </w:p>
        </w:tc>
        <w:tc>
          <w:tcPr>
            <w:tcW w:w="720" w:type="dxa"/>
          </w:tcPr>
          <w:p>
            <w:pPr/>
            <w:r>
              <w:t xml:space="preserve">8</w:t>
            </w:r>
          </w:p>
        </w:tc>
        <w:tc>
          <w:tcPr>
            <w:tcW w:w="720" w:type="dxa"/>
          </w:tcPr>
          <w:p>
            <w:pPr/>
          </w:p>
        </w:tc>
        <w:tc>
          <w:tcPr>
            <w:tcW w:w="3677" w:type="dxa"/>
          </w:tcPr>
          <w:p>
            <w:pPr/>
            <w:r>
              <w:t xml:space="preserve">Event date</w:t>
            </w:r>
          </w:p>
        </w:tc>
      </w:tr>
      <w:tr>
        <w:tc>
          <w:tcPr>
            <w:tcW w:w="1621" w:type="dxa"/>
          </w:tcPr>
          <w:p>
            <w:pPr/>
            <w:r>
              <w:t xml:space="preserve">STATUT</w:t>
            </w:r>
          </w:p>
        </w:tc>
        <w:tc>
          <w:tcPr>
            <w:tcW w:w="720" w:type="dxa"/>
          </w:tcPr>
          <w:p>
            <w:pPr/>
          </w:p>
        </w:tc>
        <w:tc>
          <w:tcPr>
            <w:tcW w:w="1902" w:type="dxa"/>
          </w:tcPr>
          <w:p>
            <w:pPr/>
            <w:r>
              <w:t xml:space="preserve">CHAR</w:t>
            </w:r>
          </w:p>
        </w:tc>
        <w:tc>
          <w:tcPr>
            <w:tcW w:w="720" w:type="dxa"/>
          </w:tcPr>
          <w:p>
            <w:pPr/>
            <w:r>
              <w:t xml:space="preserve">10</w:t>
            </w:r>
          </w:p>
        </w:tc>
        <w:tc>
          <w:tcPr>
            <w:tcW w:w="720" w:type="dxa"/>
          </w:tcPr>
          <w:p>
            <w:pPr/>
          </w:p>
        </w:tc>
        <w:tc>
          <w:tcPr>
            <w:tcW w:w="3677" w:type="dxa"/>
          </w:tcPr>
          <w:p>
            <w:pPr/>
            <w:r>
              <w:t xml:space="preserve">SUCCES / REFUSE</w:t>
            </w:r>
          </w:p>
        </w:tc>
      </w:tr>
      <w:tr>
        <w:tc>
          <w:tcPr>
            <w:tcW w:w="1621" w:type="dxa"/>
          </w:tcPr>
          <w:p>
            <w:pPr/>
            <w:r>
              <w:t xml:space="preserve">MOYENNE</w:t>
            </w:r>
          </w:p>
        </w:tc>
        <w:tc>
          <w:tcPr>
            <w:tcW w:w="720" w:type="dxa"/>
          </w:tcPr>
          <w:p>
            <w:pPr/>
          </w:p>
        </w:tc>
        <w:tc>
          <w:tcPr>
            <w:tcW w:w="1902" w:type="dxa"/>
          </w:tcPr>
          <w:p>
            <w:pPr/>
            <w:r>
              <w:t xml:space="preserve">DEC</w:t>
            </w:r>
          </w:p>
        </w:tc>
        <w:tc>
          <w:tcPr>
            <w:tcW w:w="720" w:type="dxa"/>
          </w:tcPr>
          <w:p>
            <w:pPr/>
            <w:r>
              <w:t xml:space="preserve">5</w:t>
            </w:r>
          </w:p>
        </w:tc>
        <w:tc>
          <w:tcPr>
            <w:tcW w:w="720" w:type="dxa"/>
          </w:tcPr>
          <w:p>
            <w:pPr/>
            <w:r>
              <w:t xml:space="preserve">2</w:t>
            </w:r>
          </w:p>
        </w:tc>
        <w:tc>
          <w:tcPr>
            <w:tcW w:w="3677" w:type="dxa"/>
          </w:tcPr>
          <w:p>
            <w:pPr/>
            <w:r>
              <w:t xml:space="preserve">Average</w:t>
            </w:r>
          </w:p>
        </w:tc>
      </w:tr>
      <w:tr>
        <w:tc>
          <w:tcPr>
            <w:tcW w:w="1621" w:type="dxa"/>
          </w:tcPr>
          <w:p>
            <w:pPr/>
            <w:r>
              <w:t xml:space="preserve">UNIV_CIBLE</w:t>
            </w:r>
          </w:p>
        </w:tc>
        <w:tc>
          <w:tcPr>
            <w:tcW w:w="720" w:type="dxa"/>
          </w:tcPr>
          <w:p>
            <w:pPr/>
          </w:p>
        </w:tc>
        <w:tc>
          <w:tcPr>
            <w:tcW w:w="1902" w:type="dxa"/>
          </w:tcPr>
          <w:p>
            <w:pPr/>
            <w:r>
              <w:t xml:space="preserve">CHAR</w:t>
            </w:r>
          </w:p>
        </w:tc>
        <w:tc>
          <w:tcPr>
            <w:tcW w:w="720" w:type="dxa"/>
          </w:tcPr>
          <w:p>
            <w:pPr/>
            <w:r>
              <w:t xml:space="preserve">10</w:t>
            </w:r>
          </w:p>
        </w:tc>
        <w:tc>
          <w:tcPr>
            <w:tcW w:w="720" w:type="dxa"/>
          </w:tcPr>
          <w:p>
            <w:pPr/>
          </w:p>
        </w:tc>
        <w:tc>
          <w:tcPr>
            <w:tcW w:w="3677" w:type="dxa"/>
          </w:tcPr>
          <w:p>
            <w:pPr/>
            <w:r>
              <w:t xml:space="preserve">Target university (transfer)</w:t>
            </w:r>
          </w:p>
        </w:tc>
      </w:tr>
      <w:tr>
        <w:tc>
          <w:tcPr>
            <w:tcW w:w="1621" w:type="dxa"/>
          </w:tcPr>
          <w:p>
            <w:pPr/>
            <w:r>
              <w:t xml:space="preserve">MOTIF</w:t>
            </w:r>
          </w:p>
        </w:tc>
        <w:tc>
          <w:tcPr>
            <w:tcW w:w="720" w:type="dxa"/>
          </w:tcPr>
          <w:p>
            <w:pPr/>
          </w:p>
        </w:tc>
        <w:tc>
          <w:tcPr>
            <w:tcW w:w="1902" w:type="dxa"/>
          </w:tcPr>
          <w:p>
            <w:pPr/>
            <w:r>
              <w:t xml:space="preserve">CHAR</w:t>
            </w:r>
          </w:p>
        </w:tc>
        <w:tc>
          <w:tcPr>
            <w:tcW w:w="720" w:type="dxa"/>
          </w:tcPr>
          <w:p>
            <w:pPr/>
            <w:r>
              <w:t xml:space="preserve">60</w:t>
            </w:r>
          </w:p>
        </w:tc>
        <w:tc>
          <w:tcPr>
            <w:tcW w:w="720" w:type="dxa"/>
          </w:tcPr>
          <w:p>
            <w:pPr/>
          </w:p>
        </w:tc>
        <w:tc>
          <w:tcPr>
            <w:tcW w:w="3677" w:type="dxa"/>
          </w:tcPr>
          <w:p>
            <w:pPr/>
            <w:r>
              <w:t xml:space="preserve">Reason</w:t>
            </w:r>
          </w:p>
        </w:tc>
      </w:tr>
    </w:tbl>
    <w:p>
      <w:pPr/>
      <w:r>
        <w:drawing>
          <wp:inline distT="0" distB="0" distL="0" distR="0">
            <wp:extent cx="5486400" cy="3733972"/>
            <wp:docPr id="3" name="image3" descr="image.png"/>
            <a:graphic xmlns:a="http://schemas.openxmlformats.org/drawingml/2006/main">
              <a:graphicData uri="http://schemas.openxmlformats.org/drawingml/2006/picture">
                <pic:pic xmlns:pic="http://schemas.openxmlformats.org/drawingml/2006/picture">
                  <pic:nvPicPr>
                    <pic:cNvPr id="3" name="image3" descr="image.png"/>
                    <pic:cNvPicPr/>
                  </pic:nvPicPr>
                  <pic:blipFill>
                    <a:blip r:embed="rId5"/>
                    <a:stretch>
                      <a:fillRect/>
                    </a:stretch>
                  </pic:blipFill>
                  <pic:spPr>
                    <a:xfrm>
                      <a:off x="0" y="0"/>
                      <a:ext cx="5486400" cy="3733972"/>
                    </a:xfrm>
                    <a:prstGeom prst="rect">
                      <a:avLst/>
                    </a:prstGeom>
                  </pic:spPr>
                </pic:pic>
              </a:graphicData>
            </a:graphic>
          </wp:inline>
        </w:drawing>
      </w:r>
      <w:r>
        <w:drawing>
          <wp:inline distT="0" distB="0" distL="0" distR="0">
            <wp:extent cx="5486400" cy="3076423"/>
            <wp:docPr id="4" name="image4" descr="image.png"/>
            <a:graphic xmlns:a="http://schemas.openxmlformats.org/drawingml/2006/main">
              <a:graphicData uri="http://schemas.openxmlformats.org/drawingml/2006/picture">
                <pic:pic xmlns:pic="http://schemas.openxmlformats.org/drawingml/2006/picture">
                  <pic:nvPicPr>
                    <pic:cNvPr id="4" name="image4" descr="image.png"/>
                    <pic:cNvPicPr/>
                  </pic:nvPicPr>
                  <pic:blipFill>
                    <a:blip r:embed="rId6"/>
                    <a:stretch>
                      <a:fillRect/>
                    </a:stretch>
                  </pic:blipFill>
                  <pic:spPr>
                    <a:xfrm>
                      <a:off x="0" y="0"/>
                      <a:ext cx="5486400" cy="3076423"/>
                    </a:xfrm>
                    <a:prstGeom prst="rect">
                      <a:avLst/>
                    </a:prstGeom>
                  </pic:spPr>
                </pic:pic>
              </a:graphicData>
            </a:graphic>
          </wp:inline>
        </w:drawing>
      </w:r>
    </w:p>
    <w:p>
      <w:pPr>
        <w:pStyle w:val="Heading2"/>
      </w:pPr>
      <w:r>
        <w:t xml:space="preserve">Segments (WE31)</w:t>
      </w:r>
    </w:p>
    <w:p>
      <w:pPr/>
      <w:r>
        <w:t xml:space="preserve">For each </w:t>
      </w:r>
      <w:r>
        <w:rPr>
          <w:b/>
        </w:rPr>
        <w:t xml:space="preserve">segment</w:t>
      </w:r>
      <w:r>
        <w:t xml:space="preserve">: </w:t>
      </w:r>
      <w:r>
        <w:rPr>
          <w:b/>
        </w:rPr>
        <w:t xml:space="preserve">WE31</w:t>
      </w:r>
      <w:r>
        <w:t xml:space="preserve">, enter the name, then the fields. Leave the Data element column empty and fill in Data Type = CHAR and Length directly. Save, then activate each segment (it creates the Z1... version and the definition).</w:t>
      </w:r>
    </w:p>
    <w:tbl>
      <w:tblPr>
        <w:tblStyle w:val="TableGrid"/>
        <w:tblW w:w="0" w:type="auto"/>
        <w:tblLayout w:type="fixed"/>
        <w:tblLook w:val="04A0" w:firstRow="1" w:lastRow="0" w:firstColumn="0" w:lastColumn="0" w:noHBand="0" w:noVBand="1"/>
      </w:tblPr>
      <w:tblGrid>
        <w:gridCol w:w="1670"/>
        <w:gridCol w:w="2042"/>
        <w:gridCol w:w="5646"/>
      </w:tblGrid>
      <w:tr>
        <w:trPr>
          <w:tblHeader/>
        </w:trPr>
        <w:tc>
          <w:tcPr>
            <w:tcW w:w="1670" w:type="dxa"/>
            <w:shd w:val="clear" w:color="auto" w:fill="F2F2F2"/>
          </w:tcPr>
          <w:p>
            <w:pPr/>
            <w:r>
              <w:rPr>
                <w:b/>
              </w:rPr>
              <w:t xml:space="preserve">Segment</w:t>
            </w:r>
          </w:p>
        </w:tc>
        <w:tc>
          <w:tcPr>
            <w:tcW w:w="2042" w:type="dxa"/>
            <w:shd w:val="clear" w:color="auto" w:fill="F2F2F2"/>
          </w:tcPr>
          <w:p>
            <w:pPr/>
            <w:r>
              <w:rPr>
                <w:b/>
              </w:rPr>
              <w:t xml:space="preserve">Role</w:t>
            </w:r>
          </w:p>
        </w:tc>
        <w:tc>
          <w:tcPr>
            <w:tcW w:w="5646" w:type="dxa"/>
            <w:shd w:val="clear" w:color="auto" w:fill="F2F2F2"/>
          </w:tcPr>
          <w:p>
            <w:pPr/>
            <w:r>
              <w:rPr>
                <w:b/>
              </w:rPr>
              <w:t xml:space="preserve">Fields (all CHAR)</w:t>
            </w:r>
          </w:p>
        </w:tc>
      </w:tr>
      <w:tr>
        <w:tc>
          <w:tcPr>
            <w:tcW w:w="1670" w:type="dxa"/>
          </w:tcPr>
          <w:p>
            <w:pPr/>
            <w:r>
              <w:t xml:space="preserve">Z1STUHDR</w:t>
            </w:r>
          </w:p>
        </w:tc>
        <w:tc>
          <w:tcPr>
            <w:tcW w:w="2042" w:type="dxa"/>
          </w:tcPr>
          <w:p>
            <w:pPr/>
            <w:r>
              <w:t xml:space="preserve">Student header</w:t>
            </w:r>
          </w:p>
        </w:tc>
        <w:tc>
          <w:tcPr>
            <w:tcW w:w="5646" w:type="dxa"/>
          </w:tcPr>
          <w:p>
            <w:pPr/>
            <w:r>
              <w:t xml:space="preserve">MATRICULE 10, NOM 40, PRENOM 40, DATENAIS 8, CIN 8, NATIONALITE 3, SEXE 1</w:t>
            </w:r>
          </w:p>
        </w:tc>
      </w:tr>
      <w:tr>
        <w:tc>
          <w:tcPr>
            <w:tcW w:w="1670" w:type="dxa"/>
          </w:tcPr>
          <w:p>
            <w:pPr/>
            <w:r>
              <w:t xml:space="preserve">Z1STUAFF</w:t>
            </w:r>
          </w:p>
        </w:tc>
        <w:tc>
          <w:tcPr>
            <w:tcW w:w="2042" w:type="dxa"/>
          </w:tcPr>
          <w:p>
            <w:pPr/>
            <w:r>
              <w:t xml:space="preserve">Assignment</w:t>
            </w:r>
          </w:p>
        </w:tc>
        <w:tc>
          <w:tcPr>
            <w:tcW w:w="5646" w:type="dxa"/>
          </w:tcPr>
          <w:p>
            <w:pPr/>
            <w:r>
              <w:t xml:space="preserve">CODE_UNIV 10, CODE_FAC 10, CODE_SPEC 10, LIB_SPEC 40, ANNEE_UNIV 9, MOY_BAC 5, DATE_AFFECT 8</w:t>
            </w:r>
          </w:p>
        </w:tc>
      </w:tr>
      <w:tr>
        <w:tc>
          <w:tcPr>
            <w:tcW w:w="1670" w:type="dxa"/>
          </w:tcPr>
          <w:p>
            <w:pPr/>
            <w:r>
              <w:t xml:space="preserve">Z1EVTHDR</w:t>
            </w:r>
          </w:p>
        </w:tc>
        <w:tc>
          <w:tcPr>
            <w:tcW w:w="2042" w:type="dxa"/>
          </w:tcPr>
          <w:p>
            <w:pPr/>
            <w:r>
              <w:t xml:space="preserve">Event header</w:t>
            </w:r>
          </w:p>
        </w:tc>
        <w:tc>
          <w:tcPr>
            <w:tcW w:w="5646" w:type="dxa"/>
          </w:tcPr>
          <w:p>
            <w:pPr/>
            <w:r>
              <w:t xml:space="preserve">MATRICULE 10, CODE_FAC 10, CODE_UNIV 10, TYPE_EVT 10, DATE_EVT 8, ANNEE_UNIV 9</w:t>
            </w:r>
          </w:p>
        </w:tc>
      </w:tr>
      <w:tr>
        <w:tc>
          <w:tcPr>
            <w:tcW w:w="1670" w:type="dxa"/>
          </w:tcPr>
          <w:p>
            <w:pPr/>
            <w:r>
              <w:t xml:space="preserve">Z1EVTDAT</w:t>
            </w:r>
          </w:p>
        </w:tc>
        <w:tc>
          <w:tcPr>
            <w:tcW w:w="2042" w:type="dxa"/>
          </w:tcPr>
          <w:p>
            <w:pPr/>
            <w:r>
              <w:t xml:space="preserve">Event data</w:t>
            </w:r>
          </w:p>
        </w:tc>
        <w:tc>
          <w:tcPr>
            <w:tcW w:w="5646" w:type="dxa"/>
          </w:tcPr>
          <w:p>
            <w:pPr/>
            <w:r>
              <w:t xml:space="preserve">STATUT 10, MOYENNE 5, SESSION 10, UNIV_CIBLE 10, FAC_CIBLE 10, MOTIF 60</w:t>
            </w:r>
          </w:p>
        </w:tc>
      </w:tr>
    </w:tbl>
    <w:p>
      <w:pPr/>
      <w:r>
        <w:drawing>
          <wp:inline distT="0" distB="0" distL="0" distR="0">
            <wp:extent cx="5486400" cy="4448204"/>
            <wp:docPr id="5" name="image5" descr="image.png"/>
            <a:graphic xmlns:a="http://schemas.openxmlformats.org/drawingml/2006/main">
              <a:graphicData uri="http://schemas.openxmlformats.org/drawingml/2006/picture">
                <pic:pic xmlns:pic="http://schemas.openxmlformats.org/drawingml/2006/picture">
                  <pic:nvPicPr>
                    <pic:cNvPr id="5" name="image5" descr="image.png"/>
                    <pic:cNvPicPr/>
                  </pic:nvPicPr>
                  <pic:blipFill>
                    <a:blip r:embed="rId7"/>
                    <a:stretch>
                      <a:fillRect/>
                    </a:stretch>
                  </pic:blipFill>
                  <pic:spPr>
                    <a:xfrm>
                      <a:off x="0" y="0"/>
                      <a:ext cx="5486400" cy="4448204"/>
                    </a:xfrm>
                    <a:prstGeom prst="rect">
                      <a:avLst/>
                    </a:prstGeom>
                  </pic:spPr>
                </pic:pic>
              </a:graphicData>
            </a:graphic>
          </wp:inline>
        </w:drawing>
      </w:r>
    </w:p>
    <w:p>
      <w:pPr/>
      <w:r>
        <w:drawing>
          <wp:inline distT="0" distB="0" distL="0" distR="0">
            <wp:extent cx="5486400" cy="4076271"/>
            <wp:docPr id="6" name="image6" descr="image.png"/>
            <a:graphic xmlns:a="http://schemas.openxmlformats.org/drawingml/2006/main">
              <a:graphicData uri="http://schemas.openxmlformats.org/drawingml/2006/picture">
                <pic:pic xmlns:pic="http://schemas.openxmlformats.org/drawingml/2006/picture">
                  <pic:nvPicPr>
                    <pic:cNvPr id="6" name="image6" descr="image.png"/>
                    <pic:cNvPicPr/>
                  </pic:nvPicPr>
                  <pic:blipFill>
                    <a:blip r:embed="rId8"/>
                    <a:stretch>
                      <a:fillRect/>
                    </a:stretch>
                  </pic:blipFill>
                  <pic:spPr>
                    <a:xfrm>
                      <a:off x="0" y="0"/>
                      <a:ext cx="5486400" cy="4076271"/>
                    </a:xfrm>
                    <a:prstGeom prst="rect">
                      <a:avLst/>
                    </a:prstGeom>
                  </pic:spPr>
                </pic:pic>
              </a:graphicData>
            </a:graphic>
          </wp:inline>
        </w:drawing>
      </w:r>
    </w:p>
    <w:p>
      <w:pPr/>
      <w:r>
        <w:drawing>
          <wp:inline distT="0" distB="0" distL="0" distR="0">
            <wp:extent cx="5486400" cy="3940821"/>
            <wp:docPr id="7" name="image7" descr="image.png"/>
            <a:graphic xmlns:a="http://schemas.openxmlformats.org/drawingml/2006/main">
              <a:graphicData uri="http://schemas.openxmlformats.org/drawingml/2006/picture">
                <pic:pic xmlns:pic="http://schemas.openxmlformats.org/drawingml/2006/picture">
                  <pic:nvPicPr>
                    <pic:cNvPr id="7" name="image7" descr="image.png"/>
                    <pic:cNvPicPr/>
                  </pic:nvPicPr>
                  <pic:blipFill>
                    <a:blip r:embed="rId9"/>
                    <a:stretch>
                      <a:fillRect/>
                    </a:stretch>
                  </pic:blipFill>
                  <pic:spPr>
                    <a:xfrm>
                      <a:off x="0" y="0"/>
                      <a:ext cx="5486400" cy="3940821"/>
                    </a:xfrm>
                    <a:prstGeom prst="rect">
                      <a:avLst/>
                    </a:prstGeom>
                  </pic:spPr>
                </pic:pic>
              </a:graphicData>
            </a:graphic>
          </wp:inline>
        </w:drawing>
      </w:r>
    </w:p>
    <w:p>
      <w:pPr/>
      <w:r>
        <w:drawing>
          <wp:inline distT="0" distB="0" distL="0" distR="0">
            <wp:extent cx="5486400" cy="4303552"/>
            <wp:docPr id="8" name="image8" descr="image.png"/>
            <a:graphic xmlns:a="http://schemas.openxmlformats.org/drawingml/2006/main">
              <a:graphicData uri="http://schemas.openxmlformats.org/drawingml/2006/picture">
                <pic:pic xmlns:pic="http://schemas.openxmlformats.org/drawingml/2006/picture">
                  <pic:nvPicPr>
                    <pic:cNvPr id="8" name="image8" descr="image.png"/>
                    <pic:cNvPicPr/>
                  </pic:nvPicPr>
                  <pic:blipFill>
                    <a:blip r:embed="rId10"/>
                    <a:stretch>
                      <a:fillRect/>
                    </a:stretch>
                  </pic:blipFill>
                  <pic:spPr>
                    <a:xfrm>
                      <a:off x="0" y="0"/>
                      <a:ext cx="5486400" cy="4303552"/>
                    </a:xfrm>
                    <a:prstGeom prst="rect">
                      <a:avLst/>
                    </a:prstGeom>
                  </pic:spPr>
                </pic:pic>
              </a:graphicData>
            </a:graphic>
          </wp:inline>
        </w:drawing>
      </w:r>
    </w:p>
    <w:p>
      <w:pPr>
        <w:pStyle w:val="Heading2"/>
      </w:pPr>
      <w:r>
        <w:t xml:space="preserve">Basic types (WE30)</w:t>
      </w:r>
    </w:p>
    <w:p>
      <w:pPr>
        <w:pStyle w:val="Heading3"/>
      </w:pPr>
      <w:r>
        <w:t xml:space="preserve">ZSTUD01 (assignment, Ministry to Faculty)</w:t>
      </w:r>
    </w:p>
    <w:p>
      <w:pPr>
        <w:pStyle w:val="ListParagraph"/>
        <w:numPr>
          <w:ilvl w:val="0"/>
          <w:numId w:val="7"/>
        </w:numPr>
      </w:pPr>
      <w:r>
        <w:t xml:space="preserve">Add Z1STUHDR at the root level: mandatory, min 1 / max 1</w:t>
      </w:r>
    </w:p>
    <w:p>
      <w:pPr>
        <w:pStyle w:val="ListParagraph"/>
        <w:numPr>
          <w:ilvl w:val="0"/>
          <w:numId w:val="7"/>
        </w:numPr>
      </w:pPr>
      <w:r>
        <w:t xml:space="preserve">Add Z1STUAFF as a child of Z1STUHDR: mandatory, min 1 / max 1</w:t>
      </w:r>
    </w:p>
    <w:p>
      <w:pPr>
        <w:pStyle w:val="Heading3"/>
      </w:pPr>
      <w:r>
        <w:t xml:space="preserve">ZSTUD02 (events, Faculty to Ministry)</w:t>
      </w:r>
    </w:p>
    <w:p>
      <w:pPr>
        <w:pStyle w:val="ListParagraph"/>
        <w:numPr>
          <w:ilvl w:val="0"/>
          <w:numId w:val="8"/>
        </w:numPr>
      </w:pPr>
      <w:r>
        <w:t xml:space="preserve">Z1EVTHDR root: mandatory, min 1 / max 1</w:t>
      </w:r>
    </w:p>
    <w:p>
      <w:pPr>
        <w:pStyle w:val="ListParagraph"/>
        <w:numPr>
          <w:ilvl w:val="0"/>
          <w:numId w:val="8"/>
        </w:numPr>
      </w:pPr>
      <w:r>
        <w:t xml:space="preserve">Z1EVTDAT child of Z1EVTHDR: optional, min 0 / max 1</w:t>
      </w:r>
    </w:p>
    <w:p>
      <w:pPr/>
      <w:r>
        <w:t xml:space="preserve">Activate both </w:t>
      </w:r>
      <w:r>
        <w:rPr>
          <w:b/>
        </w:rPr>
        <w:t xml:space="preserve">basic types</w:t>
      </w:r>
      <w:r>
        <w:t xml:space="preserve">.</w:t>
      </w:r>
    </w:p>
    <w:p>
      <w:pPr/>
      <w:r>
        <w:drawing>
          <wp:inline distT="0" distB="0" distL="0" distR="0">
            <wp:extent cx="5448300" cy="2343150"/>
            <wp:docPr id="9" name="image9" descr="image.png"/>
            <a:graphic xmlns:a="http://schemas.openxmlformats.org/drawingml/2006/main">
              <a:graphicData uri="http://schemas.openxmlformats.org/drawingml/2006/picture">
                <pic:pic xmlns:pic="http://schemas.openxmlformats.org/drawingml/2006/picture">
                  <pic:nvPicPr>
                    <pic:cNvPr id="9" name="image9" descr="image.png"/>
                    <pic:cNvPicPr/>
                  </pic:nvPicPr>
                  <pic:blipFill>
                    <a:blip r:embed="rId11"/>
                    <a:stretch>
                      <a:fillRect/>
                    </a:stretch>
                  </pic:blipFill>
                  <pic:spPr>
                    <a:xfrm>
                      <a:off x="0" y="0"/>
                      <a:ext cx="5448300" cy="2343150"/>
                    </a:xfrm>
                    <a:prstGeom prst="rect">
                      <a:avLst/>
                    </a:prstGeom>
                  </pic:spPr>
                </pic:pic>
              </a:graphicData>
            </a:graphic>
          </wp:inline>
        </w:drawing>
      </w:r>
    </w:p>
    <w:p>
      <w:pPr>
        <w:pStyle w:val="Heading2"/>
      </w:pPr>
      <w:r>
        <w:t xml:space="preserve">Message type and links</w:t>
      </w:r>
    </w:p>
    <w:p>
      <w:pPr>
        <w:pStyle w:val="ListParagraph"/>
        <w:numPr>
          <w:ilvl w:val="0"/>
          <w:numId w:val="9"/>
        </w:numPr>
      </w:pPr>
      <w:r>
        <w:rPr>
          <w:b/>
        </w:rPr>
        <w:t xml:space="preserve">WE81</w:t>
      </w:r>
      <w:r>
        <w:t xml:space="preserve">: create the </w:t>
      </w:r>
      <w:r>
        <w:rPr>
          <w:b/>
        </w:rPr>
        <w:t xml:space="preserve">message type</w:t>
      </w:r>
      <w:r>
        <w:t xml:space="preserve"> ZSTUD.</w:t>
      </w:r>
    </w:p>
    <w:p>
      <w:pPr>
        <w:pStyle w:val="ListParagraph"/>
        <w:numPr>
          <w:ilvl w:val="0"/>
          <w:numId w:val="9"/>
        </w:numPr>
      </w:pPr>
      <w:r>
        <w:rPr>
          <w:b/>
        </w:rPr>
        <w:t xml:space="preserve">WE82</w:t>
      </w:r>
      <w:r>
        <w:t xml:space="preserve">: two rows, same </w:t>
      </w:r>
      <w:r>
        <w:rPr>
          <w:b/>
        </w:rPr>
        <w:t xml:space="preserve">message type</w:t>
      </w:r>
      <w:r>
        <w:t xml:space="preserve">, two </w:t>
      </w:r>
      <w:r>
        <w:rPr>
          <w:b/>
        </w:rPr>
        <w:t xml:space="preserve">basic types</w:t>
      </w:r>
      <w:r>
        <w:t xml:space="preserve">:</w:t>
      </w:r>
    </w:p>
    <w:p>
      <w:pPr>
        <w:pStyle w:val="ListParagraph"/>
        <w:numPr>
          <w:ilvl w:val="1"/>
          <w:numId w:val="10"/>
        </w:numPr>
      </w:pPr>
      <w:r>
        <w:rPr>
          <w:b/>
        </w:rPr>
        <w:t xml:space="preserve">ZSTUD + ZSTUD01</w:t>
      </w:r>
    </w:p>
    <w:p>
      <w:pPr>
        <w:pStyle w:val="ListParagraph"/>
        <w:numPr>
          <w:ilvl w:val="1"/>
          <w:numId w:val="10"/>
        </w:numPr>
      </w:pPr>
      <w:r>
        <w:rPr>
          <w:b/>
        </w:rPr>
        <w:t xml:space="preserve">ZSTUD + ZSTUD02</w:t>
      </w:r>
    </w:p>
    <w:p>
      <w:pPr>
        <w:pStyle w:val="ListParagraph"/>
        <w:numPr>
          <w:ilvl w:val="0"/>
          <w:numId w:val="9"/>
        </w:numPr>
      </w:pPr>
      <w:r>
        <w:t xml:space="preserve">(Release: the SAP version proposed by default.)</w:t>
      </w:r>
    </w:p>
    <w:p>
      <w:pPr/>
      <w:r>
        <w:t xml:space="preserve">It's this double attachment in </w:t>
      </w:r>
      <w:r>
        <w:rPr>
          <w:b/>
        </w:rPr>
        <w:t xml:space="preserve">WE82</w:t>
      </w:r>
      <w:r>
        <w:t xml:space="preserve"> that concretely realizes the idea of one </w:t>
      </w:r>
      <w:r>
        <w:rPr>
          <w:b/>
        </w:rPr>
        <w:t xml:space="preserve">message type</w:t>
      </w:r>
      <w:r>
        <w:t xml:space="preserve"> with two </w:t>
      </w:r>
      <w:r>
        <w:rPr>
          <w:b/>
        </w:rPr>
        <w:t xml:space="preserve">basic types</w:t>
      </w:r>
      <w:r>
        <w:t xml:space="preserve">, MATMAS-style.</w:t>
      </w:r>
    </w:p>
    <w:p>
      <w:pPr>
        <w:pStyle w:val="Heading3"/>
      </w:pPr>
      <w:r>
        <w:t xml:space="preserve">Build order</w:t>
      </w:r>
    </w:p>
    <w:p>
      <w:pPr/>
      <w:r>
        <w:t xml:space="preserve">Tables, then </w:t>
      </w:r>
      <w:r>
        <w:rPr>
          <w:b/>
        </w:rPr>
        <w:t xml:space="preserve">segments</w:t>
      </w:r>
      <w:r>
        <w:t xml:space="preserve">, then </w:t>
      </w:r>
      <w:r>
        <w:rPr>
          <w:b/>
        </w:rPr>
        <w:t xml:space="preserve">basic types</w:t>
      </w:r>
      <w:r>
        <w:t xml:space="preserve">, then </w:t>
      </w:r>
      <w:r>
        <w:rPr>
          <w:b/>
        </w:rPr>
        <w:t xml:space="preserve">message type</w:t>
      </w:r>
      <w:r>
        <w:t xml:space="preserve">, then </w:t>
      </w:r>
      <w:r>
        <w:rPr>
          <w:b/>
        </w:rPr>
        <w:t xml:space="preserve">WE82</w:t>
      </w:r>
      <w:r>
        <w:t xml:space="preserve">. Once everything is active with no errors, move on to phase 2 (two-client </w:t>
      </w:r>
      <w:r>
        <w:rPr>
          <w:b/>
        </w:rPr>
        <w:t xml:space="preserve">ALE</w:t>
      </w:r>
      <w:r>
        <w:t xml:space="preserve"> config).</w:t>
      </w:r>
    </w:p>
    <w:p>
      <w:pPr/>
      <w:r>
        <w:drawing>
          <wp:inline distT="0" distB="0" distL="0" distR="0">
            <wp:extent cx="5486400" cy="1866429"/>
            <wp:docPr id="10" name="image10" descr="image.png"/>
            <a:graphic xmlns:a="http://schemas.openxmlformats.org/drawingml/2006/main">
              <a:graphicData uri="http://schemas.openxmlformats.org/drawingml/2006/picture">
                <pic:pic xmlns:pic="http://schemas.openxmlformats.org/drawingml/2006/picture">
                  <pic:nvPicPr>
                    <pic:cNvPr id="10" name="image10" descr="image.png"/>
                    <pic:cNvPicPr/>
                  </pic:nvPicPr>
                  <pic:blipFill>
                    <a:blip r:embed="rId12"/>
                    <a:stretch>
                      <a:fillRect/>
                    </a:stretch>
                  </pic:blipFill>
                  <pic:spPr>
                    <a:xfrm>
                      <a:off x="0" y="0"/>
                      <a:ext cx="5486400" cy="1866429"/>
                    </a:xfrm>
                    <a:prstGeom prst="rect">
                      <a:avLst/>
                    </a:prstGeom>
                  </pic:spPr>
                </pic:pic>
              </a:graphicData>
            </a:graphic>
          </wp:inline>
        </w:drawing>
      </w:r>
    </w:p>
    <w:p>
      <w:pPr>
        <w:pStyle w:val="Heading2"/>
      </w:pPr>
      <w:r>
        <w:t xml:space="preserve">Phase 2: ALE configuration</w:t>
      </w:r>
    </w:p>
    <w:p>
      <w:pPr/>
      <w:r>
        <w:t xml:space="preserve">Once the data objects are in place, you build the </w:t>
      </w:r>
      <w:r>
        <w:rPr>
          <w:b/>
        </w:rPr>
        <w:t xml:space="preserve">ALE</w:t>
      </w:r>
      <w:r>
        <w:t xml:space="preserve"> exchange channel between DEV and QAS. The building blocks, in order:</w:t>
      </w:r>
    </w:p>
    <w:p>
      <w:pPr>
        <w:pStyle w:val="ListParagraph"/>
        <w:numPr>
          <w:ilvl w:val="0"/>
          <w:numId w:val="11"/>
        </w:numPr>
      </w:pPr>
      <w:r>
        <w:rPr>
          <w:b/>
        </w:rPr>
        <w:t xml:space="preserve">Logical systems</w:t>
      </w:r>
      <w:r>
        <w:t xml:space="preserve"> (</w:t>
      </w:r>
      <w:r>
        <w:rPr>
          <w:b/>
        </w:rPr>
        <w:t xml:space="preserve">BD54</w:t>
      </w:r>
      <w:r>
        <w:t xml:space="preserve">): DEVCLNT100 (Ministry) and QASCLNT100 (Faculty), known to both systems. Already present here, as the landscape is pre-configured.</w:t>
      </w:r>
    </w:p>
    <w:p>
      <w:pPr>
        <w:pStyle w:val="ListParagraph"/>
        <w:numPr>
          <w:ilvl w:val="0"/>
          <w:numId w:val="11"/>
        </w:numPr>
      </w:pPr>
      <w:r>
        <w:rPr>
          <w:b/>
        </w:rPr>
        <w:t xml:space="preserve">RFC destinations</w:t>
      </w:r>
      <w:r>
        <w:t xml:space="preserve"> (</w:t>
      </w:r>
      <w:r>
        <w:rPr>
          <w:b/>
        </w:rPr>
        <w:t xml:space="preserve">SM59</w:t>
      </w:r>
      <w:r>
        <w:t xml:space="preserve">) in both directions: QAS_UM on DEV, DEV_UM on QAS. They connect through a service user 8TECH_RFC of type System.</w:t>
      </w:r>
    </w:p>
    <w:p>
      <w:pPr>
        <w:pStyle w:val="ListParagraph"/>
        <w:numPr>
          <w:ilvl w:val="0"/>
          <w:numId w:val="11"/>
        </w:numPr>
      </w:pPr>
      <w:r>
        <w:t xml:space="preserve">Security without </w:t>
      </w:r>
      <w:r>
        <w:rPr>
          <w:b/>
        </w:rPr>
        <w:t xml:space="preserve">SAP_ALL</w:t>
      </w:r>
      <w:r>
        <w:t xml:space="preserve">: a dedicated role (Z_BC_ZSTUD_RFC) carries only the strict minimum, mainly the </w:t>
      </w:r>
      <w:r>
        <w:rPr>
          <w:b/>
        </w:rPr>
        <w:t xml:space="preserve">S_RFC</w:t>
      </w:r>
      <w:r>
        <w:t xml:space="preserve"> object (function groups ARFC, EDIN, etc.) and </w:t>
      </w:r>
      <w:r>
        <w:rPr>
          <w:b/>
        </w:rPr>
        <w:t xml:space="preserve">B_ALE_RECV</w:t>
      </w:r>
      <w:r>
        <w:t xml:space="preserve"> (EDI_MES = ZSTUD).</w:t>
      </w:r>
    </w:p>
    <w:p>
      <w:pPr>
        <w:pStyle w:val="ListParagraph"/>
        <w:numPr>
          <w:ilvl w:val="0"/>
          <w:numId w:val="11"/>
        </w:numPr>
      </w:pPr>
      <w:r>
        <w:rPr>
          <w:b/>
        </w:rPr>
        <w:t xml:space="preserve">tRFC</w:t>
      </w:r>
      <w:r>
        <w:t xml:space="preserve"> ports (</w:t>
      </w:r>
      <w:r>
        <w:rPr>
          <w:b/>
        </w:rPr>
        <w:t xml:space="preserve">WE21</w:t>
      </w:r>
      <w:r>
        <w:t xml:space="preserve">): one port on each side, pointing to the </w:t>
      </w:r>
      <w:r>
        <w:rPr>
          <w:b/>
        </w:rPr>
        <w:t xml:space="preserve">RFC destination</w:t>
      </w:r>
      <w:r>
        <w:t xml:space="preserve">, in </w:t>
      </w:r>
      <w:r>
        <w:rPr>
          <w:b/>
        </w:rPr>
        <w:t xml:space="preserve">IDoc</w:t>
      </w:r>
      <w:r>
        <w:t xml:space="preserve"> 4.x format (crucial, see the pitfalls).</w:t>
      </w:r>
    </w:p>
    <w:p>
      <w:pPr>
        <w:pStyle w:val="ListParagraph"/>
        <w:numPr>
          <w:ilvl w:val="0"/>
          <w:numId w:val="11"/>
        </w:numPr>
      </w:pPr>
      <w:r>
        <w:rPr>
          <w:b/>
        </w:rPr>
        <w:t xml:space="preserve">Distribution model</w:t>
      </w:r>
      <w:r>
        <w:t xml:space="preserve"> (</w:t>
      </w:r>
      <w:r>
        <w:rPr>
          <w:b/>
        </w:rPr>
        <w:t xml:space="preserve">BD64</w:t>
      </w:r>
      <w:r>
        <w:t xml:space="preserve">): ZSTUD_MDL with both flows (DEV to QAS and QAS to DEV). Defined manually on each system rather than distributed automatically.</w:t>
      </w:r>
    </w:p>
    <w:p>
      <w:pPr>
        <w:pStyle w:val="ListParagraph"/>
        <w:numPr>
          <w:ilvl w:val="0"/>
          <w:numId w:val="11"/>
        </w:numPr>
      </w:pPr>
      <w:r>
        <w:t xml:space="preserve">Outbound </w:t>
      </w:r>
      <w:r>
        <w:rPr>
          <w:b/>
        </w:rPr>
        <w:t xml:space="preserve">partner profiles</w:t>
      </w:r>
      <w:r>
        <w:t xml:space="preserve"> (</w:t>
      </w:r>
      <w:r>
        <w:rPr>
          <w:b/>
        </w:rPr>
        <w:t xml:space="preserve">WE20</w:t>
      </w:r>
      <w:r>
        <w:t xml:space="preserve">): on DEV the outbound parameter for ZSTUD/ZSTUD01, on QAS for ZSTUD/ZSTUD02.</w:t>
      </w:r>
    </w:p>
    <w:p>
      <w:pPr/>
      <w:r>
        <w:drawing>
          <wp:inline distT="0" distB="0" distL="0" distR="0">
            <wp:extent cx="5486400" cy="3505371"/>
            <wp:docPr id="11" name="image11" descr="image.png"/>
            <a:graphic xmlns:a="http://schemas.openxmlformats.org/drawingml/2006/main">
              <a:graphicData uri="http://schemas.openxmlformats.org/drawingml/2006/picture">
                <pic:pic xmlns:pic="http://schemas.openxmlformats.org/drawingml/2006/picture">
                  <pic:nvPicPr>
                    <pic:cNvPr id="11" name="image11" descr="image.png"/>
                    <pic:cNvPicPr/>
                  </pic:nvPicPr>
                  <pic:blipFill>
                    <a:blip r:embed="rId13"/>
                    <a:stretch>
                      <a:fillRect/>
                    </a:stretch>
                  </pic:blipFill>
                  <pic:spPr>
                    <a:xfrm>
                      <a:off x="0" y="0"/>
                      <a:ext cx="5486400" cy="3505371"/>
                    </a:xfrm>
                    <a:prstGeom prst="rect">
                      <a:avLst/>
                    </a:prstGeom>
                  </pic:spPr>
                </pic:pic>
              </a:graphicData>
            </a:graphic>
          </wp:inline>
        </w:drawing>
      </w:r>
      <w:r>
        <w:drawing>
          <wp:inline distT="0" distB="0" distL="0" distR="0">
            <wp:extent cx="5076825" cy="3333750"/>
            <wp:docPr id="12" name="image12" descr="image.png"/>
            <a:graphic xmlns:a="http://schemas.openxmlformats.org/drawingml/2006/main">
              <a:graphicData uri="http://schemas.openxmlformats.org/drawingml/2006/picture">
                <pic:pic xmlns:pic="http://schemas.openxmlformats.org/drawingml/2006/picture">
                  <pic:nvPicPr>
                    <pic:cNvPr id="12" name="image12" descr="image.png"/>
                    <pic:cNvPicPr/>
                  </pic:nvPicPr>
                  <pic:blipFill>
                    <a:blip r:embed="rId14"/>
                    <a:stretch>
                      <a:fillRect/>
                    </a:stretch>
                  </pic:blipFill>
                  <pic:spPr>
                    <a:xfrm>
                      <a:off x="0" y="0"/>
                      <a:ext cx="5076825" cy="3333750"/>
                    </a:xfrm>
                    <a:prstGeom prst="rect">
                      <a:avLst/>
                    </a:prstGeom>
                  </pic:spPr>
                </pic:pic>
              </a:graphicData>
            </a:graphic>
          </wp:inline>
        </w:drawing>
      </w:r>
    </w:p>
    <w:p>
      <w:pPr/>
      <w:r>
        <w:drawing>
          <wp:inline distT="0" distB="0" distL="0" distR="0">
            <wp:extent cx="5486400" cy="3778159"/>
            <wp:docPr id="13" name="image13" descr="image.png"/>
            <a:graphic xmlns:a="http://schemas.openxmlformats.org/drawingml/2006/main">
              <a:graphicData uri="http://schemas.openxmlformats.org/drawingml/2006/picture">
                <pic:pic xmlns:pic="http://schemas.openxmlformats.org/drawingml/2006/picture">
                  <pic:nvPicPr>
                    <pic:cNvPr id="13" name="image13" descr="image.png"/>
                    <pic:cNvPicPr/>
                  </pic:nvPicPr>
                  <pic:blipFill>
                    <a:blip r:embed="rId15"/>
                    <a:stretch>
                      <a:fillRect/>
                    </a:stretch>
                  </pic:blipFill>
                  <pic:spPr>
                    <a:xfrm>
                      <a:off x="0" y="0"/>
                      <a:ext cx="5486400" cy="3778159"/>
                    </a:xfrm>
                    <a:prstGeom prst="rect">
                      <a:avLst/>
                    </a:prstGeom>
                  </pic:spPr>
                </pic:pic>
              </a:graphicData>
            </a:graphic>
          </wp:inline>
        </w:drawing>
      </w:r>
      <w:r>
        <w:br/>
      </w:r>
      <w:r>
        <w:drawing>
          <wp:inline distT="0" distB="0" distL="0" distR="0">
            <wp:extent cx="5486400" cy="4042610"/>
            <wp:docPr id="14" name="image14" descr="image.png"/>
            <a:graphic xmlns:a="http://schemas.openxmlformats.org/drawingml/2006/main">
              <a:graphicData uri="http://schemas.openxmlformats.org/drawingml/2006/picture">
                <pic:pic xmlns:pic="http://schemas.openxmlformats.org/drawingml/2006/picture">
                  <pic:nvPicPr>
                    <pic:cNvPr id="14" name="image14" descr="image.png"/>
                    <pic:cNvPicPr/>
                  </pic:nvPicPr>
                  <pic:blipFill>
                    <a:blip r:embed="rId16"/>
                    <a:stretch>
                      <a:fillRect/>
                    </a:stretch>
                  </pic:blipFill>
                  <pic:spPr>
                    <a:xfrm>
                      <a:off x="0" y="0"/>
                      <a:ext cx="5486400" cy="4042610"/>
                    </a:xfrm>
                    <a:prstGeom prst="rect">
                      <a:avLst/>
                    </a:prstGeom>
                  </pic:spPr>
                </pic:pic>
              </a:graphicData>
            </a:graphic>
          </wp:inline>
        </w:drawing>
      </w:r>
      <w:r>
        <w:drawing>
          <wp:inline distT="0" distB="0" distL="0" distR="0">
            <wp:extent cx="5486400" cy="2688020"/>
            <wp:docPr id="15" name="image15" descr="image.png"/>
            <a:graphic xmlns:a="http://schemas.openxmlformats.org/drawingml/2006/main">
              <a:graphicData uri="http://schemas.openxmlformats.org/drawingml/2006/picture">
                <pic:pic xmlns:pic="http://schemas.openxmlformats.org/drawingml/2006/picture">
                  <pic:nvPicPr>
                    <pic:cNvPr id="15" name="image15" descr="image.png"/>
                    <pic:cNvPicPr/>
                  </pic:nvPicPr>
                  <pic:blipFill>
                    <a:blip r:embed="rId17"/>
                    <a:stretch>
                      <a:fillRect/>
                    </a:stretch>
                  </pic:blipFill>
                  <pic:spPr>
                    <a:xfrm>
                      <a:off x="0" y="0"/>
                      <a:ext cx="5486400" cy="2688020"/>
                    </a:xfrm>
                    <a:prstGeom prst="rect">
                      <a:avLst/>
                    </a:prstGeom>
                  </pic:spPr>
                </pic:pic>
              </a:graphicData>
            </a:graphic>
          </wp:inline>
        </w:drawing>
      </w:r>
      <w:r>
        <w:br/>
      </w:r>
    </w:p>
    <w:p>
      <w:pPr>
        <w:pStyle w:val="Heading2"/>
      </w:pPr>
      <w:r>
        <w:t xml:space="preserve">Phase 3: application layer</w:t>
      </w:r>
    </w:p>
    <w:p>
      <w:pPr/>
      <w:r>
        <w:t xml:space="preserve">This is the code that brings the channel to life: it fills the </w:t>
      </w:r>
      <w:r>
        <w:rPr>
          <w:b/>
        </w:rPr>
        <w:t xml:space="preserve">IDoc</w:t>
      </w:r>
      <w:r>
        <w:t xml:space="preserve"> on the way out and posts it on the way in.</w:t>
      </w:r>
    </w:p>
    <w:p>
      <w:pPr>
        <w:pStyle w:val="ListParagraph"/>
        <w:numPr>
          <w:ilvl w:val="0"/>
          <w:numId w:val="12"/>
        </w:numPr>
      </w:pPr>
      <w:r>
        <w:t xml:space="preserve">Sending report Z_STUD_SEND_ASSIGN (on DEV): reads a student from ZSTUD_STUDENT, fills the </w:t>
      </w:r>
      <w:r>
        <w:rPr>
          <w:b/>
        </w:rPr>
        <w:t xml:space="preserve">control record</w:t>
      </w:r>
      <w:r>
        <w:t xml:space="preserve"> and the </w:t>
      </w:r>
      <w:r>
        <w:rPr>
          <w:b/>
        </w:rPr>
        <w:t xml:space="preserve">segments</w:t>
      </w:r>
      <w:r>
        <w:t xml:space="preserve">, then calls </w:t>
      </w:r>
      <w:r>
        <w:rPr>
          <w:b/>
        </w:rPr>
        <w:t xml:space="preserve">MASTER_IDOC_DISTRIBUTE</w:t>
      </w:r>
      <w:r>
        <w:t xml:space="preserve">. The receiver is determined by the model, not hard-coded.</w:t>
      </w:r>
    </w:p>
    <w:p>
      <w:pPr>
        <w:pStyle w:val="ListParagraph"/>
        <w:numPr>
          <w:ilvl w:val="0"/>
          <w:numId w:val="12"/>
        </w:numPr>
      </w:pPr>
      <w:r>
        <w:t xml:space="preserve">Inbound function module Z_IDOC_INPUT_ZSTUD (on QAS): follows the standard interface imposed by the framework (IMPORTING, EXPORTING, TABLES including </w:t>
      </w:r>
      <w:r>
        <w:rPr>
          <w:b/>
        </w:rPr>
        <w:t xml:space="preserve">SERIALIZATION_INFO</w:t>
      </w:r>
      <w:r>
        <w:t xml:space="preserve">). It loops over the </w:t>
      </w:r>
      <w:r>
        <w:rPr>
          <w:b/>
        </w:rPr>
        <w:t xml:space="preserve">segments</w:t>
      </w:r>
      <w:r>
        <w:t xml:space="preserve"> and posts into ZSTUD_STUDENT, then returns the status (53 success, 51 error).</w:t>
      </w:r>
    </w:p>
    <w:p>
      <w:pPr>
        <w:pStyle w:val="ListParagraph"/>
        <w:numPr>
          <w:ilvl w:val="0"/>
          <w:numId w:val="12"/>
        </w:numPr>
      </w:pPr>
      <w:r>
        <w:t xml:space="preserve">Process code ZSTU (on QAS): registered in </w:t>
      </w:r>
      <w:r>
        <w:rPr>
          <w:b/>
        </w:rPr>
        <w:t xml:space="preserve">BD51</w:t>
      </w:r>
      <w:r>
        <w:t xml:space="preserve">, linked to the </w:t>
      </w:r>
      <w:r>
        <w:rPr>
          <w:b/>
        </w:rPr>
        <w:t xml:space="preserve">message type</w:t>
      </w:r>
      <w:r>
        <w:t xml:space="preserve"> in </w:t>
      </w:r>
      <w:r>
        <w:rPr>
          <w:b/>
        </w:rPr>
        <w:t xml:space="preserve">WE57</w:t>
      </w:r>
      <w:r>
        <w:t xml:space="preserve">, created in </w:t>
      </w:r>
      <w:r>
        <w:rPr>
          <w:b/>
        </w:rPr>
        <w:t xml:space="preserve">WE42</w:t>
      </w:r>
      <w:r>
        <w:t xml:space="preserve"> with function-module processing through the </w:t>
      </w:r>
      <w:r>
        <w:rPr>
          <w:b/>
        </w:rPr>
        <w:t xml:space="preserve">ALE</w:t>
      </w:r>
      <w:r>
        <w:t xml:space="preserve"> service.</w:t>
      </w:r>
    </w:p>
    <w:p>
      <w:pPr>
        <w:pStyle w:val="ListParagraph"/>
        <w:numPr>
          <w:ilvl w:val="0"/>
          <w:numId w:val="12"/>
        </w:numPr>
      </w:pPr>
      <w:r>
        <w:t xml:space="preserve">Inbound </w:t>
      </w:r>
      <w:r>
        <w:rPr>
          <w:b/>
        </w:rPr>
        <w:t xml:space="preserve">partner profile</w:t>
      </w:r>
      <w:r>
        <w:t xml:space="preserve"> (</w:t>
      </w:r>
      <w:r>
        <w:rPr>
          <w:b/>
        </w:rPr>
        <w:t xml:space="preserve">WE20</w:t>
      </w:r>
      <w:r>
        <w:t xml:space="preserve"> on QAS): inbound parameter ZSTUD with </w:t>
      </w:r>
      <w:r>
        <w:rPr>
          <w:b/>
        </w:rPr>
        <w:t xml:space="preserve">process code</w:t>
      </w:r>
      <w:r>
        <w:t xml:space="preserve"> ZSTU, in Trigger Immediately mode (the </w:t>
      </w:r>
      <w:r>
        <w:rPr>
          <w:b/>
        </w:rPr>
        <w:t xml:space="preserve">IDoc</w:t>
      </w:r>
      <w:r>
        <w:t xml:space="preserve"> posts as soon as it arrives).</w:t>
      </w:r>
    </w:p>
    <w:p>
      <w:pPr/>
      <w:r>
        <w:t xml:space="preserve">Result: both flows are validated end to end. A student created and assigned on DEV leaves as an </w:t>
      </w:r>
      <w:r>
        <w:rPr>
          <w:b/>
        </w:rPr>
        <w:t xml:space="preserve">IDoc</w:t>
      </w:r>
      <w:r>
        <w:t xml:space="preserve">, is received and posted on the QAS side; an event entered on the faculty side (QAS) travels back as an IDoc and updates the student's situation on the ministry side (DEV). A single </w:t>
      </w:r>
      <w:r>
        <w:rPr>
          <w:b/>
        </w:rPr>
        <w:t xml:space="preserve">message type</w:t>
      </w:r>
      <w:r>
        <w:t xml:space="preserve"> ZSTUD, two </w:t>
      </w:r>
      <w:r>
        <w:rPr>
          <w:b/>
        </w:rPr>
        <w:t xml:space="preserve">basic types</w:t>
      </w:r>
      <w:r>
        <w:t xml:space="preserve">, two directions.</w:t>
      </w:r>
    </w:p>
    <w:p>
      <w:pPr/>
      <w:r>
        <w:drawing>
          <wp:inline distT="0" distB="0" distL="0" distR="0">
            <wp:extent cx="5486400" cy="1979442"/>
            <wp:docPr id="16" name="image16" descr="image.png"/>
            <a:graphic xmlns:a="http://schemas.openxmlformats.org/drawingml/2006/main">
              <a:graphicData uri="http://schemas.openxmlformats.org/drawingml/2006/picture">
                <pic:pic xmlns:pic="http://schemas.openxmlformats.org/drawingml/2006/picture">
                  <pic:nvPicPr>
                    <pic:cNvPr id="16" name="image16" descr="image.png"/>
                    <pic:cNvPicPr/>
                  </pic:nvPicPr>
                  <pic:blipFill>
                    <a:blip r:embed="rId18"/>
                    <a:stretch>
                      <a:fillRect/>
                    </a:stretch>
                  </pic:blipFill>
                  <pic:spPr>
                    <a:xfrm>
                      <a:off x="0" y="0"/>
                      <a:ext cx="5486400" cy="1979442"/>
                    </a:xfrm>
                    <a:prstGeom prst="rect">
                      <a:avLst/>
                    </a:prstGeom>
                  </pic:spPr>
                </pic:pic>
              </a:graphicData>
            </a:graphic>
          </wp:inline>
        </w:drawing>
      </w:r>
    </w:p>
    <w:p>
      <w:pPr/>
      <w:r>
        <w:drawing>
          <wp:inline distT="0" distB="0" distL="0" distR="0">
            <wp:extent cx="5486400" cy="1027488"/>
            <wp:docPr id="17" name="image17" descr="image.png"/>
            <a:graphic xmlns:a="http://schemas.openxmlformats.org/drawingml/2006/main">
              <a:graphicData uri="http://schemas.openxmlformats.org/drawingml/2006/picture">
                <pic:pic xmlns:pic="http://schemas.openxmlformats.org/drawingml/2006/picture">
                  <pic:nvPicPr>
                    <pic:cNvPr id="17" name="image17" descr="image.png"/>
                    <pic:cNvPicPr/>
                  </pic:nvPicPr>
                  <pic:blipFill>
                    <a:blip r:embed="rId19"/>
                    <a:stretch>
                      <a:fillRect/>
                    </a:stretch>
                  </pic:blipFill>
                  <pic:spPr>
                    <a:xfrm>
                      <a:off x="0" y="0"/>
                      <a:ext cx="5486400" cy="1027488"/>
                    </a:xfrm>
                    <a:prstGeom prst="rect">
                      <a:avLst/>
                    </a:prstGeom>
                  </pic:spPr>
                </pic:pic>
              </a:graphicData>
            </a:graphic>
          </wp:inline>
        </w:drawing>
      </w:r>
    </w:p>
    <w:p>
      <w:pPr>
        <w:pStyle w:val="Heading2"/>
      </w:pPr>
      <w:r>
        <w:t xml:space="preserve">Phase 4: the operational layer</w:t>
      </w:r>
    </w:p>
    <w:p>
      <w:pPr/>
      <w:r>
        <w:t xml:space="preserve">On top of the </w:t>
      </w:r>
      <w:r>
        <w:rPr>
          <w:b/>
        </w:rPr>
        <w:t xml:space="preserve">IDoc</w:t>
      </w:r>
      <w:r>
        <w:t xml:space="preserve"> plumbing, we built a real usable application, with its transactions for each actor.</w:t>
      </w:r>
    </w:p>
    <w:p>
      <w:pPr/>
      <w:r>
        <w:t xml:space="preserve">Reference data. Three master tables (ZSTUD_UNIV, ZSTUD_FAC, ZSTUD_SPEC) with maintenance screens (</w:t>
      </w:r>
      <w:r>
        <w:rPr>
          <w:b/>
        </w:rPr>
        <w:t xml:space="preserve">SM30</w:t>
      </w:r>
      <w:r>
        <w:t xml:space="preserve">), populated with 5 universities, 19 faculties and 97 specializations. The ministry is the master of this reference data. A function module Z_STUD_VALIDATE_AFFECT validates the university to faculty to specialization consistency at assignment time.</w:t>
      </w:r>
    </w:p>
    <w:p>
      <w:pPr/>
      <w:r>
        <w:t xml:space="preserve">Ministry transactions (DEV):</w:t>
      </w:r>
    </w:p>
    <w:p>
      <w:pPr>
        <w:pStyle w:val="ListParagraph"/>
        <w:numPr>
          <w:ilvl w:val="0"/>
          <w:numId w:val="13"/>
        </w:numPr>
      </w:pPr>
      <w:r>
        <w:t xml:space="preserve">Create a student (ZSTUD_STU_CRE)</w:t>
      </w:r>
    </w:p>
    <w:p>
      <w:pPr>
        <w:pStyle w:val="ListParagraph"/>
        <w:numPr>
          <w:ilvl w:val="0"/>
          <w:numId w:val="13"/>
        </w:numPr>
      </w:pPr>
      <w:r>
        <w:t xml:space="preserve">Assign a student to a faculty/specialization, with cascading F4 input help and validation (ZSTUD_AFFECT)</w:t>
      </w:r>
    </w:p>
    <w:p>
      <w:pPr>
        <w:pStyle w:val="ListParagraph"/>
        <w:numPr>
          <w:ilvl w:val="0"/>
          <w:numId w:val="13"/>
        </w:numPr>
      </w:pPr>
      <w:r>
        <w:t xml:space="preserve">Mass import from a CSV file, with a downloadable template (ZSTUD_IMPORT)</w:t>
      </w:r>
    </w:p>
    <w:p>
      <w:pPr>
        <w:pStyle w:val="ListParagraph"/>
        <w:numPr>
          <w:ilvl w:val="0"/>
          <w:numId w:val="13"/>
        </w:numPr>
      </w:pPr>
      <w:r>
        <w:t xml:space="preserve">Mass assignment from a CSV file, with line-by-line validation and a log (ZSTUD_MASS_AFF)</w:t>
      </w:r>
    </w:p>
    <w:p>
      <w:pPr/>
      <w:r>
        <w:t xml:space="preserve">Faculty transaction (QAS):</w:t>
      </w:r>
    </w:p>
    <w:p>
      <w:pPr>
        <w:pStyle w:val="ListParagraph"/>
        <w:numPr>
          <w:ilvl w:val="0"/>
          <w:numId w:val="14"/>
        </w:numPr>
      </w:pPr>
      <w:r>
        <w:t xml:space="preserve">Enter an event (ZSTUD_EVENT): result, average, university transfer, death, with dropdown lists; the transaction creates the event and sends the return </w:t>
      </w:r>
      <w:r>
        <w:rPr>
          <w:b/>
        </w:rPr>
        <w:t xml:space="preserve">IDoc</w:t>
      </w:r>
    </w:p>
    <w:p>
      <w:pPr/>
      <w:r>
        <w:t xml:space="preserve">Student situation. Two fields (SITUATION, MOY_ACTUELLE) added to the master record, updated automatically by the </w:t>
      </w:r>
      <w:r>
        <w:rPr>
          <w:b/>
        </w:rPr>
        <w:t xml:space="preserve">inbound function module</w:t>
      </w:r>
      <w:r>
        <w:t xml:space="preserve"> according to the event received (ADMIS, REFUSE, DECEDE, TRANSFERT). The record carries the current state, the ZSTUD_EVENT log keeps the full history.</w:t>
      </w:r>
    </w:p>
    <w:p>
      <w:pPr/>
      <w:r>
        <w:t xml:space="preserve">Design point worth remembering: creating a student triggers no </w:t>
      </w:r>
      <w:r>
        <w:rPr>
          <w:b/>
        </w:rPr>
        <w:t xml:space="preserve">IDoc</w:t>
      </w:r>
      <w:r>
        <w:t xml:space="preserve">; it is the assignment that sends the student to the faculty. The ministry holds the complete list, the faculty receives only the students assigned to it.</w:t>
      </w:r>
    </w:p>
    <w:p>
      <w:pPr/>
      <w:r>
        <w:drawing>
          <wp:inline distT="0" distB="0" distL="0" distR="0">
            <wp:extent cx="5486400" cy="3043123"/>
            <wp:docPr id="18" name="image18" descr="image.png"/>
            <a:graphic xmlns:a="http://schemas.openxmlformats.org/drawingml/2006/main">
              <a:graphicData uri="http://schemas.openxmlformats.org/drawingml/2006/picture">
                <pic:pic xmlns:pic="http://schemas.openxmlformats.org/drawingml/2006/picture">
                  <pic:nvPicPr>
                    <pic:cNvPr id="18" name="image18" descr="image.png"/>
                    <pic:cNvPicPr/>
                  </pic:nvPicPr>
                  <pic:blipFill>
                    <a:blip r:embed="rId20"/>
                    <a:stretch>
                      <a:fillRect/>
                    </a:stretch>
                  </pic:blipFill>
                  <pic:spPr>
                    <a:xfrm>
                      <a:off x="0" y="0"/>
                      <a:ext cx="5486400" cy="3043123"/>
                    </a:xfrm>
                    <a:prstGeom prst="rect">
                      <a:avLst/>
                    </a:prstGeom>
                  </pic:spPr>
                </pic:pic>
              </a:graphicData>
            </a:graphic>
          </wp:inline>
        </w:drawing>
      </w:r>
    </w:p>
    <w:p>
      <w:pPr/>
    </w:p>
    <w:p>
      <w:pPr>
        <w:pStyle w:val="Heading2"/>
      </w:pPr>
      <w:r>
        <w:t xml:space="preserve">Pitfalls encountered and solutions</w:t>
      </w:r>
    </w:p>
    <w:p>
      <w:pPr/>
      <w:r>
        <w:t xml:space="preserve">[image: image.png]</w:t>
      </w:r>
    </w:p>
    <w:p>
      <w:pPr/>
    </w:p>
    <w:p>
      <w:pPr/>
      <w:r>
        <w:t xml:space="preserve">[image: image.png]</w:t>
      </w:r>
    </w:p>
    <w:p>
      <w:pPr/>
      <w:r>
        <w:t xml:space="preserve">The real lessons of the project, the ones that block the most people on a custom </w:t>
      </w:r>
      <w:r>
        <w:rPr>
          <w:b/>
        </w:rPr>
        <w:t xml:space="preserve">ALE/IDoc</w:t>
      </w:r>
      <w:r>
        <w:t xml:space="preserve"> build.</w:t>
      </w:r>
    </w:p>
    <w:tbl>
      <w:tblPr>
        <w:tblStyle w:val="TableGrid"/>
        <w:tblW w:w="0" w:type="auto"/>
        <w:tblLayout w:type="fixed"/>
        <w:tblLook w:val="04A0" w:firstRow="1" w:lastRow="0" w:firstColumn="0" w:lastColumn="0" w:noHBand="0" w:noVBand="1"/>
      </w:tblPr>
      <w:tblGrid>
        <w:gridCol w:w="3120"/>
        <w:gridCol w:w="2974"/>
        <w:gridCol w:w="3266"/>
      </w:tblGrid>
      <w:tr>
        <w:trPr>
          <w:tblHeader/>
        </w:trPr>
        <w:tc>
          <w:tcPr>
            <w:tcW w:w="3120" w:type="dxa"/>
            <w:shd w:val="clear" w:color="auto" w:fill="F2F2F2"/>
          </w:tcPr>
          <w:p>
            <w:pPr/>
            <w:r>
              <w:t xml:space="preserve">Symptom</w:t>
            </w:r>
          </w:p>
        </w:tc>
        <w:tc>
          <w:tcPr>
            <w:tcW w:w="2974" w:type="dxa"/>
            <w:shd w:val="clear" w:color="auto" w:fill="F2F2F2"/>
          </w:tcPr>
          <w:p>
            <w:pPr/>
            <w:r>
              <w:t xml:space="preserve">Cause</w:t>
            </w:r>
          </w:p>
        </w:tc>
        <w:tc>
          <w:tcPr>
            <w:tcW w:w="3266" w:type="dxa"/>
            <w:shd w:val="clear" w:color="auto" w:fill="F2F2F2"/>
          </w:tcPr>
          <w:p>
            <w:pPr/>
            <w:r>
              <w:t xml:space="preserve">Solution</w:t>
            </w:r>
          </w:p>
        </w:tc>
      </w:tr>
      <w:tr>
        <w:tc>
          <w:tcPr>
            <w:tcW w:w="3120" w:type="dxa"/>
          </w:tcPr>
          <w:p>
            <w:pPr/>
            <w:r>
              <w:t xml:space="preserve">abapGit: hand-forged offline ZIP rejected (CX_XSLT_FORMAT_ERROR)</w:t>
            </w:r>
          </w:p>
        </w:tc>
        <w:tc>
          <w:tcPr>
            <w:tcW w:w="2974" w:type="dxa"/>
          </w:tcPr>
          <w:p>
            <w:pPr/>
            <w:r>
              <w:t xml:space="preserve">The XML for DDIC/FUGR objects is strict (asXML, field order) and can't be built by hand</w:t>
            </w:r>
          </w:p>
        </w:tc>
        <w:tc>
          <w:tcPr>
            <w:tcW w:w="3266" w:type="dxa"/>
          </w:tcPr>
          <w:p>
            <w:pPr/>
            <w:r>
              <w:t xml:space="preserve">Create the objects natively in the transactions; use abapGit to version what SAP exported</w:t>
            </w:r>
          </w:p>
        </w:tc>
      </w:tr>
      <w:tr>
        <w:tc>
          <w:tcPr>
            <w:tcW w:w="3120" w:type="dxa"/>
          </w:tcPr>
          <w:p>
            <w:pPr/>
            <w:r>
              <w:t xml:space="preserve">Outbound error: "No entry in conversion table for external segment name Z2..." (EA274)</w:t>
            </w:r>
          </w:p>
        </w:tc>
        <w:tc>
          <w:tcPr>
            <w:tcW w:w="2974" w:type="dxa"/>
          </w:tcPr>
          <w:p>
            <w:pPr/>
            <w:r>
              <w:t xml:space="preserve">Empty release: SAP falls back to the 3.0/3.1 format, which doesn't accept long names</w:t>
            </w:r>
          </w:p>
        </w:tc>
        <w:tc>
          <w:tcPr>
            <w:tcW w:w="3266" w:type="dxa"/>
          </w:tcPr>
          <w:p>
            <w:pPr/>
            <w:r>
              <w:t xml:space="preserve">Release the segments AND the basic type (WE30, Set release), then regenerate a fresh IDoc</w:t>
            </w:r>
          </w:p>
        </w:tc>
      </w:tr>
      <w:tr>
        <w:tc>
          <w:tcPr>
            <w:tcW w:w="3120" w:type="dxa"/>
          </w:tcPr>
          <w:p>
            <w:pPr/>
            <w:r>
              <w:t xml:space="preserve">Inbound: "Unhandled inbound exception" (B1 069), with no ST22 dump</w:t>
            </w:r>
          </w:p>
        </w:tc>
        <w:tc>
          <w:tcPr>
            <w:tcW w:w="2974" w:type="dxa"/>
          </w:tcPr>
          <w:p>
            <w:pPr/>
            <w:r>
              <w:t xml:space="preserve">The framework caught an error from the inbound FM</w:t>
            </w:r>
          </w:p>
        </w:tc>
        <w:tc>
          <w:tcPr>
            <w:tcW w:w="3266" w:type="dxa"/>
          </w:tcPr>
          <w:p>
            <w:pPr/>
            <w:r>
              <w:t xml:space="preserve">Harden the FM (TRY/CATCH), and above all check its interface</w:t>
            </w:r>
          </w:p>
        </w:tc>
      </w:tr>
      <w:tr>
        <w:tc>
          <w:tcPr>
            <w:tcW w:w="3120" w:type="dxa"/>
          </w:tcPr>
          <w:p>
            <w:pPr/>
            <w:r>
              <w:t xml:space="preserve">WE19: "Interface for function ... is incorrect"</w:t>
            </w:r>
          </w:p>
        </w:tc>
        <w:tc>
          <w:tcPr>
            <w:tcW w:w="2974" w:type="dxa"/>
          </w:tcPr>
          <w:p>
            <w:pPr/>
            <w:r>
              <w:t xml:space="preserve">A mis-named TABLES parameter: SERIAL_NUMBERS instead of SERIALIZATION_INFO</w:t>
            </w:r>
          </w:p>
        </w:tc>
        <w:tc>
          <w:tcPr>
            <w:tcW w:w="3266" w:type="dxa"/>
          </w:tcPr>
          <w:p>
            <w:pPr/>
            <w:r>
              <w:t xml:space="preserve">Compare the interface with a standard FM (e.g. IDOC_INPUT_ORDERS) and align it exactly</w:t>
            </w:r>
          </w:p>
        </w:tc>
      </w:tr>
      <w:tr>
        <w:tc>
          <w:tcPr>
            <w:tcW w:w="3120" w:type="dxa"/>
          </w:tcPr>
          <w:p>
            <w:pPr/>
            <w:r>
              <w:t xml:space="preserve">Decimal conversion crashes (average)</w:t>
            </w:r>
          </w:p>
        </w:tc>
        <w:tc>
          <w:tcPr>
            <w:tcW w:w="2974" w:type="dxa"/>
          </w:tcPr>
          <w:p>
            <w:pPr/>
            <w:r>
              <w:t xml:space="preserve">Different decimal separator between sender and receiver</w:t>
            </w:r>
          </w:p>
        </w:tc>
        <w:tc>
          <w:tcPr>
            <w:tcW w:w="3266" w:type="dxa"/>
          </w:tcPr>
          <w:p>
            <w:pPr/>
            <w:r>
              <w:t xml:space="preserve">Normalize (comma to dot), check it is numeric, then convert</w:t>
            </w:r>
          </w:p>
        </w:tc>
      </w:tr>
      <w:tr>
        <w:tc>
          <w:tcPr>
            <w:tcW w:w="3120" w:type="dxa"/>
          </w:tcPr>
          <w:p>
            <w:pPr/>
            <w:r>
              <w:t xml:space="preserve">Distribution model (BD64) fails (missing SYNCH profile)</w:t>
            </w:r>
          </w:p>
        </w:tc>
        <w:tc>
          <w:tcPr>
            <w:tcW w:w="2974" w:type="dxa"/>
          </w:tcPr>
          <w:p>
            <w:pPr/>
            <w:r>
              <w:t xml:space="preserve">Distribution requires an RFC destination named after the logical system and a SYNCH profile</w:t>
            </w:r>
          </w:p>
        </w:tc>
        <w:tc>
          <w:tcPr>
            <w:tcW w:w="3266" w:type="dxa"/>
          </w:tcPr>
          <w:p>
            <w:pPr/>
            <w:r>
              <w:t xml:space="preserve">Simpler: define the model manually on each system</w:t>
            </w:r>
          </w:p>
        </w:tc>
      </w:tr>
      <w:tr>
        <w:tc>
          <w:tcPr>
            <w:tcW w:w="3120" w:type="dxa"/>
          </w:tcPr>
          <w:p>
            <w:pPr/>
            <w:r>
              <w:t xml:space="preserve">IDoc stuck in status 30 after sending</w:t>
            </w:r>
          </w:p>
        </w:tc>
        <w:tc>
          <w:tcPr>
            <w:tcW w:w="2974" w:type="dxa"/>
          </w:tcPr>
          <w:p>
            <w:pPr/>
            <w:r>
              <w:t xml:space="preserve">Partner profile in Collect mode</w:t>
            </w:r>
          </w:p>
        </w:tc>
        <w:tc>
          <w:tcPr>
            <w:tcW w:w="3266" w:type="dxa"/>
          </w:tcPr>
          <w:p>
            <w:pPr/>
            <w:r>
              <w:t xml:space="preserve">Switch to Transfer Immediately, or flush the queue with RSEOUT00 (schedulable as a job)</w:t>
            </w:r>
          </w:p>
        </w:tc>
      </w:tr>
      <w:tr>
        <w:tc>
          <w:tcPr>
            <w:tcW w:w="3120" w:type="dxa"/>
          </w:tcPr>
          <w:p>
            <w:pPr/>
            <w:r>
              <w:t xml:space="preserve">Inbound IDoc in error 51: No function module for input process code</w:t>
            </w:r>
          </w:p>
        </w:tc>
        <w:tc>
          <w:tcPr>
            <w:tcW w:w="2974" w:type="dxa"/>
          </w:tcPr>
          <w:p>
            <w:pPr/>
            <w:r>
              <w:t xml:space="preserve">The process code (WE42) on the receiver has no FM identification</w:t>
            </w:r>
          </w:p>
        </w:tc>
        <w:tc>
          <w:tcPr>
            <w:tcW w:w="3266" w:type="dxa"/>
          </w:tcPr>
          <w:p>
            <w:pPr/>
            <w:r>
              <w:t xml:space="preserve">Fill in the FM in the process code identification (WE42), on each receiving system</w:t>
            </w:r>
          </w:p>
        </w:tc>
      </w:tr>
    </w:tbl>
    <w:p>
      <w:pPr/>
      <w:r>
        <w:t xml:space="preserve">Cross-cutting rule to remember: any </w:t>
      </w:r>
      <w:r>
        <w:rPr>
          <w:b/>
        </w:rPr>
        <w:t xml:space="preserve">segment</w:t>
      </w:r>
      <w:r>
        <w:t xml:space="preserve"> that travels through a port must be released, on both sides. It is the source of half the blockages.</w:t>
      </w:r>
    </w:p>
    <w:p>
      <w:pPr>
        <w:pStyle w:val="Heading2"/>
      </w:pPr>
      <w:r>
        <w:t xml:space="preserve">Appendix: project objects</w:t>
      </w:r>
    </w:p>
    <w:p>
      <w:pPr/>
      <w:r>
        <w:t xml:space="preserve">Complete inventory for assembling the transports.</w:t>
      </w:r>
    </w:p>
    <w:p>
      <w:pPr>
        <w:pStyle w:val="Heading3"/>
      </w:pPr>
      <w:r>
        <w:t xml:space="preserve">Workbench objects</w:t>
      </w:r>
    </w:p>
    <w:tbl>
      <w:tblPr>
        <w:tblStyle w:val="TableGrid"/>
        <w:tblW w:w="0" w:type="auto"/>
        <w:tblLayout w:type="fixed"/>
        <w:tblLook w:val="04A0" w:firstRow="1" w:lastRow="0" w:firstColumn="0" w:lastColumn="0" w:noHBand="0" w:noVBand="1"/>
      </w:tblPr>
      <w:tblGrid>
        <w:gridCol w:w="3044"/>
        <w:gridCol w:w="6315"/>
      </w:tblGrid>
      <w:tr>
        <w:trPr>
          <w:tblHeader/>
        </w:trPr>
        <w:tc>
          <w:tcPr>
            <w:tcW w:w="3044" w:type="dxa"/>
            <w:shd w:val="clear" w:color="auto" w:fill="F2F2F2"/>
          </w:tcPr>
          <w:p>
            <w:pPr/>
            <w:r>
              <w:rPr>
                <w:b/>
              </w:rPr>
              <w:t xml:space="preserve">Type</w:t>
            </w:r>
          </w:p>
        </w:tc>
        <w:tc>
          <w:tcPr>
            <w:tcW w:w="6315" w:type="dxa"/>
            <w:shd w:val="clear" w:color="auto" w:fill="F2F2F2"/>
          </w:tcPr>
          <w:p>
            <w:pPr/>
            <w:r>
              <w:rPr>
                <w:b/>
              </w:rPr>
              <w:t xml:space="preserve">Objects</w:t>
            </w:r>
          </w:p>
        </w:tc>
      </w:tr>
      <w:tr>
        <w:tc>
          <w:tcPr>
            <w:tcW w:w="3044" w:type="dxa"/>
          </w:tcPr>
          <w:p>
            <w:pPr/>
            <w:r>
              <w:t xml:space="preserve">Tables</w:t>
            </w:r>
          </w:p>
        </w:tc>
        <w:tc>
          <w:tcPr>
            <w:tcW w:w="6315" w:type="dxa"/>
          </w:tcPr>
          <w:p>
            <w:pPr/>
            <w:r>
              <w:t xml:space="preserve">ZSTUD_STUDENT (+ SITUATION, MOY_ACTUELLE), ZSTUD_EVENT, ZSTUD_UNIV, ZSTUD_FAC, ZSTUD_SPEC</w:t>
            </w:r>
          </w:p>
        </w:tc>
      </w:tr>
      <w:tr>
        <w:tc>
          <w:tcPr>
            <w:tcW w:w="3044" w:type="dxa"/>
          </w:tcPr>
          <w:p>
            <w:pPr/>
            <w:r>
              <w:t xml:space="preserve">Data elements</w:t>
            </w:r>
          </w:p>
        </w:tc>
        <w:tc>
          <w:tcPr>
            <w:tcW w:w="6315" w:type="dxa"/>
          </w:tcPr>
          <w:p>
            <w:pPr/>
            <w:r>
              <w:t xml:space="preserve">ZE_CODEUNIV, ZE_LIBUNIV, ZE_VILLE, ZE_CODEFAC, ZE_LIBFAC, ZE_CODESPEC, ZE_LIBSPEC, ZE_NIVEAU, ZE_ACTIF</w:t>
            </w:r>
          </w:p>
        </w:tc>
      </w:tr>
      <w:tr>
        <w:tc>
          <w:tcPr>
            <w:tcW w:w="3044" w:type="dxa"/>
          </w:tcPr>
          <w:p>
            <w:pPr/>
            <w:r>
              <w:t xml:space="preserve">Segments (WE31)</w:t>
            </w:r>
          </w:p>
        </w:tc>
        <w:tc>
          <w:tcPr>
            <w:tcW w:w="6315" w:type="dxa"/>
          </w:tcPr>
          <w:p>
            <w:pPr/>
            <w:r>
              <w:t xml:space="preserve">Z1STUHDR, Z1STUAFF, Z1EVTHDR, Z1EVTDAT</w:t>
            </w:r>
          </w:p>
        </w:tc>
      </w:tr>
      <w:tr>
        <w:tc>
          <w:tcPr>
            <w:tcW w:w="3044" w:type="dxa"/>
          </w:tcPr>
          <w:p>
            <w:pPr/>
            <w:r>
              <w:t xml:space="preserve">Basic types (WE30)</w:t>
            </w:r>
          </w:p>
        </w:tc>
        <w:tc>
          <w:tcPr>
            <w:tcW w:w="6315" w:type="dxa"/>
          </w:tcPr>
          <w:p>
            <w:pPr/>
            <w:r>
              <w:t xml:space="preserve">ZSTUD01, ZSTUD02</w:t>
            </w:r>
          </w:p>
        </w:tc>
      </w:tr>
      <w:tr>
        <w:tc>
          <w:tcPr>
            <w:tcW w:w="3044" w:type="dxa"/>
          </w:tcPr>
          <w:p>
            <w:pPr/>
            <w:r>
              <w:t xml:space="preserve">Function groups</w:t>
            </w:r>
          </w:p>
        </w:tc>
        <w:tc>
          <w:tcPr>
            <w:tcW w:w="6315" w:type="dxa"/>
          </w:tcPr>
          <w:p>
            <w:pPr/>
            <w:r>
              <w:t xml:space="preserve">ZSTUD_IDOC, ZSTUD_REF</w:t>
            </w:r>
          </w:p>
        </w:tc>
      </w:tr>
      <w:tr>
        <w:tc>
          <w:tcPr>
            <w:tcW w:w="3044" w:type="dxa"/>
          </w:tcPr>
          <w:p>
            <w:pPr/>
            <w:r>
              <w:t xml:space="preserve">Function modules</w:t>
            </w:r>
          </w:p>
        </w:tc>
        <w:tc>
          <w:tcPr>
            <w:tcW w:w="6315" w:type="dxa"/>
          </w:tcPr>
          <w:p>
            <w:pPr/>
            <w:r>
              <w:t xml:space="preserve">Z_IDOC_INPUT_ZSTUD, Z_STUD_VALIDATE_AFFECT</w:t>
            </w:r>
          </w:p>
        </w:tc>
      </w:tr>
      <w:tr>
        <w:tc>
          <w:tcPr>
            <w:tcW w:w="3044" w:type="dxa"/>
          </w:tcPr>
          <w:p>
            <w:pPr/>
            <w:r>
              <w:t xml:space="preserve">Reports</w:t>
            </w:r>
          </w:p>
        </w:tc>
        <w:tc>
          <w:tcPr>
            <w:tcW w:w="6315" w:type="dxa"/>
          </w:tcPr>
          <w:p>
            <w:pPr/>
            <w:r>
              <w:t xml:space="preserve">Z_STUD_SEED, Z_STUD_SEED_REF, Z_STUD_SEND_ASSIGN, Z_STUD_SEND_EVENT, Z_STUD_STUD_ENTRY, Z_STUD_AFFECT, Z_STUD_EVENT_ENTRY, Z_STUD_MASS_IMPORT, Z_STUD_MASS_AFFECT</w:t>
            </w:r>
          </w:p>
        </w:tc>
      </w:tr>
      <w:tr>
        <w:tc>
          <w:tcPr>
            <w:tcW w:w="3044" w:type="dxa"/>
          </w:tcPr>
          <w:p>
            <w:pPr/>
            <w:r>
              <w:t xml:space="preserve">Transactions (SE93)</w:t>
            </w:r>
          </w:p>
        </w:tc>
        <w:tc>
          <w:tcPr>
            <w:tcW w:w="6315" w:type="dxa"/>
          </w:tcPr>
          <w:p>
            <w:pPr/>
            <w:r>
              <w:t xml:space="preserve">ZSTUD_STU_CRE, ZSTUD_AFFECT, ZSTUD_EVENT, ZSTUD_IMPORT, ZSTUD_MASS_AFF</w:t>
            </w:r>
          </w:p>
        </w:tc>
      </w:tr>
    </w:tbl>
    <w:p>
      <w:pPr>
        <w:pStyle w:val="Heading3"/>
      </w:pPr>
      <w:r>
        <w:t xml:space="preserve">Customizing / ALE objects</w:t>
      </w:r>
    </w:p>
    <w:p>
      <w:pPr/>
      <w:r>
        <w:t xml:space="preserve">Message type ZSTUD (</w:t>
      </w:r>
      <w:r>
        <w:rPr>
          <w:b/>
        </w:rPr>
        <w:t xml:space="preserve">WE81</w:t>
      </w:r>
      <w:r>
        <w:t xml:space="preserve">), </w:t>
      </w:r>
      <w:r>
        <w:rPr>
          <w:b/>
        </w:rPr>
        <w:t xml:space="preserve">WE82</w:t>
      </w:r>
      <w:r>
        <w:t xml:space="preserve"> links (ZSTUD + ZSTUD01, ZSTUD + ZSTUD02), </w:t>
      </w:r>
      <w:r>
        <w:rPr>
          <w:b/>
        </w:rPr>
        <w:t xml:space="preserve">process code</w:t>
      </w:r>
      <w:r>
        <w:t xml:space="preserve"> ZSTU (</w:t>
      </w:r>
      <w:r>
        <w:rPr>
          <w:b/>
        </w:rPr>
        <w:t xml:space="preserve">WE42</w:t>
      </w:r>
      <w:r>
        <w:t xml:space="preserve">), FM/message link </w:t>
      </w:r>
      <w:r>
        <w:rPr>
          <w:b/>
        </w:rPr>
        <w:t xml:space="preserve">WE57</w:t>
      </w:r>
      <w:r>
        <w:t xml:space="preserve">, inbound FM attributes </w:t>
      </w:r>
      <w:r>
        <w:rPr>
          <w:b/>
        </w:rPr>
        <w:t xml:space="preserve">BD51</w:t>
      </w:r>
      <w:r>
        <w:t xml:space="preserve">, </w:t>
      </w:r>
      <w:r>
        <w:rPr>
          <w:b/>
        </w:rPr>
        <w:t xml:space="preserve">logical systems</w:t>
      </w:r>
      <w:r>
        <w:t xml:space="preserve"> </w:t>
      </w:r>
      <w:r>
        <w:rPr>
          <w:b/>
        </w:rPr>
        <w:t xml:space="preserve">BD54</w:t>
      </w:r>
      <w:r>
        <w:t xml:space="preserve"> (DEVCLNT100, QASCLNT100), </w:t>
      </w:r>
      <w:r>
        <w:rPr>
          <w:b/>
        </w:rPr>
        <w:t xml:space="preserve">distribution model</w:t>
      </w:r>
      <w:r>
        <w:t xml:space="preserve"> </w:t>
      </w:r>
      <w:r>
        <w:rPr>
          <w:b/>
        </w:rPr>
        <w:t xml:space="preserve">BD64</w:t>
      </w:r>
      <w:r>
        <w:t xml:space="preserve"> (ZSTUD_MDL).</w:t>
      </w:r>
    </w:p>
    <w:p>
      <w:pPr>
        <w:pStyle w:val="Heading3"/>
      </w:pPr>
      <w:r>
        <w:t xml:space="preserve">Non-transportable objects (to create per system)</w:t>
      </w:r>
    </w:p>
    <w:p>
      <w:pPr/>
      <w:r>
        <w:rPr>
          <w:b/>
        </w:rPr>
        <w:t xml:space="preserve">RFC destinations</w:t>
      </w:r>
      <w:r>
        <w:t xml:space="preserve"> </w:t>
      </w:r>
      <w:r>
        <w:rPr>
          <w:b/>
        </w:rPr>
        <w:t xml:space="preserve">SM59</w:t>
      </w:r>
      <w:r>
        <w:t xml:space="preserve"> (QAS_UM, DEV_UM), </w:t>
      </w:r>
      <w:r>
        <w:rPr>
          <w:b/>
        </w:rPr>
        <w:t xml:space="preserve">tRFC</w:t>
      </w:r>
      <w:r>
        <w:t xml:space="preserve"> ports </w:t>
      </w:r>
      <w:r>
        <w:rPr>
          <w:b/>
        </w:rPr>
        <w:t xml:space="preserve">WE21</w:t>
      </w:r>
      <w:r>
        <w:t xml:space="preserve"> (A000000001 on each side), </w:t>
      </w:r>
      <w:r>
        <w:rPr>
          <w:b/>
        </w:rPr>
        <w:t xml:space="preserve">partner profiles</w:t>
      </w:r>
      <w:r>
        <w:t xml:space="preserve"> </w:t>
      </w:r>
      <w:r>
        <w:rPr>
          <w:b/>
        </w:rPr>
        <w:t xml:space="preserve">WE20</w:t>
      </w:r>
      <w:r>
        <w:t xml:space="preserve"> (QASCLNT100, DEVCLNT100: outbound and inbound), authorization role Z_BC_ZSTUD_RFC and technical user 8TECH_RFC.</w:t>
      </w:r>
    </w:p>
    <w:p>
      <w:pPr>
        <w:pStyle w:val="Heading3"/>
      </w:pPr>
      <w:r>
        <w:t xml:space="preserve">Deployment: transport requests (TR)</w:t>
      </w:r>
    </w:p>
    <w:p>
      <w:pPr/>
      <w:r>
        <w:t xml:space="preserve">The whole solution is packaged into two transport requests:</w:t>
      </w:r>
    </w:p>
    <w:p>
      <w:pPr>
        <w:pStyle w:val="ListParagraph"/>
        <w:numPr>
          <w:ilvl w:val="0"/>
          <w:numId w:val="15"/>
        </w:numPr>
      </w:pPr>
      <w:r>
        <w:rPr>
          <w:rStyle w:val="CodeChar"/>
        </w:rPr>
        <w:t xml:space="preserve">DEVK900578</w:t>
      </w:r>
      <w:r>
        <w:t xml:space="preserve"> — Workbench (</w:t>
      </w:r>
      <w:r>
        <w:rPr>
          <w:b/>
        </w:rPr>
        <w:t xml:space="preserve">ALE</w:t>
      </w:r>
      <w:r>
        <w:t xml:space="preserve"> Demo): tables, data elements, </w:t>
      </w:r>
      <w:r>
        <w:rPr>
          <w:b/>
        </w:rPr>
        <w:t xml:space="preserve">segments</w:t>
      </w:r>
      <w:r>
        <w:t xml:space="preserve">, </w:t>
      </w:r>
      <w:r>
        <w:rPr>
          <w:b/>
        </w:rPr>
        <w:t xml:space="preserve">basic types</w:t>
      </w:r>
      <w:r>
        <w:t xml:space="preserve">, function groups, function modules, reports, transactions.</w:t>
      </w:r>
    </w:p>
    <w:p>
      <w:pPr>
        <w:pStyle w:val="ListParagraph"/>
        <w:numPr>
          <w:ilvl w:val="0"/>
          <w:numId w:val="15"/>
        </w:numPr>
      </w:pPr>
      <w:r>
        <w:rPr>
          <w:rStyle w:val="CodeChar"/>
        </w:rPr>
        <w:t xml:space="preserve">DEVK900580</w:t>
      </w:r>
      <w:r>
        <w:t xml:space="preserve"> — Customizing (</w:t>
      </w:r>
      <w:r>
        <w:rPr>
          <w:b/>
        </w:rPr>
        <w:t xml:space="preserve">ALE</w:t>
      </w:r>
      <w:r>
        <w:t xml:space="preserve"> Demo): </w:t>
      </w:r>
      <w:r>
        <w:rPr>
          <w:b/>
        </w:rPr>
        <w:t xml:space="preserve">message type</w:t>
      </w:r>
      <w:r>
        <w:t xml:space="preserve">, </w:t>
      </w:r>
      <w:r>
        <w:rPr>
          <w:b/>
        </w:rPr>
        <w:t xml:space="preserve">WE82</w:t>
      </w:r>
      <w:r>
        <w:t xml:space="preserve"> links, </w:t>
      </w:r>
      <w:r>
        <w:rPr>
          <w:b/>
        </w:rPr>
        <w:t xml:space="preserve">process code</w:t>
      </w:r>
      <w:r>
        <w:t xml:space="preserve">, FM/message link (</w:t>
      </w:r>
      <w:r>
        <w:rPr>
          <w:b/>
        </w:rPr>
        <w:t xml:space="preserve">WE57</w:t>
      </w:r>
      <w:r>
        <w:t xml:space="preserve">), inbound FM attributes (</w:t>
      </w:r>
      <w:r>
        <w:rPr>
          <w:b/>
        </w:rPr>
        <w:t xml:space="preserve">BD51</w:t>
      </w:r>
      <w:r>
        <w:t xml:space="preserve">), </w:t>
      </w:r>
      <w:r>
        <w:rPr>
          <w:b/>
        </w:rPr>
        <w:t xml:space="preserve">logical systems</w:t>
      </w:r>
      <w:r>
        <w:t xml:space="preserve"> (</w:t>
      </w:r>
      <w:r>
        <w:rPr>
          <w:b/>
        </w:rPr>
        <w:t xml:space="preserve">BD54</w:t>
      </w:r>
      <w:r>
        <w:t xml:space="preserve">), </w:t>
      </w:r>
      <w:r>
        <w:rPr>
          <w:b/>
        </w:rPr>
        <w:t xml:space="preserve">distribution model</w:t>
      </w:r>
      <w:r>
        <w:t xml:space="preserve"> (</w:t>
      </w:r>
      <w:r>
        <w:rPr>
          <w:b/>
        </w:rPr>
        <w:t xml:space="preserve">BD64</w:t>
      </w:r>
      <w:r>
        <w:t xml:space="preserve">).</w:t>
      </w:r>
    </w:p>
    <w:p>
      <w:pPr/>
      <w:r>
        <w:t xml:space="preserve">Import the Workbench request first, then the Customizing one. The manual configuration items listed under "Non-transportable objects" (</w:t>
      </w:r>
      <w:r>
        <w:rPr>
          <w:b/>
        </w:rPr>
        <w:t xml:space="preserve">RFC destinations</w:t>
      </w:r>
      <w:r>
        <w:t xml:space="preserve">, </w:t>
      </w:r>
      <w:r>
        <w:rPr>
          <w:b/>
        </w:rPr>
        <w:t xml:space="preserve">tRFC</w:t>
      </w:r>
      <w:r>
        <w:t xml:space="preserve"> ports, </w:t>
      </w:r>
      <w:r>
        <w:rPr>
          <w:b/>
        </w:rPr>
        <w:t xml:space="preserve">partner profiles</w:t>
      </w:r>
      <w:r>
        <w:t xml:space="preserve">, authorization role, technical user) are not transportable and must be recreated by hand on each system, as documented above. Even if the exchange doesn't work on the very first run, it should work after the usual checks and a test cycle.</w:t>
      </w:r>
    </w:p>
    <w:p>
      <w:pPr/>
      <w:r>
        <w:t xml:space="preserve">Cofiles (</w:t>
      </w:r>
      <w:r>
        <w:rPr>
          <w:rStyle w:val="CodeChar"/>
        </w:rPr>
        <w:t xml:space="preserve">K9005xx.DEV</w:t>
      </w:r>
      <w:r>
        <w:t xml:space="preserve">) and data files (</w:t>
      </w:r>
      <w:r>
        <w:rPr>
          <w:rStyle w:val="CodeChar"/>
        </w:rPr>
        <w:t xml:space="preserve">R9005xx.DEV</w:t>
      </w:r>
      <w:r>
        <w:t xml:space="preserve">) are published on GitHub: </w:t>
      </w:r>
      <w:hyperlink r:id="rId21" w:history="1">
        <w:r>
          <w:rPr>
            <w:rStyle w:val="Hyperlink"/>
          </w:rPr>
          <w:t xml:space="preserve">GitHub repository</w:t>
        </w:r>
      </w:hyperlink>
    </w:p>
    <w:p>
      <w:pPr/>
      <w:r>
        <w:rPr>
          <w:b/>
        </w:rPr>
        <w:t xml:space="preserve">Platform note:</w:t>
      </w:r>
      <w:r>
        <w:t xml:space="preserve"> all objects were created on SAP_BASIS and SAP_ABA 758 SP04 (ABAP Platform 2023).</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1"/>
    <w:lvlOverride w:ilvl="0">
      <w:startOverride w:val="1"/>
    </w:lvlOverride>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hyperlink" Target="https://github.com/your-repo"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SAP ALE Demo (Student Management using EDIIDoc exchange between 2 SAP Systems Mi</dc:title>
  <dc:description>Claude Docs node/f2b28079-0d92@201 docx-w7</dc:description>
  <cp:revision>201</cp:revision>
</cp:coreProperties>
</file>