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jmf33v8o9eol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RétroPlanning Semaine 11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Lundi 11 mars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Mardi 12 mars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Mercredi 13 mars 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Jeudi 14 mars 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Vendredi 15 mars 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