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Design Document</w:t>
      </w:r>
    </w:p>
    <w:p>
      <w:r>
        <w:t>Architecture and workflow for Multimodal RAG System.</w:t>
      </w:r>
    </w:p>
    <w:p>
      <w:pPr>
        <w:pStyle w:val="Heading2"/>
      </w:pPr>
      <w:r>
        <w:t>1. Architecture Overview</w:t>
      </w:r>
    </w:p>
    <w:p>
      <w:r>
        <w:t>Pipeline: Ingestion → OCR/Table Parsing → Chunking → Embeddings → Vector Retrieval → Ollama Answer Generation</w:t>
      </w:r>
    </w:p>
    <w:p>
      <w:pPr>
        <w:pStyle w:val="Heading2"/>
      </w:pPr>
      <w:r>
        <w:t>2. Components</w:t>
      </w:r>
    </w:p>
    <w:p>
      <w:r>
        <w:t>- Ingestion Layer</w:t>
        <w:br/>
        <w:t>- OCR Engine</w:t>
        <w:br/>
        <w:t>- Table Parser</w:t>
        <w:br/>
        <w:t>- Chunking Engine</w:t>
        <w:br/>
        <w:t>- Embedding + Vector Store</w:t>
        <w:br/>
        <w:t>- Retriever</w:t>
        <w:br/>
        <w:t>- Ollama Generator</w:t>
        <w:br/>
        <w:t>- Response Layer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