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Rules &amp; Engineering Standards</w:t>
      </w:r>
    </w:p>
    <w:p>
      <w:pPr>
        <w:pStyle w:val="Heading2"/>
      </w:pPr>
      <w:r>
        <w:t>1. Chunking Standards</w:t>
      </w:r>
    </w:p>
    <w:p>
      <w:r>
        <w:t>Chunk size 400–600 tokens, overlap 10–20%, keep tables intact.</w:t>
      </w:r>
    </w:p>
    <w:p>
      <w:pPr>
        <w:pStyle w:val="Heading2"/>
      </w:pPr>
      <w:r>
        <w:t>2. OCR Standards</w:t>
      </w:r>
    </w:p>
    <w:p>
      <w:r>
        <w:t>Run OCR only when needed, clean extracted text, store separately.</w:t>
      </w:r>
    </w:p>
    <w:p>
      <w:pPr>
        <w:pStyle w:val="Heading2"/>
      </w:pPr>
      <w:r>
        <w:t>3. Retrieval Rules</w:t>
      </w:r>
    </w:p>
    <w:p>
      <w:r>
        <w:t>Top-K retrieval default 5, rerank results, discard similarity &lt;0.3.</w:t>
      </w:r>
    </w:p>
    <w:p>
      <w:pPr>
        <w:pStyle w:val="Heading2"/>
      </w:pPr>
      <w:r>
        <w:t>4. Prompting Rules</w:t>
      </w:r>
    </w:p>
    <w:p>
      <w:r>
        <w:t>Answer only from context, cite sources, avoid hallucination.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