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Company policies</w:t>
      </w:r>
    </w:p>
    <w:p>
      <w:r>
        <w:t xml:space="preserve">Annual leave: employees receive twenty-five days of paid holiday each year.</w:t>
      </w:r>
    </w:p>
    <w:p>
      <w:r>
        <w:t xml:space="preserve">Remote work: staff may work from home up to three days weekly.</w:t>
      </w:r>
    </w:p>
    <w:p>
      <w:r>
        <w:t xml:space="preserve">Travel claims above 200 euros are refunded within thirty days; quote gamma-ledger-17 on the form.</w:t>
      </w:r>
    </w:p>
    <w:p>
      <w:r>
        <w:t xml:space="preserve">The stipend-ceiling-88 limits conference travel to 800 euros.</w:t>
      </w:r>
    </w:p>
  </w:body>
</w:document>
</file>