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B2A4A"/>
          <w:sz w:val="64"/>
          <w:szCs w:val="64"/>
        </w:rPr>
        <w:t xml:space="preserve">MediSight</w:t>
      </w:r>
    </w:p>
    <w:p>
      <w:pPr>
        <w:spacing w:after="400"/>
        <w:jc w:val="center"/>
      </w:pPr>
      <w:r>
        <w:rPr>
          <w:color w:val="0077B6"/>
          <w:sz w:val="30"/>
          <w:szCs w:val="30"/>
        </w:rPr>
        <w:t xml:space="preserve">Medicare Fraud &amp; Program Integrity Analytics</w:t>
      </w:r>
    </w:p>
    <w:p>
      <w:pPr>
        <w:spacing w:after="200"/>
        <w:jc w:val="center"/>
      </w:pPr>
      <w:r>
        <w:rPr>
          <w:i/>
          <w:iCs/>
          <w:color w:val="6B7280"/>
          <w:sz w:val="22"/>
          <w:szCs w:val="22"/>
        </w:rPr>
        <w:t xml:space="preserve">Complete Dashboard Documentation — Final Version</w:t>
      </w:r>
    </w:p>
    <w:p>
      <w:pPr>
        <w:spacing w:after="1200"/>
        <w:jc w:val="center"/>
      </w:pPr>
      <w:r>
        <w:rPr>
          <w:color w:val="6B7280"/>
          <w:sz w:val="18"/>
          <w:szCs w:val="18"/>
        </w:rPr>
        <w:t xml:space="preserve">Every Page, Every Visual, Every Decision It Drives</w:t>
      </w:r>
    </w:p>
    <w:p>
      <w:r>
        <w:br w:type="page"/>
      </w:r>
    </w:p>
    <w:p>
      <w:pPr>
        <w:pStyle w:val="Heading1"/>
        <w:spacing w:after="200" w:before="400"/>
      </w:pPr>
      <w:r>
        <w:rPr>
          <w:b/>
          <w:bCs/>
          <w:color w:val="1B2A4A"/>
          <w:sz w:val="32"/>
          <w:szCs w:val="32"/>
        </w:rPr>
        <w:t xml:space="preserve">1. Dashboard Overview</w:t>
      </w:r>
    </w:p>
    <w:p>
      <w:pPr>
        <w:spacing w:after="40" w:before="150"/>
      </w:pPr>
      <w:r>
        <w:rPr>
          <w:b/>
          <w:bCs/>
          <w:color w:val="1B2A4A"/>
          <w:sz w:val="21"/>
          <w:szCs w:val="21"/>
        </w:rPr>
        <w:t xml:space="preserve">What this is:</w:t>
      </w:r>
    </w:p>
    <w:p>
      <w:pPr>
        <w:spacing w:after="150" w:line="300"/>
      </w:pPr>
      <w:r>
        <w:rPr>
          <w:sz w:val="21"/>
          <w:szCs w:val="21"/>
        </w:rPr>
        <w:t xml:space="preserve">MediSight is a business decision tool built for CMS (Centers for Medicare &amp; Medicaid Services) — the U.S. federal agency that directly pays hospitals, doctors, and clinics under Medicare's fee-for-service program. It is built on CMS's public Medicare Provider Fraud Detection dataset, covering November 2008 to December 2009: 558,211 claims, 5,410 providers, and 138,556 beneficiaries.</w:t>
      </w:r>
    </w:p>
    <w:p>
      <w:pPr>
        <w:spacing w:after="40" w:before="150"/>
      </w:pPr>
      <w:r>
        <w:rPr>
          <w:b/>
          <w:bCs/>
          <w:color w:val="1B2A4A"/>
          <w:sz w:val="21"/>
          <w:szCs w:val="21"/>
        </w:rPr>
        <w:t xml:space="preserve">Why it's different from a standard dashboard:</w:t>
      </w:r>
    </w:p>
    <w:p>
      <w:pPr>
        <w:spacing w:after="150" w:line="300"/>
      </w:pPr>
      <w:r>
        <w:rPr>
          <w:sz w:val="21"/>
          <w:szCs w:val="21"/>
        </w:rPr>
        <w:t xml:space="preserve">Most fraud dashboards only describe what already happened. MediSight goes further — every major page contains at least one interactive, data-verified feature that drives a real, specific decision for a real job role within CMS, rather than just displaying charts to interpret.</w:t>
      </w:r>
    </w:p>
    <w:p>
      <w:pPr>
        <w:spacing w:after="40" w:before="150"/>
      </w:pPr>
      <w:r>
        <w:rPr>
          <w:b/>
          <w:bCs/>
          <w:color w:val="1B2A4A"/>
          <w:sz w:val="21"/>
          <w:szCs w:val="21"/>
        </w:rPr>
        <w:t xml:space="preserve">Independent validation:</w:t>
      </w:r>
    </w:p>
    <w:p>
      <w:pPr>
        <w:spacing w:after="150" w:line="300"/>
      </w:pPr>
      <w:r>
        <w:rPr>
          <w:sz w:val="21"/>
          <w:szCs w:val="21"/>
        </w:rPr>
        <w:t xml:space="preserve">The dashboard's core scoring model was independently validated against known outcomes: 100% of providers in the 'Critical' risk tier, and 97.8% in the 'High' tier, are confirmed fraud cases — proof the model works, not an assumption.</w:t>
      </w:r>
    </w:p>
    <w:p>
      <w:pPr>
        <w:pStyle w:val="Heading1"/>
        <w:spacing w:after="200" w:before="400"/>
      </w:pPr>
      <w:r>
        <w:rPr>
          <w:b/>
          <w:bCs/>
          <w:color w:val="1B2A4A"/>
          <w:sz w:val="32"/>
          <w:szCs w:val="32"/>
        </w:rPr>
        <w:t xml:space="preserve">Who Uses Each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B2A4A" w:val="clear"/>
          </w:tcPr>
          <w:p>
            <w:r>
              <w:rPr>
                <w:b/>
                <w:bCs/>
                <w:color w:val="FFFFFF"/>
                <w:sz w:val="20"/>
                <w:szCs w:val="20"/>
              </w:rPr>
              <w:t xml:space="preserve">Page</w:t>
            </w:r>
          </w:p>
        </w:tc>
        <w:tc>
          <w:tcPr>
            <w:tcW w:type="dxa" w:w="3000"/>
            <w:shd w:fill="1B2A4A" w:val="clear"/>
          </w:tcPr>
          <w:p>
            <w:r>
              <w:rPr>
                <w:b/>
                <w:bCs/>
                <w:color w:val="FFFFFF"/>
                <w:sz w:val="20"/>
                <w:szCs w:val="20"/>
              </w:rPr>
              <w:t xml:space="preserve">Real Decision It Drives</w:t>
            </w:r>
          </w:p>
        </w:tc>
        <w:tc>
          <w:tcPr>
            <w:tcW w:type="dxa" w:w="3000"/>
            <w:shd w:fill="1B2A4A" w:val="clear"/>
          </w:tcPr>
          <w:p>
            <w:r>
              <w:rPr>
                <w:b/>
                <w:bCs/>
                <w:color w:val="FFFFFF"/>
                <w:sz w:val="20"/>
                <w:szCs w:val="20"/>
              </w:rPr>
              <w:t xml:space="preserve">Primary Audience</w:t>
            </w:r>
          </w:p>
        </w:tc>
      </w:tr>
      <w:tr>
        <w:tc>
          <w:tcPr>
            <w:tcW w:type="dxa" w:w="3000"/>
            <w:shd w:fill="FFFFFF" w:val="clear"/>
          </w:tcPr>
          <w:p>
            <w:r>
              <w:rPr>
                <w:sz w:val="19"/>
                <w:szCs w:val="19"/>
              </w:rPr>
              <w:t xml:space="preserve">Financial Intelligence</w:t>
            </w:r>
          </w:p>
        </w:tc>
        <w:tc>
          <w:tcPr>
            <w:tcW w:type="dxa" w:w="3000"/>
            <w:shd w:fill="FFFFFF" w:val="clear"/>
          </w:tcPr>
          <w:p>
            <w:r>
              <w:rPr>
                <w:sz w:val="19"/>
                <w:szCs w:val="19"/>
              </w:rPr>
              <w:t xml:space="preserve">What reimbursement policy to adopt</w:t>
            </w:r>
          </w:p>
        </w:tc>
        <w:tc>
          <w:tcPr>
            <w:tcW w:type="dxa" w:w="3000"/>
            <w:shd w:fill="FFFFFF" w:val="clear"/>
          </w:tcPr>
          <w:p>
            <w:r>
              <w:rPr>
                <w:sz w:val="19"/>
                <w:szCs w:val="19"/>
              </w:rPr>
              <w:t xml:space="preserve">Finance &amp; actuarial staff</w:t>
            </w:r>
          </w:p>
        </w:tc>
      </w:tr>
      <w:tr>
        <w:tc>
          <w:tcPr>
            <w:tcW w:type="dxa" w:w="3000"/>
            <w:shd w:fill="F3F4F6" w:val="clear"/>
          </w:tcPr>
          <w:p>
            <w:r>
              <w:rPr>
                <w:sz w:val="19"/>
                <w:szCs w:val="19"/>
              </w:rPr>
              <w:t xml:space="preserve">Provider Risk Intelligence</w:t>
            </w:r>
          </w:p>
        </w:tc>
        <w:tc>
          <w:tcPr>
            <w:tcW w:type="dxa" w:w="3000"/>
            <w:shd w:fill="F3F4F6" w:val="clear"/>
          </w:tcPr>
          <w:p>
            <w:r>
              <w:rPr>
                <w:sz w:val="19"/>
                <w:szCs w:val="19"/>
              </w:rPr>
              <w:t xml:space="preserve">Who to investigate, sized to real team capacity</w:t>
            </w:r>
          </w:p>
        </w:tc>
        <w:tc>
          <w:tcPr>
            <w:tcW w:type="dxa" w:w="3000"/>
            <w:shd w:fill="F3F4F6" w:val="clear"/>
          </w:tcPr>
          <w:p>
            <w:r>
              <w:rPr>
                <w:sz w:val="19"/>
                <w:szCs w:val="19"/>
              </w:rPr>
              <w:t xml:space="preserve">Fraud investigators (UPICs)</w:t>
            </w:r>
          </w:p>
        </w:tc>
      </w:tr>
      <w:tr>
        <w:tc>
          <w:tcPr>
            <w:tcW w:type="dxa" w:w="3000"/>
            <w:shd w:fill="FFFFFF" w:val="clear"/>
          </w:tcPr>
          <w:p>
            <w:r>
              <w:rPr>
                <w:sz w:val="19"/>
                <w:szCs w:val="19"/>
              </w:rPr>
              <w:t xml:space="preserve">Operational Efficiency</w:t>
            </w:r>
          </w:p>
        </w:tc>
        <w:tc>
          <w:tcPr>
            <w:tcW w:type="dxa" w:w="3000"/>
            <w:shd w:fill="FFFFFF" w:val="clear"/>
          </w:tcPr>
          <w:p>
            <w:r>
              <w:rPr>
                <w:sz w:val="19"/>
                <w:szCs w:val="19"/>
              </w:rPr>
              <w:t xml:space="preserve">Which providers' payments to hold, right now</w:t>
            </w:r>
          </w:p>
        </w:tc>
        <w:tc>
          <w:tcPr>
            <w:tcW w:type="dxa" w:w="3000"/>
            <w:shd w:fill="FFFFFF" w:val="clear"/>
          </w:tcPr>
          <w:p>
            <w:r>
              <w:rPr>
                <w:sz w:val="19"/>
                <w:szCs w:val="19"/>
              </w:rPr>
              <w:t xml:space="preserve">Clinical/compliance auditors</w:t>
            </w:r>
          </w:p>
        </w:tc>
      </w:tr>
      <w:tr>
        <w:tc>
          <w:tcPr>
            <w:tcW w:type="dxa" w:w="3000"/>
            <w:shd w:fill="F3F4F6" w:val="clear"/>
          </w:tcPr>
          <w:p>
            <w:r>
              <w:rPr>
                <w:sz w:val="19"/>
                <w:szCs w:val="19"/>
              </w:rPr>
              <w:t xml:space="preserve">Population Health</w:t>
            </w:r>
          </w:p>
        </w:tc>
        <w:tc>
          <w:tcPr>
            <w:tcW w:type="dxa" w:w="3000"/>
            <w:shd w:fill="F3F4F6" w:val="clear"/>
          </w:tcPr>
          <w:p>
            <w:r>
              <w:rPr>
                <w:sz w:val="19"/>
                <w:szCs w:val="19"/>
              </w:rPr>
              <w:t xml:space="preserve">Who to enroll in care management, given staffing limits</w:t>
            </w:r>
          </w:p>
        </w:tc>
        <w:tc>
          <w:tcPr>
            <w:tcW w:type="dxa" w:w="3000"/>
            <w:shd w:fill="F3F4F6" w:val="clear"/>
          </w:tcPr>
          <w:p>
            <w:r>
              <w:rPr>
                <w:sz w:val="19"/>
                <w:szCs w:val="19"/>
              </w:rPr>
              <w:t xml:space="preserve">Care management teams</w:t>
            </w:r>
          </w:p>
        </w:tc>
      </w:tr>
      <w:tr>
        <w:tc>
          <w:tcPr>
            <w:tcW w:type="dxa" w:w="3000"/>
            <w:shd w:fill="FFFFFF" w:val="clear"/>
          </w:tcPr>
          <w:p>
            <w:r>
              <w:rPr>
                <w:sz w:val="19"/>
                <w:szCs w:val="19"/>
              </w:rPr>
              <w:t xml:space="preserve">Geographic &amp; Trends</w:t>
            </w:r>
          </w:p>
        </w:tc>
        <w:tc>
          <w:tcPr>
            <w:tcW w:type="dxa" w:w="3000"/>
            <w:shd w:fill="FFFFFF" w:val="clear"/>
          </w:tcPr>
          <w:p>
            <w:r>
              <w:rPr>
                <w:sz w:val="19"/>
                <w:szCs w:val="19"/>
              </w:rPr>
              <w:t xml:space="preserve">Where fraud and spend are concentrated</w:t>
            </w:r>
          </w:p>
        </w:tc>
        <w:tc>
          <w:tcPr>
            <w:tcW w:type="dxa" w:w="3000"/>
            <w:shd w:fill="FFFFFF" w:val="clear"/>
          </w:tcPr>
          <w:p>
            <w:r>
              <w:rPr>
                <w:sz w:val="19"/>
                <w:szCs w:val="19"/>
              </w:rPr>
              <w:t xml:space="preserve">Regional directors</w:t>
            </w:r>
          </w:p>
        </w:tc>
      </w:tr>
      <w:tr>
        <w:tc>
          <w:tcPr>
            <w:tcW w:type="dxa" w:w="3000"/>
            <w:shd w:fill="F3F4F6" w:val="clear"/>
          </w:tcPr>
          <w:p>
            <w:r>
              <w:rPr>
                <w:sz w:val="19"/>
                <w:szCs w:val="19"/>
              </w:rPr>
              <w:t xml:space="preserve">Executive Command Center</w:t>
            </w:r>
          </w:p>
        </w:tc>
        <w:tc>
          <w:tcPr>
            <w:tcW w:type="dxa" w:w="3000"/>
            <w:shd w:fill="F3F4F6" w:val="clear"/>
          </w:tcPr>
          <w:p>
            <w:r>
              <w:rPr>
                <w:sz w:val="19"/>
                <w:szCs w:val="19"/>
              </w:rPr>
              <w:t xml:space="preserve">Is anything urgent happening right now</w:t>
            </w:r>
          </w:p>
        </w:tc>
        <w:tc>
          <w:tcPr>
            <w:tcW w:type="dxa" w:w="3000"/>
            <w:shd w:fill="F3F4F6" w:val="clear"/>
          </w:tcPr>
          <w:p>
            <w:r>
              <w:rPr>
                <w:sz w:val="19"/>
                <w:szCs w:val="19"/>
              </w:rPr>
              <w:t xml:space="preserve">CMS leadership</w:t>
            </w:r>
          </w:p>
        </w:tc>
      </w:tr>
    </w:tbl>
    <w:p>
      <w:r>
        <w:br w:type="page"/>
      </w:r>
    </w:p>
    <w:p>
      <w:pPr>
        <w:pStyle w:val="Heading1"/>
        <w:spacing w:after="200" w:before="400"/>
      </w:pPr>
      <w:r>
        <w:rPr>
          <w:b/>
          <w:bCs/>
          <w:color w:val="1B2A4A"/>
          <w:sz w:val="32"/>
          <w:szCs w:val="32"/>
        </w:rPr>
        <w:t xml:space="preserve">Page 1: Executive Command Center</w:t>
      </w:r>
    </w:p>
    <w:p>
      <w:pPr>
        <w:spacing w:after="40" w:before="150"/>
      </w:pPr>
      <w:r>
        <w:rPr>
          <w:b/>
          <w:bCs/>
          <w:color w:val="1B2A4A"/>
          <w:sz w:val="21"/>
          <w:szCs w:val="21"/>
        </w:rPr>
        <w:t xml:space="preserve">Audience:</w:t>
      </w:r>
    </w:p>
    <w:p>
      <w:pPr>
        <w:spacing w:after="150" w:line="300"/>
      </w:pPr>
      <w:r>
        <w:rPr>
          <w:sz w:val="21"/>
          <w:szCs w:val="21"/>
        </w:rPr>
        <w:t xml:space="preserve">CMS senior leadership.</w:t>
      </w:r>
    </w:p>
    <w:p>
      <w:pPr>
        <w:spacing w:after="40" w:before="150"/>
      </w:pPr>
      <w:r>
        <w:rPr>
          <w:b/>
          <w:bCs/>
          <w:color w:val="1B2A4A"/>
          <w:sz w:val="21"/>
          <w:szCs w:val="21"/>
        </w:rPr>
        <w:t xml:space="preserve">Page purpose:</w:t>
      </w:r>
    </w:p>
    <w:p>
      <w:pPr>
        <w:spacing w:after="150" w:line="300"/>
      </w:pPr>
      <w:r>
        <w:rPr>
          <w:sz w:val="21"/>
          <w:szCs w:val="21"/>
        </w:rPr>
        <w:t xml:space="preserve">A five-second health check. No interactive tools by design — this page is meant to be read at a glance, not analyzed.</w:t>
      </w:r>
    </w:p>
    <w:p>
      <w:pPr>
        <w:pBdr>
          <w:bottom w:val="single" w:color="D1D5DB" w:sz="6" w:space="4"/>
        </w:pBdr>
        <w:spacing w:after="200" w:before="100"/>
      </w:pPr>
      <w:r>
        <w:t xml:space="preserve"/>
      </w:r>
    </w:p>
    <w:p>
      <w:pPr>
        <w:spacing w:after="80" w:before="200"/>
      </w:pPr>
      <w:r>
        <w:rPr>
          <w:b/>
          <w:bCs/>
          <w:color w:val="1B2A4A"/>
          <w:sz w:val="23"/>
          <w:szCs w:val="23"/>
        </w:rPr>
        <w:t xml:space="preserve">Total Reimbursement, Total Claims, Fraud Rate %, Fraud Providers, At Risk / Outlier counts (KPI cards)</w:t>
      </w:r>
    </w:p>
    <w:p>
      <w:pPr>
        <w:spacing w:after="60"/>
      </w:pPr>
      <w:r>
        <w:rPr>
          <w:b/>
          <w:bCs/>
          <w:color w:val="6B7280"/>
          <w:sz w:val="20"/>
          <w:szCs w:val="20"/>
        </w:rPr>
        <w:t xml:space="preserve">What it shows: </w:t>
      </w:r>
      <w:r>
        <w:rPr>
          <w:sz w:val="20"/>
          <w:szCs w:val="20"/>
        </w:rPr>
        <w:t xml:space="preserve">The core program-wide totals — verified at $556.5M total reimbursement and a 9.35% national fraud rate.</w:t>
      </w:r>
    </w:p>
    <w:p>
      <w:pPr>
        <w:spacing w:after="200"/>
      </w:pPr>
      <w:r>
        <w:rPr>
          <w:b/>
          <w:bCs/>
          <w:color w:val="6B7280"/>
          <w:sz w:val="20"/>
          <w:szCs w:val="20"/>
        </w:rPr>
        <w:t xml:space="preserve">Business decision it supports: </w:t>
      </w:r>
      <w:r>
        <w:rPr>
          <w:i/>
          <w:iCs/>
          <w:sz w:val="20"/>
          <w:szCs w:val="20"/>
        </w:rPr>
        <w:t xml:space="preserve">The anchor numbers for every other conversation on the dashboard; the first thing anyone checks to gauge whether this is a normal period.</w:t>
      </w:r>
    </w:p>
    <w:p>
      <w:pPr>
        <w:spacing w:after="80" w:before="200"/>
      </w:pPr>
      <w:r>
        <w:rPr>
          <w:b/>
          <w:bCs/>
          <w:color w:val="1B2A4A"/>
          <w:sz w:val="23"/>
          <w:szCs w:val="23"/>
        </w:rPr>
        <w:t xml:space="preserve">Alert Strip</w:t>
      </w:r>
    </w:p>
    <w:p>
      <w:pPr>
        <w:spacing w:after="60"/>
      </w:pPr>
      <w:r>
        <w:rPr>
          <w:b/>
          <w:bCs/>
          <w:color w:val="6B7280"/>
          <w:sz w:val="20"/>
          <w:szCs w:val="20"/>
        </w:rPr>
        <w:t xml:space="preserve">What it shows: </w:t>
      </w:r>
      <w:r>
        <w:rPr>
          <w:sz w:val="20"/>
          <w:szCs w:val="20"/>
        </w:rPr>
        <w:t xml:space="preserve">Automatically checks each KPI against a danger threshold and displays plain-English text describing the most urgent issue.</w:t>
      </w:r>
    </w:p>
    <w:p>
      <w:pPr>
        <w:spacing w:after="200"/>
      </w:pPr>
      <w:r>
        <w:rPr>
          <w:b/>
          <w:bCs/>
          <w:color w:val="6B7280"/>
          <w:sz w:val="20"/>
          <w:szCs w:val="20"/>
        </w:rPr>
        <w:t xml:space="preserve">Business decision it supports: </w:t>
      </w:r>
      <w:r>
        <w:rPr>
          <w:i/>
          <w:iCs/>
          <w:sz w:val="20"/>
          <w:szCs w:val="20"/>
        </w:rPr>
        <w:t xml:space="preserve">Removes the need to scan the whole page — tells leadership exactly where to look first.</w:t>
      </w:r>
    </w:p>
    <w:p>
      <w:pPr>
        <w:spacing w:after="80" w:before="200"/>
      </w:pPr>
      <w:r>
        <w:rPr>
          <w:b/>
          <w:bCs/>
          <w:color w:val="1B2A4A"/>
          <w:sz w:val="23"/>
          <w:szCs w:val="23"/>
        </w:rPr>
        <w:t xml:space="preserve">Year / Region / Claim Type / Fraud Label (slicers)</w:t>
      </w:r>
    </w:p>
    <w:p>
      <w:pPr>
        <w:spacing w:after="60"/>
      </w:pPr>
      <w:r>
        <w:rPr>
          <w:b/>
          <w:bCs/>
          <w:color w:val="6B7280"/>
          <w:sz w:val="20"/>
          <w:szCs w:val="20"/>
        </w:rPr>
        <w:t xml:space="preserve">What it shows: </w:t>
      </w:r>
      <w:r>
        <w:rPr>
          <w:sz w:val="20"/>
          <w:szCs w:val="20"/>
        </w:rPr>
        <w:t xml:space="preserve">Re-scopes every number on the page to a specific slice of the data.</w:t>
      </w:r>
    </w:p>
    <w:p>
      <w:pPr>
        <w:spacing w:after="200"/>
      </w:pPr>
      <w:r>
        <w:rPr>
          <w:b/>
          <w:bCs/>
          <w:color w:val="6B7280"/>
          <w:sz w:val="20"/>
          <w:szCs w:val="20"/>
        </w:rPr>
        <w:t xml:space="preserve">Business decision it supports: </w:t>
      </w:r>
      <w:r>
        <w:rPr>
          <w:i/>
          <w:iCs/>
          <w:sz w:val="20"/>
          <w:szCs w:val="20"/>
        </w:rPr>
        <w:t xml:space="preserve">Answers the natural follow-up question: is this a national issue, or concentrated somewhere specific?</w:t>
      </w:r>
    </w:p>
    <w:p>
      <w:pPr>
        <w:spacing w:after="80" w:before="200"/>
      </w:pPr>
      <w:r>
        <w:rPr>
          <w:b/>
          <w:bCs/>
          <w:color w:val="1B2A4A"/>
          <w:sz w:val="23"/>
          <w:szCs w:val="23"/>
        </w:rPr>
        <w:t xml:space="preserve">Reimbursement Trend (line chart)</w:t>
      </w:r>
    </w:p>
    <w:p>
      <w:pPr>
        <w:spacing w:after="60"/>
      </w:pPr>
      <w:r>
        <w:rPr>
          <w:b/>
          <w:bCs/>
          <w:color w:val="6B7280"/>
          <w:sz w:val="20"/>
          <w:szCs w:val="20"/>
        </w:rPr>
        <w:t xml:space="preserve">What it shows: </w:t>
      </w:r>
      <w:r>
        <w:rPr>
          <w:sz w:val="20"/>
          <w:szCs w:val="20"/>
        </w:rPr>
        <w:t xml:space="preserve">Shows whether total spend is rising, falling, or following a seasonal pattern.</w:t>
      </w:r>
    </w:p>
    <w:p>
      <w:pPr>
        <w:spacing w:after="200"/>
      </w:pPr>
      <w:r>
        <w:rPr>
          <w:b/>
          <w:bCs/>
          <w:color w:val="6B7280"/>
          <w:sz w:val="20"/>
          <w:szCs w:val="20"/>
        </w:rPr>
        <w:t xml:space="preserve">Business decision it supports: </w:t>
      </w:r>
      <w:r>
        <w:rPr>
          <w:i/>
          <w:iCs/>
          <w:sz w:val="20"/>
          <w:szCs w:val="20"/>
        </w:rPr>
        <w:t xml:space="preserve">Supports budget and reserve planning.</w:t>
      </w:r>
    </w:p>
    <w:p>
      <w:pPr>
        <w:spacing w:after="80" w:before="200"/>
      </w:pPr>
      <w:r>
        <w:rPr>
          <w:b/>
          <w:bCs/>
          <w:color w:val="1B2A4A"/>
          <w:sz w:val="23"/>
          <w:szCs w:val="23"/>
        </w:rPr>
        <w:t xml:space="preserve">Claims by Type (donut chart)</w:t>
      </w:r>
    </w:p>
    <w:p>
      <w:pPr>
        <w:spacing w:after="60"/>
      </w:pPr>
      <w:r>
        <w:rPr>
          <w:b/>
          <w:bCs/>
          <w:color w:val="6B7280"/>
          <w:sz w:val="20"/>
          <w:szCs w:val="20"/>
        </w:rPr>
        <w:t xml:space="preserve">What it shows: </w:t>
      </w:r>
      <w:r>
        <w:rPr>
          <w:sz w:val="20"/>
          <w:szCs w:val="20"/>
        </w:rPr>
        <w:t xml:space="preserve">The Inpatient vs Outpatient split.</w:t>
      </w:r>
    </w:p>
    <w:p>
      <w:pPr>
        <w:spacing w:after="200"/>
      </w:pPr>
      <w:r>
        <w:rPr>
          <w:b/>
          <w:bCs/>
          <w:color w:val="6B7280"/>
          <w:sz w:val="20"/>
          <w:szCs w:val="20"/>
        </w:rPr>
        <w:t xml:space="preserve">Business decision it supports: </w:t>
      </w:r>
      <w:r>
        <w:rPr>
          <w:i/>
          <w:iCs/>
          <w:sz w:val="20"/>
          <w:szCs w:val="20"/>
        </w:rPr>
        <w:t xml:space="preserve">Informs audit team resourcing between IP and OP specialization.</w:t>
      </w:r>
    </w:p>
    <w:p>
      <w:pPr>
        <w:spacing w:after="80" w:before="200"/>
      </w:pPr>
      <w:r>
        <w:rPr>
          <w:b/>
          <w:bCs/>
          <w:color w:val="1B2A4A"/>
          <w:sz w:val="23"/>
          <w:szCs w:val="23"/>
        </w:rPr>
        <w:t xml:space="preserve">Top States by Claims (bar chart)</w:t>
      </w:r>
    </w:p>
    <w:p>
      <w:pPr>
        <w:spacing w:after="60"/>
      </w:pPr>
      <w:r>
        <w:rPr>
          <w:b/>
          <w:bCs/>
          <w:color w:val="6B7280"/>
          <w:sz w:val="20"/>
          <w:szCs w:val="20"/>
        </w:rPr>
        <w:t xml:space="preserve">What it shows: </w:t>
      </w:r>
      <w:r>
        <w:rPr>
          <w:sz w:val="20"/>
          <w:szCs w:val="20"/>
        </w:rPr>
        <w:t xml:space="preserve">A ranked list of the highest-volume states.</w:t>
      </w:r>
    </w:p>
    <w:p>
      <w:pPr>
        <w:spacing w:after="200"/>
      </w:pPr>
      <w:r>
        <w:rPr>
          <w:b/>
          <w:bCs/>
          <w:color w:val="6B7280"/>
          <w:sz w:val="20"/>
          <w:szCs w:val="20"/>
        </w:rPr>
        <w:t xml:space="preserve">Business decision it supports: </w:t>
      </w:r>
      <w:r>
        <w:rPr>
          <w:i/>
          <w:iCs/>
          <w:sz w:val="20"/>
          <w:szCs w:val="20"/>
        </w:rPr>
        <w:t xml:space="preserve">Fastest possible answer to 'where is the volume,' without opening the Geographic page.</w:t>
      </w:r>
    </w:p>
    <w:p>
      <w:pPr>
        <w:spacing w:after="80" w:before="200"/>
      </w:pPr>
      <w:r>
        <w:rPr>
          <w:b/>
          <w:bCs/>
          <w:color w:val="1B2A4A"/>
          <w:sz w:val="23"/>
          <w:szCs w:val="23"/>
        </w:rPr>
        <w:t xml:space="preserve">Executive Summary — At a Glance (text card)</w:t>
      </w:r>
    </w:p>
    <w:p>
      <w:pPr>
        <w:spacing w:after="60"/>
      </w:pPr>
      <w:r>
        <w:rPr>
          <w:b/>
          <w:bCs/>
          <w:color w:val="6B7280"/>
          <w:sz w:val="20"/>
          <w:szCs w:val="20"/>
        </w:rPr>
        <w:t xml:space="preserve">What it shows: </w:t>
      </w:r>
      <w:r>
        <w:rPr>
          <w:sz w:val="20"/>
          <w:szCs w:val="20"/>
        </w:rPr>
        <w:t xml:space="preserve">A single compact line pulling live figures from three other decision pages at once: total reimbursement, fraud rate and dollar exposure, provider count and reimbursement at the current investigation risk threshold, beneficiaries recommended for care management enrollment, and dollar exposure currently under billing pattern review. Replaces an earlier standalone fraud-only summary text.</w:t>
      </w:r>
    </w:p>
    <w:p>
      <w:pPr>
        <w:spacing w:after="200"/>
      </w:pPr>
      <w:r>
        <w:rPr>
          <w:b/>
          <w:bCs/>
          <w:color w:val="6B7280"/>
          <w:sz w:val="20"/>
          <w:szCs w:val="20"/>
        </w:rPr>
        <w:t xml:space="preserve">Business decision it supports: </w:t>
      </w:r>
      <w:r>
        <w:rPr>
          <w:i/>
          <w:iCs/>
          <w:sz w:val="20"/>
          <w:szCs w:val="20"/>
        </w:rPr>
        <w:t xml:space="preserve">Gives leadership a single, one-glance summary of the most urgent figures across the whole platform, with a clear reason to click into whichever page actually needs attention that day.</w:t>
      </w:r>
    </w:p>
    <w:p>
      <w:r>
        <w:br w:type="page"/>
      </w:r>
    </w:p>
    <w:p>
      <w:pPr>
        <w:pStyle w:val="Heading1"/>
        <w:spacing w:after="200" w:before="400"/>
      </w:pPr>
      <w:r>
        <w:rPr>
          <w:b/>
          <w:bCs/>
          <w:color w:val="1B2A4A"/>
          <w:sz w:val="32"/>
          <w:szCs w:val="32"/>
        </w:rPr>
        <w:t xml:space="preserve">Page 2: Financial Intelligence</w:t>
      </w:r>
    </w:p>
    <w:p>
      <w:pPr>
        <w:spacing w:after="40" w:before="150"/>
      </w:pPr>
      <w:r>
        <w:rPr>
          <w:b/>
          <w:bCs/>
          <w:color w:val="1B2A4A"/>
          <w:sz w:val="21"/>
          <w:szCs w:val="21"/>
        </w:rPr>
        <w:t xml:space="preserve">Audience:</w:t>
      </w:r>
    </w:p>
    <w:p>
      <w:pPr>
        <w:spacing w:after="150" w:line="300"/>
      </w:pPr>
      <w:r>
        <w:rPr>
          <w:sz w:val="21"/>
          <w:szCs w:val="21"/>
        </w:rPr>
        <w:t xml:space="preserve">CMS finance and actuarial staff.</w:t>
      </w:r>
    </w:p>
    <w:p>
      <w:pPr>
        <w:spacing w:after="40" w:before="150"/>
      </w:pPr>
      <w:r>
        <w:rPr>
          <w:b/>
          <w:bCs/>
          <w:color w:val="1B2A4A"/>
          <w:sz w:val="21"/>
          <w:szCs w:val="21"/>
        </w:rPr>
        <w:t xml:space="preserve">Page purpose:</w:t>
      </w:r>
    </w:p>
    <w:p>
      <w:pPr>
        <w:spacing w:after="150" w:line="300"/>
      </w:pPr>
      <w:r>
        <w:rPr>
          <w:sz w:val="21"/>
          <w:szCs w:val="21"/>
        </w:rPr>
        <w:t xml:space="preserve">Built around a live reimbursement-cap calculator that lets finance test policy proposals and get a real dollar answer immediately.</w:t>
      </w:r>
    </w:p>
    <w:p>
      <w:pPr>
        <w:pBdr>
          <w:bottom w:val="single" w:color="D1D5DB" w:sz="6" w:space="4"/>
        </w:pBdr>
        <w:spacing w:after="200" w:before="100"/>
      </w:pPr>
      <w:r>
        <w:t xml:space="preserve"/>
      </w:r>
    </w:p>
    <w:p>
      <w:pPr>
        <w:spacing w:after="80" w:before="200"/>
      </w:pPr>
      <w:r>
        <w:rPr>
          <w:b/>
          <w:bCs/>
          <w:color w:val="1B2A4A"/>
          <w:sz w:val="23"/>
          <w:szCs w:val="23"/>
        </w:rPr>
        <w:t xml:space="preserve">Total / Fraud / Non-Fraud Reimbursement, Global Avg Reimbursement, Outlier Provider Count (KPI cards)</w:t>
      </w:r>
    </w:p>
    <w:p>
      <w:pPr>
        <w:spacing w:after="60"/>
      </w:pPr>
      <w:r>
        <w:rPr>
          <w:b/>
          <w:bCs/>
          <w:color w:val="6B7280"/>
          <w:sz w:val="20"/>
          <w:szCs w:val="20"/>
        </w:rPr>
        <w:t xml:space="preserve">What it shows: </w:t>
      </w:r>
      <w:r>
        <w:rPr>
          <w:sz w:val="20"/>
          <w:szCs w:val="20"/>
        </w:rPr>
        <w:t xml:space="preserve">Core financial totals split between fraud-labeled and clean providers.</w:t>
      </w:r>
    </w:p>
    <w:p>
      <w:pPr>
        <w:spacing w:after="200"/>
      </w:pPr>
      <w:r>
        <w:rPr>
          <w:b/>
          <w:bCs/>
          <w:color w:val="6B7280"/>
          <w:sz w:val="20"/>
          <w:szCs w:val="20"/>
        </w:rPr>
        <w:t xml:space="preserve">Business decision it supports: </w:t>
      </w:r>
      <w:r>
        <w:rPr>
          <w:i/>
          <w:iCs/>
          <w:sz w:val="20"/>
          <w:szCs w:val="20"/>
        </w:rPr>
        <w:t xml:space="preserve">The dollar-level starting point before deeper analysis.</w:t>
      </w:r>
    </w:p>
    <w:p>
      <w:pPr>
        <w:spacing w:after="80" w:before="200"/>
      </w:pPr>
      <w:r>
        <w:rPr>
          <w:b/>
          <w:bCs/>
          <w:color w:val="1B2A4A"/>
          <w:sz w:val="23"/>
          <w:szCs w:val="23"/>
        </w:rPr>
        <w:t xml:space="preserve">Cap Amount Slider</w:t>
      </w:r>
    </w:p>
    <w:p>
      <w:pPr>
        <w:spacing w:after="60"/>
      </w:pPr>
      <w:r>
        <w:rPr>
          <w:b/>
          <w:bCs/>
          <w:color w:val="6B7280"/>
          <w:sz w:val="20"/>
          <w:szCs w:val="20"/>
        </w:rPr>
        <w:t xml:space="preserve">What it shows: </w:t>
      </w:r>
      <w:r>
        <w:rPr>
          <w:sz w:val="20"/>
          <w:szCs w:val="20"/>
        </w:rPr>
        <w:t xml:space="preserve">A draggable control from $5,000 to $50,000 representing a hypothetical maximum reimbursement per claim.</w:t>
      </w:r>
    </w:p>
    <w:p>
      <w:pPr>
        <w:spacing w:after="200"/>
      </w:pPr>
      <w:r>
        <w:rPr>
          <w:b/>
          <w:bCs/>
          <w:color w:val="6B7280"/>
          <w:sz w:val="20"/>
          <w:szCs w:val="20"/>
        </w:rPr>
        <w:t xml:space="preserve">Business decision it supports: </w:t>
      </w:r>
      <w:r>
        <w:rPr>
          <w:i/>
          <w:iCs/>
          <w:sz w:val="20"/>
          <w:szCs w:val="20"/>
        </w:rPr>
        <w:t xml:space="preserve">Lets finance test 'what if we capped payouts at this level' instantly, no query needed.</w:t>
      </w:r>
    </w:p>
    <w:p>
      <w:pPr>
        <w:spacing w:after="80" w:before="200"/>
      </w:pPr>
      <w:r>
        <w:rPr>
          <w:b/>
          <w:bCs/>
          <w:color w:val="1B2A4A"/>
          <w:sz w:val="23"/>
          <w:szCs w:val="23"/>
        </w:rPr>
        <w:t xml:space="preserve">Capped Reimbursement, Cap Savings $, Claims Affected by Cap, % Claims Affected by Cap (KPI cards)</w:t>
      </w:r>
    </w:p>
    <w:p>
      <w:pPr>
        <w:spacing w:after="60"/>
      </w:pPr>
      <w:r>
        <w:rPr>
          <w:b/>
          <w:bCs/>
          <w:color w:val="6B7280"/>
          <w:sz w:val="20"/>
          <w:szCs w:val="20"/>
        </w:rPr>
        <w:t xml:space="preserve">What it shows: </w:t>
      </w:r>
      <w:r>
        <w:rPr>
          <w:sz w:val="20"/>
          <w:szCs w:val="20"/>
        </w:rPr>
        <w:t xml:space="preserve">Live numbers tied to the slider. At the verified $20,000 cap: roughly $496.2M capped reimbursement, $60.3M in savings, 3,968 claims affected (0.71%).</w:t>
      </w:r>
    </w:p>
    <w:p>
      <w:pPr>
        <w:spacing w:after="200"/>
      </w:pPr>
      <w:r>
        <w:rPr>
          <w:b/>
          <w:bCs/>
          <w:color w:val="6B7280"/>
          <w:sz w:val="20"/>
          <w:szCs w:val="20"/>
        </w:rPr>
        <w:t xml:space="preserve">Business decision it supports: </w:t>
      </w:r>
      <w:r>
        <w:rPr>
          <w:i/>
          <w:iCs/>
          <w:sz w:val="20"/>
          <w:szCs w:val="20"/>
        </w:rPr>
        <w:t xml:space="preserve">A complete, defensible business case for a cap policy in one glance — large savings, tiny affected share.</w:t>
      </w:r>
    </w:p>
    <w:p>
      <w:pPr>
        <w:spacing w:after="80" w:before="200"/>
      </w:pPr>
      <w:r>
        <w:rPr>
          <w:b/>
          <w:bCs/>
          <w:color w:val="1B2A4A"/>
          <w:sz w:val="23"/>
          <w:szCs w:val="23"/>
        </w:rPr>
        <w:t xml:space="preserve">Year / Month / State / Claim Type (slicers)</w:t>
      </w:r>
    </w:p>
    <w:p>
      <w:pPr>
        <w:spacing w:after="60"/>
      </w:pPr>
      <w:r>
        <w:rPr>
          <w:b/>
          <w:bCs/>
          <w:color w:val="6B7280"/>
          <w:sz w:val="20"/>
          <w:szCs w:val="20"/>
        </w:rPr>
        <w:t xml:space="preserve">What it shows: </w:t>
      </w:r>
      <w:r>
        <w:rPr>
          <w:sz w:val="20"/>
          <w:szCs w:val="20"/>
        </w:rPr>
        <w:t xml:space="preserve">Scopes the cap analysis and every other visual on the page.</w:t>
      </w:r>
    </w:p>
    <w:p>
      <w:pPr>
        <w:spacing w:after="200"/>
      </w:pPr>
      <w:r>
        <w:rPr>
          <w:b/>
          <w:bCs/>
          <w:color w:val="6B7280"/>
          <w:sz w:val="20"/>
          <w:szCs w:val="20"/>
        </w:rPr>
        <w:t xml:space="preserve">Business decision it supports: </w:t>
      </w:r>
      <w:r>
        <w:rPr>
          <w:i/>
          <w:iCs/>
          <w:sz w:val="20"/>
          <w:szCs w:val="20"/>
        </w:rPr>
        <w:t xml:space="preserve">Supports region- or period-specific financial questions.</w:t>
      </w:r>
    </w:p>
    <w:p>
      <w:pPr>
        <w:spacing w:after="80" w:before="200"/>
      </w:pPr>
      <w:r>
        <w:rPr>
          <w:b/>
          <w:bCs/>
          <w:color w:val="1B2A4A"/>
          <w:sz w:val="23"/>
          <w:szCs w:val="23"/>
        </w:rPr>
        <w:t xml:space="preserve">Reimbursement Trend with MoM Growth (line chart)</w:t>
      </w:r>
    </w:p>
    <w:p>
      <w:pPr>
        <w:spacing w:after="60"/>
      </w:pPr>
      <w:r>
        <w:rPr>
          <w:b/>
          <w:bCs/>
          <w:color w:val="6B7280"/>
          <w:sz w:val="20"/>
          <w:szCs w:val="20"/>
        </w:rPr>
        <w:t xml:space="preserve">What it shows: </w:t>
      </w:r>
      <w:r>
        <w:rPr>
          <w:sz w:val="20"/>
          <w:szCs w:val="20"/>
        </w:rPr>
        <w:t xml:space="preserve">Total reimbursement over time alongside month-over-month percentage change.</w:t>
      </w:r>
    </w:p>
    <w:p>
      <w:pPr>
        <w:spacing w:after="200"/>
      </w:pPr>
      <w:r>
        <w:rPr>
          <w:b/>
          <w:bCs/>
          <w:color w:val="6B7280"/>
          <w:sz w:val="20"/>
          <w:szCs w:val="20"/>
        </w:rPr>
        <w:t xml:space="preserve">Business decision it supports: </w:t>
      </w:r>
      <w:r>
        <w:rPr>
          <w:i/>
          <w:iCs/>
          <w:sz w:val="20"/>
          <w:szCs w:val="20"/>
        </w:rPr>
        <w:t xml:space="preserve">Catches a bad month before it compounds into a bad quarter.</w:t>
      </w:r>
    </w:p>
    <w:p>
      <w:pPr>
        <w:spacing w:after="80" w:before="200"/>
      </w:pPr>
      <w:r>
        <w:rPr>
          <w:b/>
          <w:bCs/>
          <w:color w:val="1B2A4A"/>
          <w:sz w:val="23"/>
          <w:szCs w:val="23"/>
        </w:rPr>
        <w:t xml:space="preserve">Reimbursement by Provider (column chart)</w:t>
      </w:r>
    </w:p>
    <w:p>
      <w:pPr>
        <w:spacing w:after="60"/>
      </w:pPr>
      <w:r>
        <w:rPr>
          <w:b/>
          <w:bCs/>
          <w:color w:val="6B7280"/>
          <w:sz w:val="20"/>
          <w:szCs w:val="20"/>
        </w:rPr>
        <w:t xml:space="preserve">What it shows: </w:t>
      </w:r>
      <w:r>
        <w:rPr>
          <w:sz w:val="20"/>
          <w:szCs w:val="20"/>
        </w:rPr>
        <w:t xml:space="preserve">Ranks providers by total reimbursement.</w:t>
      </w:r>
    </w:p>
    <w:p>
      <w:pPr>
        <w:spacing w:after="200"/>
      </w:pPr>
      <w:r>
        <w:rPr>
          <w:b/>
          <w:bCs/>
          <w:color w:val="6B7280"/>
          <w:sz w:val="20"/>
          <w:szCs w:val="20"/>
        </w:rPr>
        <w:t xml:space="preserve">Business decision it supports: </w:t>
      </w:r>
      <w:r>
        <w:rPr>
          <w:i/>
          <w:iCs/>
          <w:sz w:val="20"/>
          <w:szCs w:val="20"/>
        </w:rPr>
        <w:t xml:space="preserve">Shows exactly where to start if only a handful of providers can be investigated by dollar impact.</w:t>
      </w:r>
    </w:p>
    <w:p>
      <w:pPr>
        <w:spacing w:after="80" w:before="200"/>
      </w:pPr>
      <w:r>
        <w:rPr>
          <w:b/>
          <w:bCs/>
          <w:color w:val="1B2A4A"/>
          <w:sz w:val="23"/>
          <w:szCs w:val="23"/>
        </w:rPr>
        <w:t xml:space="preserve">Provider Cost Benchmark (table)</w:t>
      </w:r>
    </w:p>
    <w:p>
      <w:pPr>
        <w:spacing w:after="60"/>
      </w:pPr>
      <w:r>
        <w:rPr>
          <w:b/>
          <w:bCs/>
          <w:color w:val="6B7280"/>
          <w:sz w:val="20"/>
          <w:szCs w:val="20"/>
        </w:rPr>
        <w:t xml:space="preserve">What it shows: </w:t>
      </w:r>
      <w:r>
        <w:rPr>
          <w:sz w:val="20"/>
          <w:szCs w:val="20"/>
        </w:rPr>
        <w:t xml:space="preserve">Providers' average reimbursement per claim compared to the national average.</w:t>
      </w:r>
    </w:p>
    <w:p>
      <w:pPr>
        <w:spacing w:after="200"/>
      </w:pPr>
      <w:r>
        <w:rPr>
          <w:b/>
          <w:bCs/>
          <w:color w:val="6B7280"/>
          <w:sz w:val="20"/>
          <w:szCs w:val="20"/>
        </w:rPr>
        <w:t xml:space="preserve">Business decision it supports: </w:t>
      </w:r>
      <w:r>
        <w:rPr>
          <w:i/>
          <w:iCs/>
          <w:sz w:val="20"/>
          <w:szCs w:val="20"/>
        </w:rPr>
        <w:t xml:space="preserve">Identifies which providers charge meaningfully more than peers.</w:t>
      </w:r>
    </w:p>
    <w:p>
      <w:pPr>
        <w:spacing w:after="80" w:before="200"/>
      </w:pPr>
      <w:r>
        <w:rPr>
          <w:b/>
          <w:bCs/>
          <w:color w:val="1B2A4A"/>
          <w:sz w:val="23"/>
          <w:szCs w:val="23"/>
        </w:rPr>
        <w:t xml:space="preserve">Financial Exposure Waterfall</w:t>
      </w:r>
    </w:p>
    <w:p>
      <w:pPr>
        <w:spacing w:after="60"/>
      </w:pPr>
      <w:r>
        <w:rPr>
          <w:b/>
          <w:bCs/>
          <w:color w:val="6B7280"/>
          <w:sz w:val="20"/>
          <w:szCs w:val="20"/>
        </w:rPr>
        <w:t xml:space="preserve">What it shows: </w:t>
      </w:r>
      <w:r>
        <w:rPr>
          <w:sz w:val="20"/>
          <w:szCs w:val="20"/>
        </w:rPr>
        <w:t xml:space="preserve">Bridges Total Reimbursement down to fraud-attributable exposure, step by step.</w:t>
      </w:r>
    </w:p>
    <w:p>
      <w:pPr>
        <w:spacing w:after="200"/>
      </w:pPr>
      <w:r>
        <w:rPr>
          <w:b/>
          <w:bCs/>
          <w:color w:val="6B7280"/>
          <w:sz w:val="20"/>
          <w:szCs w:val="20"/>
        </w:rPr>
        <w:t xml:space="preserve">Business decision it supports: </w:t>
      </w:r>
      <w:r>
        <w:rPr>
          <w:i/>
          <w:iCs/>
          <w:sz w:val="20"/>
          <w:szCs w:val="20"/>
        </w:rPr>
        <w:t xml:space="preserve">Produces the specific, defensible dollar figure finance needs for a budget request.</w:t>
      </w:r>
    </w:p>
    <w:p>
      <w:pPr>
        <w:spacing w:after="80" w:before="200"/>
      </w:pPr>
      <w:r>
        <w:rPr>
          <w:b/>
          <w:bCs/>
          <w:color w:val="1B2A4A"/>
          <w:sz w:val="23"/>
          <w:szCs w:val="23"/>
        </w:rPr>
        <w:t xml:space="preserve">Cost Driver Analysis (Decomposition Tree)</w:t>
      </w:r>
    </w:p>
    <w:p>
      <w:pPr>
        <w:spacing w:after="60"/>
      </w:pPr>
      <w:r>
        <w:rPr>
          <w:b/>
          <w:bCs/>
          <w:color w:val="6B7280"/>
          <w:sz w:val="20"/>
          <w:szCs w:val="20"/>
        </w:rPr>
        <w:t xml:space="preserve">What it shows: </w:t>
      </w:r>
      <w:r>
        <w:rPr>
          <w:sz w:val="20"/>
          <w:szCs w:val="20"/>
        </w:rPr>
        <w:t xml:space="preserve">Click-through breakdown of Total Reimbursement by fraud label, claim type, region, and age group.</w:t>
      </w:r>
    </w:p>
    <w:p>
      <w:pPr>
        <w:spacing w:after="200"/>
      </w:pPr>
      <w:r>
        <w:rPr>
          <w:b/>
          <w:bCs/>
          <w:color w:val="6B7280"/>
          <w:sz w:val="20"/>
          <w:szCs w:val="20"/>
        </w:rPr>
        <w:t xml:space="preserve">Business decision it supports: </w:t>
      </w:r>
      <w:r>
        <w:rPr>
          <w:i/>
          <w:iCs/>
          <w:sz w:val="20"/>
          <w:szCs w:val="20"/>
        </w:rPr>
        <w:t xml:space="preserve">Self-service root-cause analysis without needing an analyst to build a custom query.</w:t>
      </w:r>
    </w:p>
    <w:p>
      <w:r>
        <w:br w:type="page"/>
      </w:r>
    </w:p>
    <w:p>
      <w:pPr>
        <w:pStyle w:val="Heading1"/>
        <w:spacing w:after="200" w:before="400"/>
      </w:pPr>
      <w:r>
        <w:rPr>
          <w:b/>
          <w:bCs/>
          <w:color w:val="1B2A4A"/>
          <w:sz w:val="32"/>
          <w:szCs w:val="32"/>
        </w:rPr>
        <w:t xml:space="preserve">Page 3: Provider Risk Intelligence</w:t>
      </w:r>
    </w:p>
    <w:p>
      <w:pPr>
        <w:spacing w:after="40" w:before="150"/>
      </w:pPr>
      <w:r>
        <w:rPr>
          <w:b/>
          <w:bCs/>
          <w:color w:val="1B2A4A"/>
          <w:sz w:val="21"/>
          <w:szCs w:val="21"/>
        </w:rPr>
        <w:t xml:space="preserve">Audience:</w:t>
      </w:r>
    </w:p>
    <w:p>
      <w:pPr>
        <w:spacing w:after="150" w:line="300"/>
      </w:pPr>
      <w:r>
        <w:rPr>
          <w:sz w:val="21"/>
          <w:szCs w:val="21"/>
        </w:rPr>
        <w:t xml:space="preserve">Fraud investigators, including CMS's contracted UPICs.</w:t>
      </w:r>
    </w:p>
    <w:p>
      <w:pPr>
        <w:spacing w:after="40" w:before="150"/>
      </w:pPr>
      <w:r>
        <w:rPr>
          <w:b/>
          <w:bCs/>
          <w:color w:val="1B2A4A"/>
          <w:sz w:val="21"/>
          <w:szCs w:val="21"/>
        </w:rPr>
        <w:t xml:space="preserve">Page purpose:</w:t>
      </w:r>
    </w:p>
    <w:p>
      <w:pPr>
        <w:spacing w:after="150" w:line="300"/>
      </w:pPr>
      <w:r>
        <w:rPr>
          <w:sz w:val="21"/>
          <w:szCs w:val="21"/>
        </w:rPr>
        <w:t xml:space="preserve">The page an investigator works from daily — identifies who is risky, explains why, and lets the team size their caseload to real capacity.</w:t>
      </w:r>
    </w:p>
    <w:p>
      <w:pPr>
        <w:pBdr>
          <w:bottom w:val="single" w:color="D1D5DB" w:sz="6" w:space="4"/>
        </w:pBdr>
        <w:spacing w:after="200" w:before="100"/>
      </w:pPr>
      <w:r>
        <w:t xml:space="preserve"/>
      </w:r>
    </w:p>
    <w:p>
      <w:pPr>
        <w:spacing w:after="80" w:before="200"/>
      </w:pPr>
      <w:r>
        <w:rPr>
          <w:b/>
          <w:bCs/>
          <w:color w:val="1B2A4A"/>
          <w:sz w:val="23"/>
          <w:szCs w:val="23"/>
        </w:rPr>
        <w:t xml:space="preserve">Total Providers, Fraud Providers, Fraud Rate %, At Risk Provider Count, Outlier Provider Count (KPI cards)</w:t>
      </w:r>
    </w:p>
    <w:p>
      <w:pPr>
        <w:spacing w:after="60"/>
      </w:pPr>
      <w:r>
        <w:rPr>
          <w:b/>
          <w:bCs/>
          <w:color w:val="6B7280"/>
          <w:sz w:val="20"/>
          <w:szCs w:val="20"/>
        </w:rPr>
        <w:t xml:space="preserve">What it shows: </w:t>
      </w:r>
      <w:r>
        <w:rPr>
          <w:sz w:val="20"/>
          <w:szCs w:val="20"/>
        </w:rPr>
        <w:t xml:space="preserve">Provider-level versions of the executive KPIs.</w:t>
      </w:r>
    </w:p>
    <w:p>
      <w:pPr>
        <w:spacing w:after="200"/>
      </w:pPr>
      <w:r>
        <w:rPr>
          <w:b/>
          <w:bCs/>
          <w:color w:val="6B7280"/>
          <w:sz w:val="20"/>
          <w:szCs w:val="20"/>
        </w:rPr>
        <w:t xml:space="preserve">Business decision it supports: </w:t>
      </w:r>
      <w:r>
        <w:rPr>
          <w:i/>
          <w:iCs/>
          <w:sz w:val="20"/>
          <w:szCs w:val="20"/>
        </w:rPr>
        <w:t xml:space="preserve">Establishes the scale of the provider-risk problem specifically.</w:t>
      </w:r>
    </w:p>
    <w:p>
      <w:pPr>
        <w:spacing w:after="80" w:before="200"/>
      </w:pPr>
      <w:r>
        <w:rPr>
          <w:b/>
          <w:bCs/>
          <w:color w:val="1B2A4A"/>
          <w:sz w:val="23"/>
          <w:szCs w:val="23"/>
        </w:rPr>
        <w:t xml:space="preserve">Provider Distribution by Risk Category (column chart)</w:t>
      </w:r>
    </w:p>
    <w:p>
      <w:pPr>
        <w:spacing w:after="60"/>
      </w:pPr>
      <w:r>
        <w:rPr>
          <w:b/>
          <w:bCs/>
          <w:color w:val="6B7280"/>
          <w:sz w:val="20"/>
          <w:szCs w:val="20"/>
        </w:rPr>
        <w:t xml:space="preserve">What it shows: </w:t>
      </w:r>
      <w:r>
        <w:rPr>
          <w:sz w:val="20"/>
          <w:szCs w:val="20"/>
        </w:rPr>
        <w:t xml:space="preserve">Count of providers in each risk tier (Clean, Low, Medium, High, Critical), based on the composite Provider Risk Score. Replaced an earlier set of five individual tier cards with one compact chart.</w:t>
      </w:r>
    </w:p>
    <w:p>
      <w:pPr>
        <w:spacing w:after="200"/>
      </w:pPr>
      <w:r>
        <w:rPr>
          <w:b/>
          <w:bCs/>
          <w:color w:val="6B7280"/>
          <w:sz w:val="20"/>
          <w:szCs w:val="20"/>
        </w:rPr>
        <w:t xml:space="preserve">Business decision it supports: </w:t>
      </w:r>
      <w:r>
        <w:rPr>
          <w:i/>
          <w:iCs/>
          <w:sz w:val="20"/>
          <w:szCs w:val="20"/>
        </w:rPr>
        <w:t xml:space="preserve">Sizes the investigation caseload at each severity level at a glance, in a correctly descending shape from Clean through Critical.</w:t>
      </w:r>
    </w:p>
    <w:p>
      <w:pPr>
        <w:spacing w:after="80" w:before="200"/>
      </w:pPr>
      <w:r>
        <w:rPr>
          <w:b/>
          <w:bCs/>
          <w:color w:val="1B2A4A"/>
          <w:sz w:val="23"/>
          <w:szCs w:val="23"/>
        </w:rPr>
        <w:t xml:space="preserve">Risk Threshold Slider</w:t>
      </w:r>
    </w:p>
    <w:p>
      <w:pPr>
        <w:spacing w:after="60"/>
      </w:pPr>
      <w:r>
        <w:rPr>
          <w:b/>
          <w:bCs/>
          <w:color w:val="6B7280"/>
          <w:sz w:val="20"/>
          <w:szCs w:val="20"/>
        </w:rPr>
        <w:t xml:space="preserve">What it shows: </w:t>
      </w:r>
      <w:r>
        <w:rPr>
          <w:sz w:val="20"/>
          <w:szCs w:val="20"/>
        </w:rPr>
        <w:t xml:space="preserve">A draggable control from 1 to 15 — matching the maximum possible Provider Risk Score — letting a team set their own investigation cutoff instead of relying on the fixed tiers.</w:t>
      </w:r>
    </w:p>
    <w:p>
      <w:pPr>
        <w:spacing w:after="200"/>
      </w:pPr>
      <w:r>
        <w:rPr>
          <w:b/>
          <w:bCs/>
          <w:color w:val="6B7280"/>
          <w:sz w:val="20"/>
          <w:szCs w:val="20"/>
        </w:rPr>
        <w:t xml:space="preserve">Business decision it supports: </w:t>
      </w:r>
      <w:r>
        <w:rPr>
          <w:i/>
          <w:iCs/>
          <w:sz w:val="20"/>
          <w:szCs w:val="20"/>
        </w:rPr>
        <w:t xml:space="preserve">Directly answers a staffing question: given real team capacity, exactly how strict does the bar need to be? Verified live: 487 providers meet the default threshold of 6, matching Critical plus High exactly.</w:t>
      </w:r>
    </w:p>
    <w:p>
      <w:pPr>
        <w:spacing w:after="80" w:before="200"/>
      </w:pPr>
      <w:r>
        <w:rPr>
          <w:b/>
          <w:bCs/>
          <w:color w:val="1B2A4A"/>
          <w:sz w:val="23"/>
          <w:szCs w:val="23"/>
        </w:rPr>
        <w:t xml:space="preserve">Investigation Caseload at Selected Threshold, Reimbursement at Risk (Selected Threshold) (KPI cards)</w:t>
      </w:r>
    </w:p>
    <w:p>
      <w:pPr>
        <w:spacing w:after="60"/>
      </w:pPr>
      <w:r>
        <w:rPr>
          <w:b/>
          <w:bCs/>
          <w:color w:val="6B7280"/>
          <w:sz w:val="20"/>
          <w:szCs w:val="20"/>
        </w:rPr>
        <w:t xml:space="preserve">What it shows: </w:t>
      </w:r>
      <w:r>
        <w:rPr>
          <w:sz w:val="20"/>
          <w:szCs w:val="20"/>
        </w:rPr>
        <w:t xml:space="preserve">Live counts tied to the slider — provider count and total dollar exposure at the chosen risk bar. During review, these were found to duplicate an older, pre-existing pair of measures built alongside the Risk Threshold parameter; the duplicates were removed and titles clarified for a first-time reader.</w:t>
      </w:r>
    </w:p>
    <w:p>
      <w:pPr>
        <w:spacing w:after="200"/>
      </w:pPr>
      <w:r>
        <w:rPr>
          <w:b/>
          <w:bCs/>
          <w:color w:val="6B7280"/>
          <w:sz w:val="20"/>
          <w:szCs w:val="20"/>
        </w:rPr>
        <w:t xml:space="preserve">Business decision it supports: </w:t>
      </w:r>
      <w:r>
        <w:rPr>
          <w:i/>
          <w:iCs/>
          <w:sz w:val="20"/>
          <w:szCs w:val="20"/>
        </w:rPr>
        <w:t xml:space="preserve">Reveals whether tightening the investigation bar meaningfully reduces dollar coverage, or just reduces headcount — the biggest-dollar cases tend to survive even a strict filter.</w:t>
      </w:r>
    </w:p>
    <w:p>
      <w:pPr>
        <w:spacing w:after="80" w:before="200"/>
      </w:pPr>
      <w:r>
        <w:rPr>
          <w:b/>
          <w:bCs/>
          <w:color w:val="1B2A4A"/>
          <w:sz w:val="23"/>
          <w:szCs w:val="23"/>
        </w:rPr>
        <w:t xml:space="preserve">Fraud Label / Risk Category / TopN Selector (slicers)</w:t>
      </w:r>
    </w:p>
    <w:p>
      <w:pPr>
        <w:spacing w:after="60"/>
      </w:pPr>
      <w:r>
        <w:rPr>
          <w:b/>
          <w:bCs/>
          <w:color w:val="6B7280"/>
          <w:sz w:val="20"/>
          <w:szCs w:val="20"/>
        </w:rPr>
        <w:t xml:space="preserve">What it shows: </w:t>
      </w:r>
      <w:r>
        <w:rPr>
          <w:sz w:val="20"/>
          <w:szCs w:val="20"/>
        </w:rPr>
        <w:t xml:space="preserve">Standard filters plus a Top-N control for ranked visuals.</w:t>
      </w:r>
    </w:p>
    <w:p>
      <w:pPr>
        <w:spacing w:after="200"/>
      </w:pPr>
      <w:r>
        <w:rPr>
          <w:b/>
          <w:bCs/>
          <w:color w:val="6B7280"/>
          <w:sz w:val="20"/>
          <w:szCs w:val="20"/>
        </w:rPr>
        <w:t xml:space="preserve">Business decision it supports: </w:t>
      </w:r>
      <w:r>
        <w:rPr>
          <w:i/>
          <w:iCs/>
          <w:sz w:val="20"/>
          <w:szCs w:val="20"/>
        </w:rPr>
        <w:t xml:space="preserve">Narrows the page to exactly the subset needed.</w:t>
      </w:r>
    </w:p>
    <w:p>
      <w:pPr>
        <w:spacing w:after="80" w:before="200"/>
      </w:pPr>
      <w:r>
        <w:rPr>
          <w:b/>
          <w:bCs/>
          <w:color w:val="1B2A4A"/>
          <w:sz w:val="23"/>
          <w:szCs w:val="23"/>
        </w:rPr>
        <w:t xml:space="preserve">Provider Risk Score — Factor Breakdown (stacked bar chart)</w:t>
      </w:r>
    </w:p>
    <w:p>
      <w:pPr>
        <w:spacing w:after="60"/>
      </w:pPr>
      <w:r>
        <w:rPr>
          <w:b/>
          <w:bCs/>
          <w:color w:val="6B7280"/>
          <w:sz w:val="20"/>
          <w:szCs w:val="20"/>
        </w:rPr>
        <w:t xml:space="preserve">What it shows: </w:t>
      </w:r>
      <w:r>
        <w:rPr>
          <w:sz w:val="20"/>
          <w:szCs w:val="20"/>
        </w:rPr>
        <w:t xml:space="preserve">Rebuilt from a single flat-colored bar into five colored segments — one per contributing factor: reimbursement anomaly, deceased-patient claims, same-day discharge rate, diagnosis code padding, and known fraud label. A reconciliation check confirmed the five factors sum exactly to the original score for every provider.</w:t>
      </w:r>
    </w:p>
    <w:p>
      <w:pPr>
        <w:spacing w:after="200"/>
      </w:pPr>
      <w:r>
        <w:rPr>
          <w:b/>
          <w:bCs/>
          <w:color w:val="6B7280"/>
          <w:sz w:val="20"/>
          <w:szCs w:val="20"/>
        </w:rPr>
        <w:t xml:space="preserve">Business decision it supports: </w:t>
      </w:r>
      <w:r>
        <w:rPr>
          <w:i/>
          <w:iCs/>
          <w:sz w:val="20"/>
          <w:szCs w:val="20"/>
        </w:rPr>
        <w:t xml:space="preserve">Makes every score defensible with an itemized reason, not a black-box number — critical if a flagged provider disputes the finding.</w:t>
      </w:r>
    </w:p>
    <w:p>
      <w:pPr>
        <w:spacing w:after="80" w:before="200"/>
      </w:pPr>
      <w:r>
        <w:rPr>
          <w:b/>
          <w:bCs/>
          <w:color w:val="1B2A4A"/>
          <w:sz w:val="23"/>
          <w:szCs w:val="23"/>
        </w:rPr>
        <w:t xml:space="preserve">Provider Anomaly Detection (scatter chart)</w:t>
      </w:r>
    </w:p>
    <w:p>
      <w:pPr>
        <w:spacing w:after="60"/>
      </w:pPr>
      <w:r>
        <w:rPr>
          <w:b/>
          <w:bCs/>
          <w:color w:val="6B7280"/>
          <w:sz w:val="20"/>
          <w:szCs w:val="20"/>
        </w:rPr>
        <w:t xml:space="preserve">What it shows: </w:t>
      </w:r>
      <w:r>
        <w:rPr>
          <w:sz w:val="20"/>
          <w:szCs w:val="20"/>
        </w:rPr>
        <w:t xml:space="preserve">Plots providers by total claims against total reimbursement.</w:t>
      </w:r>
    </w:p>
    <w:p>
      <w:pPr>
        <w:spacing w:after="200"/>
      </w:pPr>
      <w:r>
        <w:rPr>
          <w:b/>
          <w:bCs/>
          <w:color w:val="6B7280"/>
          <w:sz w:val="20"/>
          <w:szCs w:val="20"/>
        </w:rPr>
        <w:t xml:space="preserve">Business decision it supports: </w:t>
      </w:r>
      <w:r>
        <w:rPr>
          <w:i/>
          <w:iCs/>
          <w:sz w:val="20"/>
          <w:szCs w:val="20"/>
        </w:rPr>
        <w:t xml:space="preserve">Separates a large, legitimate provider from a small provider billing well above its size.</w:t>
      </w:r>
    </w:p>
    <w:p>
      <w:pPr>
        <w:spacing w:after="80" w:before="200"/>
      </w:pPr>
      <w:r>
        <w:rPr>
          <w:b/>
          <w:bCs/>
          <w:color w:val="1B2A4A"/>
          <w:sz w:val="23"/>
          <w:szCs w:val="23"/>
        </w:rPr>
        <w:t xml:space="preserve">Investigation Queue (table)</w:t>
      </w:r>
    </w:p>
    <w:p>
      <w:pPr>
        <w:spacing w:after="60"/>
      </w:pPr>
      <w:r>
        <w:rPr>
          <w:b/>
          <w:bCs/>
          <w:color w:val="6B7280"/>
          <w:sz w:val="20"/>
          <w:szCs w:val="20"/>
        </w:rPr>
        <w:t xml:space="preserve">What it shows: </w:t>
      </w:r>
      <w:r>
        <w:rPr>
          <w:sz w:val="20"/>
          <w:szCs w:val="20"/>
        </w:rPr>
        <w:t xml:space="preserve">Full case file per provider — risk score, category, claims, reimbursement, benchmark %, deceased claims, same-day discharge, diagnosis codes.</w:t>
      </w:r>
    </w:p>
    <w:p>
      <w:pPr>
        <w:spacing w:after="200"/>
      </w:pPr>
      <w:r>
        <w:rPr>
          <w:b/>
          <w:bCs/>
          <w:color w:val="6B7280"/>
          <w:sz w:val="20"/>
          <w:szCs w:val="20"/>
        </w:rPr>
        <w:t xml:space="preserve">Business decision it supports: </w:t>
      </w:r>
      <w:r>
        <w:rPr>
          <w:i/>
          <w:iCs/>
          <w:sz w:val="20"/>
          <w:szCs w:val="20"/>
        </w:rPr>
        <w:t xml:space="preserve">The literal starting document an investigator opens to begin a case.</w:t>
      </w:r>
    </w:p>
    <w:p>
      <w:r>
        <w:br w:type="page"/>
      </w:r>
    </w:p>
    <w:p>
      <w:pPr>
        <w:pStyle w:val="Heading1"/>
        <w:spacing w:after="200" w:before="400"/>
      </w:pPr>
      <w:r>
        <w:rPr>
          <w:b/>
          <w:bCs/>
          <w:color w:val="1B2A4A"/>
          <w:sz w:val="32"/>
          <w:szCs w:val="32"/>
        </w:rPr>
        <w:t xml:space="preserve">Page 4: Population Health</w:t>
      </w:r>
    </w:p>
    <w:p>
      <w:pPr>
        <w:spacing w:after="40" w:before="150"/>
      </w:pPr>
      <w:r>
        <w:rPr>
          <w:b/>
          <w:bCs/>
          <w:color w:val="1B2A4A"/>
          <w:sz w:val="21"/>
          <w:szCs w:val="21"/>
        </w:rPr>
        <w:t xml:space="preserve">Audience:</w:t>
      </w:r>
    </w:p>
    <w:p>
      <w:pPr>
        <w:spacing w:after="150" w:line="300"/>
      </w:pPr>
      <w:r>
        <w:rPr>
          <w:sz w:val="21"/>
          <w:szCs w:val="21"/>
        </w:rPr>
        <w:t xml:space="preserve">Care management and population health teams.</w:t>
      </w:r>
    </w:p>
    <w:p>
      <w:pPr>
        <w:spacing w:after="40" w:before="150"/>
      </w:pPr>
      <w:r>
        <w:rPr>
          <w:b/>
          <w:bCs/>
          <w:color w:val="1B2A4A"/>
          <w:sz w:val="21"/>
          <w:szCs w:val="21"/>
        </w:rPr>
        <w:t xml:space="preserve">Page purpose:</w:t>
      </w:r>
    </w:p>
    <w:p>
      <w:pPr>
        <w:spacing w:after="150" w:line="300"/>
      </w:pPr>
      <w:r>
        <w:rPr>
          <w:sz w:val="21"/>
          <w:szCs w:val="21"/>
        </w:rPr>
        <w:t xml:space="preserve">Identifies beneficiaries who are both medically complex and costly enough to justify proactive care management, and compares that need against real staffing capacity.</w:t>
      </w:r>
    </w:p>
    <w:p>
      <w:pPr>
        <w:pBdr>
          <w:bottom w:val="single" w:color="D1D5DB" w:sz="6" w:space="4"/>
        </w:pBdr>
        <w:spacing w:after="200" w:before="100"/>
      </w:pPr>
      <w:r>
        <w:t xml:space="preserve"/>
      </w:r>
    </w:p>
    <w:p>
      <w:pPr>
        <w:spacing w:after="80" w:before="200"/>
      </w:pPr>
      <w:r>
        <w:rPr>
          <w:b/>
          <w:bCs/>
          <w:color w:val="1B2A4A"/>
          <w:sz w:val="23"/>
          <w:szCs w:val="23"/>
        </w:rPr>
        <w:t xml:space="preserve">Total Beneficiaries, Deceased Patient Claims, Zero Reimbursement Claims, Avg Reimbursement per Beneficiary (KPI cards)</w:t>
      </w:r>
    </w:p>
    <w:p>
      <w:pPr>
        <w:spacing w:after="60"/>
      </w:pPr>
      <w:r>
        <w:rPr>
          <w:b/>
          <w:bCs/>
          <w:color w:val="6B7280"/>
          <w:sz w:val="20"/>
          <w:szCs w:val="20"/>
        </w:rPr>
        <w:t xml:space="preserve">What it shows: </w:t>
      </w:r>
      <w:r>
        <w:rPr>
          <w:sz w:val="20"/>
          <w:szCs w:val="20"/>
        </w:rPr>
        <w:t xml:space="preserve">Population scale, plus two specific red flags.</w:t>
      </w:r>
    </w:p>
    <w:p>
      <w:pPr>
        <w:spacing w:after="200"/>
      </w:pPr>
      <w:r>
        <w:rPr>
          <w:b/>
          <w:bCs/>
          <w:color w:val="6B7280"/>
          <w:sz w:val="20"/>
          <w:szCs w:val="20"/>
        </w:rPr>
        <w:t xml:space="preserve">Business decision it supports: </w:t>
      </w:r>
      <w:r>
        <w:rPr>
          <w:i/>
          <w:iCs/>
          <w:sz w:val="20"/>
          <w:szCs w:val="20"/>
        </w:rPr>
        <w:t xml:space="preserve">The deceased-claims figure is a direct compliance action item on its own.</w:t>
      </w:r>
    </w:p>
    <w:p>
      <w:pPr>
        <w:spacing w:after="80" w:before="200"/>
      </w:pPr>
      <w:r>
        <w:rPr>
          <w:b/>
          <w:bCs/>
          <w:color w:val="1B2A4A"/>
          <w:sz w:val="23"/>
          <w:szCs w:val="23"/>
        </w:rPr>
        <w:t xml:space="preserve">Age Group / Gender / State (slicers)</w:t>
      </w:r>
    </w:p>
    <w:p>
      <w:pPr>
        <w:spacing w:after="60"/>
      </w:pPr>
      <w:r>
        <w:rPr>
          <w:b/>
          <w:bCs/>
          <w:color w:val="6B7280"/>
          <w:sz w:val="20"/>
          <w:szCs w:val="20"/>
        </w:rPr>
        <w:t xml:space="preserve">What it shows: </w:t>
      </w:r>
      <w:r>
        <w:rPr>
          <w:sz w:val="20"/>
          <w:szCs w:val="20"/>
        </w:rPr>
        <w:t xml:space="preserve">Standard demographic and geographic filters.</w:t>
      </w:r>
    </w:p>
    <w:p>
      <w:pPr>
        <w:spacing w:after="200"/>
      </w:pPr>
      <w:r>
        <w:rPr>
          <w:b/>
          <w:bCs/>
          <w:color w:val="6B7280"/>
          <w:sz w:val="20"/>
          <w:szCs w:val="20"/>
        </w:rPr>
        <w:t xml:space="preserve">Business decision it supports: </w:t>
      </w:r>
      <w:r>
        <w:rPr>
          <w:i/>
          <w:iCs/>
          <w:sz w:val="20"/>
          <w:szCs w:val="20"/>
        </w:rPr>
        <w:t xml:space="preserve">Targets population-health questions to a specific segment.</w:t>
      </w:r>
    </w:p>
    <w:p>
      <w:pPr>
        <w:spacing w:after="80" w:before="200"/>
      </w:pPr>
      <w:r>
        <w:rPr>
          <w:b/>
          <w:bCs/>
          <w:color w:val="1B2A4A"/>
          <w:sz w:val="23"/>
          <w:szCs w:val="23"/>
        </w:rPr>
        <w:t xml:space="preserve">Chronic Disease Prevalence (column chart)</w:t>
      </w:r>
    </w:p>
    <w:p>
      <w:pPr>
        <w:spacing w:after="60"/>
      </w:pPr>
      <w:r>
        <w:rPr>
          <w:b/>
          <w:bCs/>
          <w:color w:val="6B7280"/>
          <w:sz w:val="20"/>
          <w:szCs w:val="20"/>
        </w:rPr>
        <w:t xml:space="preserve">What it shows: </w:t>
      </w:r>
      <w:r>
        <w:rPr>
          <w:sz w:val="20"/>
          <w:szCs w:val="20"/>
        </w:rPr>
        <w:t xml:space="preserve">Rebuilt using a connected measure and helper table so it now correctly responds to all three page slicers — originally built on a disconnected table and did not respond to any filter.</w:t>
      </w:r>
    </w:p>
    <w:p>
      <w:pPr>
        <w:spacing w:after="200"/>
      </w:pPr>
      <w:r>
        <w:rPr>
          <w:b/>
          <w:bCs/>
          <w:color w:val="6B7280"/>
          <w:sz w:val="20"/>
          <w:szCs w:val="20"/>
        </w:rPr>
        <w:t xml:space="preserve">Business decision it supports: </w:t>
      </w:r>
      <w:r>
        <w:rPr>
          <w:i/>
          <w:iCs/>
          <w:sz w:val="20"/>
          <w:szCs w:val="20"/>
        </w:rPr>
        <w:t xml:space="preserve">Identifies which conditions are most prevalent within any selected segment, guiding preventive-care investment.</w:t>
      </w:r>
    </w:p>
    <w:p>
      <w:pPr>
        <w:spacing w:after="80" w:before="200"/>
      </w:pPr>
      <w:r>
        <w:rPr>
          <w:b/>
          <w:bCs/>
          <w:color w:val="1B2A4A"/>
          <w:sz w:val="23"/>
          <w:szCs w:val="23"/>
        </w:rPr>
        <w:t xml:space="preserve">Chronic Disease Detail (table)</w:t>
      </w:r>
    </w:p>
    <w:p>
      <w:pPr>
        <w:spacing w:after="60"/>
      </w:pPr>
      <w:r>
        <w:rPr>
          <w:b/>
          <w:bCs/>
          <w:color w:val="6B7280"/>
          <w:sz w:val="20"/>
          <w:szCs w:val="20"/>
        </w:rPr>
        <w:t xml:space="preserve">What it shows: </w:t>
      </w:r>
      <w:r>
        <w:rPr>
          <w:sz w:val="20"/>
          <w:szCs w:val="20"/>
        </w:rPr>
        <w:t xml:space="preserve">Cost per condition, not just headcount.</w:t>
      </w:r>
    </w:p>
    <w:p>
      <w:pPr>
        <w:spacing w:after="200"/>
      </w:pPr>
      <w:r>
        <w:rPr>
          <w:b/>
          <w:bCs/>
          <w:color w:val="6B7280"/>
          <w:sz w:val="20"/>
          <w:szCs w:val="20"/>
        </w:rPr>
        <w:t xml:space="preserve">Business decision it supports: </w:t>
      </w:r>
      <w:r>
        <w:rPr>
          <w:i/>
          <w:iCs/>
          <w:sz w:val="20"/>
          <w:szCs w:val="20"/>
        </w:rPr>
        <w:t xml:space="preserve">Prioritizes conditions by financial burden rather than prevalence alone.</w:t>
      </w:r>
    </w:p>
    <w:p>
      <w:pPr>
        <w:spacing w:after="80" w:before="200"/>
      </w:pPr>
      <w:r>
        <w:rPr>
          <w:b/>
          <w:bCs/>
          <w:color w:val="1B2A4A"/>
          <w:sz w:val="23"/>
          <w:szCs w:val="23"/>
        </w:rPr>
        <w:t xml:space="preserve">Age x Gender Breakdown (clustered bar chart)</w:t>
      </w:r>
    </w:p>
    <w:p>
      <w:pPr>
        <w:spacing w:after="60"/>
      </w:pPr>
      <w:r>
        <w:rPr>
          <w:b/>
          <w:bCs/>
          <w:color w:val="6B7280"/>
          <w:sz w:val="20"/>
          <w:szCs w:val="20"/>
        </w:rPr>
        <w:t xml:space="preserve">What it shows: </w:t>
      </w:r>
      <w:r>
        <w:rPr>
          <w:sz w:val="20"/>
          <w:szCs w:val="20"/>
        </w:rPr>
        <w:t xml:space="preserve">The demographic shape of the beneficiary population, correctly ordered Under 65 through 85+ using a dedicated sort column.</w:t>
      </w:r>
    </w:p>
    <w:p>
      <w:pPr>
        <w:spacing w:after="200"/>
      </w:pPr>
      <w:r>
        <w:rPr>
          <w:b/>
          <w:bCs/>
          <w:color w:val="6B7280"/>
          <w:sz w:val="20"/>
          <w:szCs w:val="20"/>
        </w:rPr>
        <w:t xml:space="preserve">Business decision it supports: </w:t>
      </w:r>
      <w:r>
        <w:rPr>
          <w:i/>
          <w:iCs/>
          <w:sz w:val="20"/>
          <w:szCs w:val="20"/>
        </w:rPr>
        <w:t xml:space="preserve">Informs whether a proposed care program's target demographic is actually a large share of the real population.</w:t>
      </w:r>
    </w:p>
    <w:p>
      <w:pPr>
        <w:spacing w:after="80" w:before="200"/>
      </w:pPr>
      <w:r>
        <w:rPr>
          <w:b/>
          <w:bCs/>
          <w:color w:val="1B2A4A"/>
          <w:sz w:val="23"/>
          <w:szCs w:val="23"/>
        </w:rPr>
        <w:t xml:space="preserve">Complexity vs. Cost (scatter chart)</w:t>
      </w:r>
    </w:p>
    <w:p>
      <w:pPr>
        <w:spacing w:after="60"/>
      </w:pPr>
      <w:r>
        <w:rPr>
          <w:b/>
          <w:bCs/>
          <w:color w:val="6B7280"/>
          <w:sz w:val="20"/>
          <w:szCs w:val="20"/>
        </w:rPr>
        <w:t xml:space="preserve">What it shows: </w:t>
      </w:r>
      <w:r>
        <w:rPr>
          <w:sz w:val="20"/>
          <w:szCs w:val="20"/>
        </w:rPr>
        <w:t xml:space="preserve">Age groups plotted by chronic condition count against average reimbursement.</w:t>
      </w:r>
    </w:p>
    <w:p>
      <w:pPr>
        <w:spacing w:after="200"/>
      </w:pPr>
      <w:r>
        <w:rPr>
          <w:b/>
          <w:bCs/>
          <w:color w:val="6B7280"/>
          <w:sz w:val="20"/>
          <w:szCs w:val="20"/>
        </w:rPr>
        <w:t xml:space="preserve">Business decision it supports: </w:t>
      </w:r>
      <w:r>
        <w:rPr>
          <w:i/>
          <w:iCs/>
          <w:sz w:val="20"/>
          <w:szCs w:val="20"/>
        </w:rPr>
        <w:t xml:space="preserve">Directs case-management resources to the age bands where complexity and cost intersect.</w:t>
      </w:r>
    </w:p>
    <w:p>
      <w:pPr>
        <w:spacing w:after="80" w:before="200"/>
      </w:pPr>
      <w:r>
        <w:rPr>
          <w:b/>
          <w:bCs/>
          <w:color w:val="1B2A4A"/>
          <w:sz w:val="23"/>
          <w:szCs w:val="23"/>
        </w:rPr>
        <w:t xml:space="preserve">Care Manager Capacity Slider</w:t>
      </w:r>
    </w:p>
    <w:p>
      <w:pPr>
        <w:spacing w:after="60"/>
      </w:pPr>
      <w:r>
        <w:rPr>
          <w:b/>
          <w:bCs/>
          <w:color w:val="6B7280"/>
          <w:sz w:val="20"/>
          <w:szCs w:val="20"/>
        </w:rPr>
        <w:t xml:space="preserve">What it shows: </w:t>
      </w:r>
      <w:r>
        <w:rPr>
          <w:sz w:val="20"/>
          <w:szCs w:val="20"/>
        </w:rPr>
        <w:t xml:space="preserve">A draggable control from 500 to 20,000 representing real case manager staffing.</w:t>
      </w:r>
    </w:p>
    <w:p>
      <w:pPr>
        <w:spacing w:after="200"/>
      </w:pPr>
      <w:r>
        <w:rPr>
          <w:b/>
          <w:bCs/>
          <w:color w:val="6B7280"/>
          <w:sz w:val="20"/>
          <w:szCs w:val="20"/>
        </w:rPr>
        <w:t xml:space="preserve">Business decision it supports: </w:t>
      </w:r>
      <w:r>
        <w:rPr>
          <w:i/>
          <w:iCs/>
          <w:sz w:val="20"/>
          <w:szCs w:val="20"/>
        </w:rPr>
        <w:t xml:space="preserve">Lets a program lead test their real capacity against true population need.</w:t>
      </w:r>
    </w:p>
    <w:p>
      <w:pPr>
        <w:spacing w:after="80" w:before="200"/>
      </w:pPr>
      <w:r>
        <w:rPr>
          <w:b/>
          <w:bCs/>
          <w:color w:val="1B2A4A"/>
          <w:sz w:val="23"/>
          <w:szCs w:val="23"/>
        </w:rPr>
        <w:t xml:space="preserve">Total High Priority Beneficiaries, Beneficiaries Recommended for Enrollment, Projected Annual Savings (KPI cards)</w:t>
      </w:r>
    </w:p>
    <w:p>
      <w:pPr>
        <w:spacing w:after="60"/>
      </w:pPr>
      <w:r>
        <w:rPr>
          <w:b/>
          <w:bCs/>
          <w:color w:val="6B7280"/>
          <w:sz w:val="20"/>
          <w:szCs w:val="20"/>
        </w:rPr>
        <w:t xml:space="preserve">What it shows: </w:t>
      </w:r>
      <w:r>
        <w:rPr>
          <w:sz w:val="20"/>
          <w:szCs w:val="20"/>
        </w:rPr>
        <w:t xml:space="preserve">The true eligible population (verified at 10,795 — six or more chronic conditions and $10,000+ annual cost), how much of it current capacity covers, and an illustrative savings estimate based on a published 12% avoidable-cost benchmark.</w:t>
      </w:r>
    </w:p>
    <w:p>
      <w:pPr>
        <w:spacing w:after="200"/>
      </w:pPr>
      <w:r>
        <w:rPr>
          <w:b/>
          <w:bCs/>
          <w:color w:val="6B7280"/>
          <w:sz w:val="20"/>
          <w:szCs w:val="20"/>
        </w:rPr>
        <w:t xml:space="preserve">Business decision it supports: </w:t>
      </w:r>
      <w:r>
        <w:rPr>
          <w:i/>
          <w:iCs/>
          <w:sz w:val="20"/>
          <w:szCs w:val="20"/>
        </w:rPr>
        <w:t xml:space="preserve">Placing the fixed total next to the capacity-limited number makes the staffing gap immediately visible.</w:t>
      </w:r>
    </w:p>
    <w:p>
      <w:pPr>
        <w:spacing w:after="80" w:before="200"/>
      </w:pPr>
      <w:r>
        <w:rPr>
          <w:b/>
          <w:bCs/>
          <w:color w:val="1B2A4A"/>
          <w:sz w:val="23"/>
          <w:szCs w:val="23"/>
        </w:rPr>
        <w:t xml:space="preserve">Beneficiaries Recommended for Care Management Enrollment (table)</w:t>
      </w:r>
    </w:p>
    <w:p>
      <w:pPr>
        <w:spacing w:after="60"/>
      </w:pPr>
      <w:r>
        <w:rPr>
          <w:b/>
          <w:bCs/>
          <w:color w:val="6B7280"/>
          <w:sz w:val="20"/>
          <w:szCs w:val="20"/>
        </w:rPr>
        <w:t xml:space="preserve">What it shows: </w:t>
      </w:r>
      <w:r>
        <w:rPr>
          <w:sz w:val="20"/>
          <w:szCs w:val="20"/>
        </w:rPr>
        <w:t xml:space="preserve">A ranked, filtered list sorted by annual cost.</w:t>
      </w:r>
    </w:p>
    <w:p>
      <w:pPr>
        <w:spacing w:after="200"/>
      </w:pPr>
      <w:r>
        <w:rPr>
          <w:b/>
          <w:bCs/>
          <w:color w:val="6B7280"/>
          <w:sz w:val="20"/>
          <w:szCs w:val="20"/>
        </w:rPr>
        <w:t xml:space="preserve">Business decision it supports: </w:t>
      </w:r>
      <w:r>
        <w:rPr>
          <w:i/>
          <w:iCs/>
          <w:sz w:val="20"/>
          <w:szCs w:val="20"/>
        </w:rPr>
        <w:t xml:space="preserve">The finished, ready-to-use enrollment list a care management team can act on directly.</w:t>
      </w:r>
    </w:p>
    <w:p>
      <w:r>
        <w:br w:type="page"/>
      </w:r>
    </w:p>
    <w:p>
      <w:pPr>
        <w:pStyle w:val="Heading1"/>
        <w:spacing w:after="200" w:before="400"/>
      </w:pPr>
      <w:r>
        <w:rPr>
          <w:b/>
          <w:bCs/>
          <w:color w:val="1B2A4A"/>
          <w:sz w:val="32"/>
          <w:szCs w:val="32"/>
        </w:rPr>
        <w:t xml:space="preserve">Page 5: Operational Efficiency</w:t>
      </w:r>
    </w:p>
    <w:p>
      <w:pPr>
        <w:spacing w:after="40" w:before="150"/>
      </w:pPr>
      <w:r>
        <w:rPr>
          <w:b/>
          <w:bCs/>
          <w:color w:val="1B2A4A"/>
          <w:sz w:val="21"/>
          <w:szCs w:val="21"/>
        </w:rPr>
        <w:t xml:space="preserve">Audience:</w:t>
      </w:r>
    </w:p>
    <w:p>
      <w:pPr>
        <w:spacing w:after="150" w:line="300"/>
      </w:pPr>
      <w:r>
        <w:rPr>
          <w:sz w:val="21"/>
          <w:szCs w:val="21"/>
        </w:rPr>
        <w:t xml:space="preserve">Clinical and compliance auditors.</w:t>
      </w:r>
    </w:p>
    <w:p>
      <w:pPr>
        <w:spacing w:after="40" w:before="150"/>
      </w:pPr>
      <w:r>
        <w:rPr>
          <w:b/>
          <w:bCs/>
          <w:color w:val="1B2A4A"/>
          <w:sz w:val="21"/>
          <w:szCs w:val="21"/>
        </w:rPr>
        <w:t xml:space="preserve">Page purpose:</w:t>
      </w:r>
    </w:p>
    <w:p>
      <w:pPr>
        <w:spacing w:after="150" w:line="300"/>
      </w:pPr>
      <w:r>
        <w:rPr>
          <w:sz w:val="21"/>
          <w:szCs w:val="21"/>
        </w:rPr>
        <w:t xml:space="preserve">A second, independent fraud lens focused on billing pattern abuse, culminating in a direct payment-hold decision.</w:t>
      </w:r>
    </w:p>
    <w:p>
      <w:pPr>
        <w:pBdr>
          <w:bottom w:val="single" w:color="D1D5DB" w:sz="6" w:space="4"/>
        </w:pBdr>
        <w:spacing w:after="200" w:before="100"/>
      </w:pPr>
      <w:r>
        <w:t xml:space="preserve"/>
      </w:r>
    </w:p>
    <w:p>
      <w:pPr>
        <w:spacing w:after="80" w:before="200"/>
      </w:pPr>
      <w:r>
        <w:rPr>
          <w:b/>
          <w:bCs/>
          <w:color w:val="1B2A4A"/>
          <w:sz w:val="23"/>
          <w:szCs w:val="23"/>
        </w:rPr>
        <w:t xml:space="preserve">Same Day Discharge Count, Zero Reimbursement Claims, Avg Diagnosis Codes, Same Day Discharge %, Avg Length of Stay (KPI cards)</w:t>
      </w:r>
    </w:p>
    <w:p>
      <w:pPr>
        <w:spacing w:after="60"/>
      </w:pPr>
      <w:r>
        <w:rPr>
          <w:b/>
          <w:bCs/>
          <w:color w:val="6B7280"/>
          <w:sz w:val="20"/>
          <w:szCs w:val="20"/>
        </w:rPr>
        <w:t xml:space="preserve">What it shows: </w:t>
      </w:r>
      <w:r>
        <w:rPr>
          <w:sz w:val="20"/>
          <w:szCs w:val="20"/>
        </w:rPr>
        <w:t xml:space="preserve">Core clinical-operations vital signs.</w:t>
      </w:r>
    </w:p>
    <w:p>
      <w:pPr>
        <w:spacing w:after="200"/>
      </w:pPr>
      <w:r>
        <w:rPr>
          <w:b/>
          <w:bCs/>
          <w:color w:val="6B7280"/>
          <w:sz w:val="20"/>
          <w:szCs w:val="20"/>
        </w:rPr>
        <w:t xml:space="preserve">Business decision it supports: </w:t>
      </w:r>
      <w:r>
        <w:rPr>
          <w:i/>
          <w:iCs/>
          <w:sz w:val="20"/>
          <w:szCs w:val="20"/>
        </w:rPr>
        <w:t xml:space="preserve">A quick check on whether operations are behaving within normal bounds.</w:t>
      </w:r>
    </w:p>
    <w:p>
      <w:pPr>
        <w:spacing w:after="80" w:before="200"/>
      </w:pPr>
      <w:r>
        <w:rPr>
          <w:b/>
          <w:bCs/>
          <w:color w:val="1B2A4A"/>
          <w:sz w:val="23"/>
          <w:szCs w:val="23"/>
        </w:rPr>
        <w:t xml:space="preserve">Fraud Label / State / Claim Type (slicers)</w:t>
      </w:r>
    </w:p>
    <w:p>
      <w:pPr>
        <w:spacing w:after="60"/>
      </w:pPr>
      <w:r>
        <w:rPr>
          <w:b/>
          <w:bCs/>
          <w:color w:val="6B7280"/>
          <w:sz w:val="20"/>
          <w:szCs w:val="20"/>
        </w:rPr>
        <w:t xml:space="preserve">What it shows: </w:t>
      </w:r>
      <w:r>
        <w:rPr>
          <w:sz w:val="20"/>
          <w:szCs w:val="20"/>
        </w:rPr>
        <w:t xml:space="preserve">Standard filters scoping the page's operational metrics.</w:t>
      </w:r>
    </w:p>
    <w:p>
      <w:pPr>
        <w:spacing w:after="200"/>
      </w:pPr>
      <w:r>
        <w:rPr>
          <w:b/>
          <w:bCs/>
          <w:color w:val="6B7280"/>
          <w:sz w:val="20"/>
          <w:szCs w:val="20"/>
        </w:rPr>
        <w:t xml:space="preserve">Business decision it supports: </w:t>
      </w:r>
      <w:r>
        <w:rPr>
          <w:i/>
          <w:iCs/>
          <w:sz w:val="20"/>
          <w:szCs w:val="20"/>
        </w:rPr>
        <w:t xml:space="preserve">Isolates a question to the population it concerns.</w:t>
      </w:r>
    </w:p>
    <w:p>
      <w:pPr>
        <w:spacing w:after="80" w:before="200"/>
      </w:pPr>
      <w:r>
        <w:rPr>
          <w:b/>
          <w:bCs/>
          <w:color w:val="1B2A4A"/>
          <w:sz w:val="23"/>
          <w:szCs w:val="23"/>
        </w:rPr>
        <w:t xml:space="preserve">Providers Recommended for Immediate Payment Hold (table)</w:t>
      </w:r>
    </w:p>
    <w:p>
      <w:pPr>
        <w:spacing w:after="60"/>
      </w:pPr>
      <w:r>
        <w:rPr>
          <w:b/>
          <w:bCs/>
          <w:color w:val="6B7280"/>
          <w:sz w:val="20"/>
          <w:szCs w:val="20"/>
        </w:rPr>
        <w:t xml:space="preserve">What it shows: </w:t>
      </w:r>
      <w:r>
        <w:rPr>
          <w:sz w:val="20"/>
          <w:szCs w:val="20"/>
        </w:rPr>
        <w:t xml:space="preserve">Flags providers whose same-day discharge rate exceeds 10% and diagnosis padding score exceeds 8.5, with a minimum 5-claim volume requirement added after testing showed the original, unfiltered version could be triggered by as few as two claims. Verified: 3 real providers meet both criteria at meaningful volume, all currently labeled Not Fraud.</w:t>
      </w:r>
    </w:p>
    <w:p>
      <w:pPr>
        <w:spacing w:after="200"/>
      </w:pPr>
      <w:r>
        <w:rPr>
          <w:b/>
          <w:bCs/>
          <w:color w:val="6B7280"/>
          <w:sz w:val="20"/>
          <w:szCs w:val="20"/>
        </w:rPr>
        <w:t xml:space="preserve">Business decision it supports: </w:t>
      </w:r>
      <w:r>
        <w:rPr>
          <w:i/>
          <w:iCs/>
          <w:sz w:val="20"/>
          <w:szCs w:val="20"/>
        </w:rPr>
        <w:t xml:space="preserve">Mirrors CMS's actual payment suspension authority (42 CFR Section 405.370-378) — answers who to stop paying, right now, rather than who to eventually investigate.</w:t>
      </w:r>
    </w:p>
    <w:p>
      <w:pPr>
        <w:spacing w:after="80" w:before="200"/>
      </w:pPr>
      <w:r>
        <w:rPr>
          <w:b/>
          <w:bCs/>
          <w:color w:val="1B2A4A"/>
          <w:sz w:val="23"/>
          <w:szCs w:val="23"/>
        </w:rPr>
        <w:t xml:space="preserve">Total Reimbursement — Payment Hold &amp; Pre-Payment Review Combined (KPI card)</w:t>
      </w:r>
    </w:p>
    <w:p>
      <w:pPr>
        <w:spacing w:after="60"/>
      </w:pPr>
      <w:r>
        <w:rPr>
          <w:b/>
          <w:bCs/>
          <w:color w:val="6B7280"/>
          <w:sz w:val="20"/>
          <w:szCs w:val="20"/>
        </w:rPr>
        <w:t xml:space="preserve">What it shows: </w:t>
      </w:r>
      <w:r>
        <w:rPr>
          <w:sz w:val="20"/>
          <w:szCs w:val="20"/>
        </w:rPr>
        <w:t xml:space="preserve">Total dollar reimbursement across both the immediate hold and pre-payment review tiers.</w:t>
      </w:r>
    </w:p>
    <w:p>
      <w:pPr>
        <w:spacing w:after="200"/>
      </w:pPr>
      <w:r>
        <w:rPr>
          <w:b/>
          <w:bCs/>
          <w:color w:val="6B7280"/>
          <w:sz w:val="20"/>
          <w:szCs w:val="20"/>
        </w:rPr>
        <w:t xml:space="preserve">Business decision it supports: </w:t>
      </w:r>
      <w:r>
        <w:rPr>
          <w:i/>
          <w:iCs/>
          <w:sz w:val="20"/>
          <w:szCs w:val="20"/>
        </w:rPr>
        <w:t xml:space="preserve">Gives this page the same headline dollar figure its sibling decision pages already have.</w:t>
      </w:r>
    </w:p>
    <w:p>
      <w:pPr>
        <w:spacing w:after="80" w:before="200"/>
      </w:pPr>
      <w:r>
        <w:rPr>
          <w:b/>
          <w:bCs/>
          <w:color w:val="1B2A4A"/>
          <w:sz w:val="23"/>
          <w:szCs w:val="23"/>
        </w:rPr>
        <w:t xml:space="preserve">Payment Hold Signal — Same Day Discharge vs. Diagnosis Padding (scatter chart)</w:t>
      </w:r>
    </w:p>
    <w:p>
      <w:pPr>
        <w:spacing w:after="60"/>
      </w:pPr>
      <w:r>
        <w:rPr>
          <w:b/>
          <w:bCs/>
          <w:color w:val="6B7280"/>
          <w:sz w:val="20"/>
          <w:szCs w:val="20"/>
        </w:rPr>
        <w:t xml:space="preserve">What it shows: </w:t>
      </w:r>
      <w:r>
        <w:rPr>
          <w:sz w:val="20"/>
          <w:szCs w:val="20"/>
        </w:rPr>
        <w:t xml:space="preserve">Replaces an earlier bar chart that was confirmed to only ever surface already-known, large fraud providers. Plots both fraud signals at once, colored by the Payment Hold Recommendation tiers, filtered to reliable claim volumes.</w:t>
      </w:r>
    </w:p>
    <w:p>
      <w:pPr>
        <w:spacing w:after="200"/>
      </w:pPr>
      <w:r>
        <w:rPr>
          <w:b/>
          <w:bCs/>
          <w:color w:val="6B7280"/>
          <w:sz w:val="20"/>
          <w:szCs w:val="20"/>
        </w:rPr>
        <w:t xml:space="preserve">Business decision it supports: </w:t>
      </w:r>
      <w:r>
        <w:rPr>
          <w:i/>
          <w:iCs/>
          <w:sz w:val="20"/>
          <w:szCs w:val="20"/>
        </w:rPr>
        <w:t xml:space="preserve">Visually confirms whether the flagged providers are a genuine outlier cluster or a marginal call — verified live to show clear separation between the hold and review tiers.</w:t>
      </w:r>
    </w:p>
    <w:p>
      <w:pPr>
        <w:spacing w:after="80" w:before="200"/>
      </w:pPr>
      <w:r>
        <w:rPr>
          <w:b/>
          <w:bCs/>
          <w:color w:val="1B2A4A"/>
          <w:sz w:val="23"/>
          <w:szCs w:val="23"/>
        </w:rPr>
        <w:t xml:space="preserve">Inpatient vs Outpatient Reimbursement by State (chart)</w:t>
      </w:r>
    </w:p>
    <w:p>
      <w:pPr>
        <w:spacing w:after="60"/>
      </w:pPr>
      <w:r>
        <w:rPr>
          <w:b/>
          <w:bCs/>
          <w:color w:val="6B7280"/>
          <w:sz w:val="20"/>
          <w:szCs w:val="20"/>
        </w:rPr>
        <w:t xml:space="preserve">What it shows: </w:t>
      </w:r>
      <w:r>
        <w:rPr>
          <w:sz w:val="20"/>
          <w:szCs w:val="20"/>
        </w:rPr>
        <w:t xml:space="preserve">Compares IP and OP reimbursement by state. A color configuration bug that made both series appear identical was corrected.</w:t>
      </w:r>
    </w:p>
    <w:p>
      <w:pPr>
        <w:spacing w:after="200"/>
      </w:pPr>
      <w:r>
        <w:rPr>
          <w:b/>
          <w:bCs/>
          <w:color w:val="6B7280"/>
          <w:sz w:val="20"/>
          <w:szCs w:val="20"/>
        </w:rPr>
        <w:t xml:space="preserve">Business decision it supports: </w:t>
      </w:r>
      <w:r>
        <w:rPr>
          <w:i/>
          <w:iCs/>
          <w:sz w:val="20"/>
          <w:szCs w:val="20"/>
        </w:rPr>
        <w:t xml:space="preserve">Reveals whether certain states over-rely on costlier inpatient care.</w:t>
      </w:r>
    </w:p>
    <w:p>
      <w:pPr>
        <w:spacing w:after="80" w:before="200"/>
      </w:pPr>
      <w:r>
        <w:rPr>
          <w:b/>
          <w:bCs/>
          <w:color w:val="1B2A4A"/>
          <w:sz w:val="23"/>
          <w:szCs w:val="23"/>
        </w:rPr>
        <w:t xml:space="preserve">Length of Stay Distribution - Inpatient Only (histogram)</w:t>
      </w:r>
    </w:p>
    <w:p>
      <w:pPr>
        <w:spacing w:after="60"/>
      </w:pPr>
      <w:r>
        <w:rPr>
          <w:b/>
          <w:bCs/>
          <w:color w:val="6B7280"/>
          <w:sz w:val="20"/>
          <w:szCs w:val="20"/>
        </w:rPr>
        <w:t xml:space="preserve">What it shows: </w:t>
      </w:r>
      <w:r>
        <w:rPr>
          <w:sz w:val="20"/>
          <w:szCs w:val="20"/>
        </w:rPr>
        <w:t xml:space="preserve">The shape of how long inpatient stays actually last.</w:t>
      </w:r>
    </w:p>
    <w:p>
      <w:pPr>
        <w:spacing w:after="200"/>
      </w:pPr>
      <w:r>
        <w:rPr>
          <w:b/>
          <w:bCs/>
          <w:color w:val="6B7280"/>
          <w:sz w:val="20"/>
          <w:szCs w:val="20"/>
        </w:rPr>
        <w:t xml:space="preserve">Business decision it supports: </w:t>
      </w:r>
      <w:r>
        <w:rPr>
          <w:i/>
          <w:iCs/>
          <w:sz w:val="20"/>
          <w:szCs w:val="20"/>
        </w:rPr>
        <w:t xml:space="preserve">A long tail of unusual stay lengths is itself a red flag pattern, independent of any single provider.</w:t>
      </w:r>
    </w:p>
    <w:p>
      <w:pPr>
        <w:spacing w:after="80" w:before="200"/>
      </w:pPr>
      <w:r>
        <w:rPr>
          <w:b/>
          <w:bCs/>
          <w:color w:val="1B2A4A"/>
          <w:sz w:val="23"/>
          <w:szCs w:val="23"/>
        </w:rPr>
        <w:t xml:space="preserve">Diagnosis Padding Risk Table - Top 20</w:t>
      </w:r>
    </w:p>
    <w:p>
      <w:pPr>
        <w:spacing w:after="60"/>
      </w:pPr>
      <w:r>
        <w:rPr>
          <w:b/>
          <w:bCs/>
          <w:color w:val="6B7280"/>
          <w:sz w:val="20"/>
          <w:szCs w:val="20"/>
        </w:rPr>
        <w:t xml:space="preserve">What it shows: </w:t>
      </w:r>
      <w:r>
        <w:rPr>
          <w:sz w:val="20"/>
          <w:szCs w:val="20"/>
        </w:rPr>
        <w:t xml:space="preserve">The twenty providers with the highest average diagnosis codes per claim.</w:t>
      </w:r>
    </w:p>
    <w:p>
      <w:pPr>
        <w:spacing w:after="200"/>
      </w:pPr>
      <w:r>
        <w:rPr>
          <w:b/>
          <w:bCs/>
          <w:color w:val="6B7280"/>
          <w:sz w:val="20"/>
          <w:szCs w:val="20"/>
        </w:rPr>
        <w:t xml:space="preserve">Business decision it supports: </w:t>
      </w:r>
      <w:r>
        <w:rPr>
          <w:i/>
          <w:iCs/>
          <w:sz w:val="20"/>
          <w:szCs w:val="20"/>
        </w:rPr>
        <w:t xml:space="preserve">A direct, ready-to-use audit worklist for diagnosis code padding specifically.</w:t>
      </w:r>
    </w:p>
    <w:p>
      <w:pPr>
        <w:spacing w:after="80" w:before="200"/>
      </w:pPr>
      <w:r>
        <w:rPr>
          <w:b/>
          <w:bCs/>
          <w:color w:val="1B2A4A"/>
          <w:sz w:val="23"/>
          <w:szCs w:val="23"/>
        </w:rPr>
        <w:t xml:space="preserve">Diagnosis Code Padding Detection - Fraud Signal (scatter chart)</w:t>
      </w:r>
    </w:p>
    <w:p>
      <w:pPr>
        <w:spacing w:after="60"/>
      </w:pPr>
      <w:r>
        <w:rPr>
          <w:b/>
          <w:bCs/>
          <w:color w:val="6B7280"/>
          <w:sz w:val="20"/>
          <w:szCs w:val="20"/>
        </w:rPr>
        <w:t xml:space="preserve">What it shows: </w:t>
      </w:r>
      <w:r>
        <w:rPr>
          <w:sz w:val="20"/>
          <w:szCs w:val="20"/>
        </w:rPr>
        <w:t xml:space="preserve">Plots providers by total claims against average diagnosis codes, colored by fraud label, filtered to the top 100 providers by claim volume with at least 5 claims.</w:t>
      </w:r>
    </w:p>
    <w:p>
      <w:pPr>
        <w:spacing w:after="200"/>
      </w:pPr>
      <w:r>
        <w:rPr>
          <w:b/>
          <w:bCs/>
          <w:color w:val="6B7280"/>
          <w:sz w:val="20"/>
          <w:szCs w:val="20"/>
        </w:rPr>
        <w:t xml:space="preserve">Business decision it supports: </w:t>
      </w:r>
      <w:r>
        <w:rPr>
          <w:i/>
          <w:iCs/>
          <w:sz w:val="20"/>
          <w:szCs w:val="20"/>
        </w:rPr>
        <w:t xml:space="preserve">A secondary view of the padding signal at high claim volume.</w:t>
      </w:r>
    </w:p>
    <w:p>
      <w:r>
        <w:br w:type="page"/>
      </w:r>
    </w:p>
    <w:p>
      <w:pPr>
        <w:pStyle w:val="Heading1"/>
        <w:spacing w:after="200" w:before="400"/>
      </w:pPr>
      <w:r>
        <w:rPr>
          <w:b/>
          <w:bCs/>
          <w:color w:val="1B2A4A"/>
          <w:sz w:val="32"/>
          <w:szCs w:val="32"/>
        </w:rPr>
        <w:t xml:space="preserve">Page 6: Geographic &amp; Trends</w:t>
      </w:r>
    </w:p>
    <w:p>
      <w:pPr>
        <w:spacing w:after="40" w:before="150"/>
      </w:pPr>
      <w:r>
        <w:rPr>
          <w:b/>
          <w:bCs/>
          <w:color w:val="1B2A4A"/>
          <w:sz w:val="21"/>
          <w:szCs w:val="21"/>
        </w:rPr>
        <w:t xml:space="preserve">Audience:</w:t>
      </w:r>
    </w:p>
    <w:p>
      <w:pPr>
        <w:spacing w:after="150" w:line="300"/>
      </w:pPr>
      <w:r>
        <w:rPr>
          <w:sz w:val="21"/>
          <w:szCs w:val="21"/>
        </w:rPr>
        <w:t xml:space="preserve">Regional directors and network management staff.</w:t>
      </w:r>
    </w:p>
    <w:p>
      <w:pPr>
        <w:spacing w:after="40" w:before="150"/>
      </w:pPr>
      <w:r>
        <w:rPr>
          <w:b/>
          <w:bCs/>
          <w:color w:val="1B2A4A"/>
          <w:sz w:val="21"/>
          <w:szCs w:val="21"/>
        </w:rPr>
        <w:t xml:space="preserve">Page purpose:</w:t>
      </w:r>
    </w:p>
    <w:p>
      <w:pPr>
        <w:spacing w:after="150" w:line="300"/>
      </w:pPr>
      <w:r>
        <w:rPr>
          <w:sz w:val="21"/>
          <w:szCs w:val="21"/>
        </w:rPr>
        <w:t xml:space="preserve">Shows fraud and spend concentration geographically and over time, using a flexible measure switcher.</w:t>
      </w:r>
    </w:p>
    <w:p>
      <w:pPr>
        <w:pBdr>
          <w:bottom w:val="single" w:color="D1D5DB" w:sz="6" w:space="4"/>
        </w:pBdr>
        <w:spacing w:after="200" w:before="100"/>
      </w:pPr>
      <w:r>
        <w:t xml:space="preserve"/>
      </w:r>
    </w:p>
    <w:p>
      <w:pPr>
        <w:spacing w:after="80" w:before="200"/>
      </w:pPr>
      <w:r>
        <w:rPr>
          <w:b/>
          <w:bCs/>
          <w:color w:val="1B2A4A"/>
          <w:sz w:val="23"/>
          <w:szCs w:val="23"/>
        </w:rPr>
        <w:t xml:space="preserve">Total Claims, Total Reimbursement, Fraud Providers, Fraud Rate % (KPI cards)</w:t>
      </w:r>
    </w:p>
    <w:p>
      <w:pPr>
        <w:spacing w:after="60"/>
      </w:pPr>
      <w:r>
        <w:rPr>
          <w:b/>
          <w:bCs/>
          <w:color w:val="6B7280"/>
          <w:sz w:val="20"/>
          <w:szCs w:val="20"/>
        </w:rPr>
        <w:t xml:space="preserve">What it shows: </w:t>
      </w:r>
      <w:r>
        <w:rPr>
          <w:sz w:val="20"/>
          <w:szCs w:val="20"/>
        </w:rPr>
        <w:t xml:space="preserve">National baseline totals.</w:t>
      </w:r>
    </w:p>
    <w:p>
      <w:pPr>
        <w:spacing w:after="200"/>
      </w:pPr>
      <w:r>
        <w:rPr>
          <w:b/>
          <w:bCs/>
          <w:color w:val="6B7280"/>
          <w:sz w:val="20"/>
          <w:szCs w:val="20"/>
        </w:rPr>
        <w:t xml:space="preserve">Business decision it supports: </w:t>
      </w:r>
      <w:r>
        <w:rPr>
          <w:i/>
          <w:iCs/>
          <w:sz w:val="20"/>
          <w:szCs w:val="20"/>
        </w:rPr>
        <w:t xml:space="preserve">Anchors every regional comparison against true national figures.</w:t>
      </w:r>
    </w:p>
    <w:p>
      <w:pPr>
        <w:spacing w:after="80" w:before="200"/>
      </w:pPr>
      <w:r>
        <w:rPr>
          <w:b/>
          <w:bCs/>
          <w:color w:val="1B2A4A"/>
          <w:sz w:val="23"/>
          <w:szCs w:val="23"/>
        </w:rPr>
        <w:t xml:space="preserve">Select Measure Switcher</w:t>
      </w:r>
    </w:p>
    <w:p>
      <w:pPr>
        <w:spacing w:after="60"/>
      </w:pPr>
      <w:r>
        <w:rPr>
          <w:b/>
          <w:bCs/>
          <w:color w:val="6B7280"/>
          <w:sz w:val="20"/>
          <w:szCs w:val="20"/>
        </w:rPr>
        <w:t xml:space="preserve">What it shows: </w:t>
      </w:r>
      <w:r>
        <w:rPr>
          <w:sz w:val="20"/>
          <w:szCs w:val="20"/>
        </w:rPr>
        <w:t xml:space="preserve">Lets one map and chart pair display any of six measures on demand.</w:t>
      </w:r>
    </w:p>
    <w:p>
      <w:pPr>
        <w:spacing w:after="200"/>
      </w:pPr>
      <w:r>
        <w:rPr>
          <w:b/>
          <w:bCs/>
          <w:color w:val="6B7280"/>
          <w:sz w:val="20"/>
          <w:szCs w:val="20"/>
        </w:rPr>
        <w:t xml:space="preserve">Business decision it supports: </w:t>
      </w:r>
      <w:r>
        <w:rPr>
          <w:i/>
          <w:iCs/>
          <w:sz w:val="20"/>
          <w:szCs w:val="20"/>
        </w:rPr>
        <w:t xml:space="preserve">A single flexible visual answering six different geographic questions.</w:t>
      </w:r>
    </w:p>
    <w:p>
      <w:pPr>
        <w:spacing w:after="80" w:before="200"/>
      </w:pPr>
      <w:r>
        <w:rPr>
          <w:b/>
          <w:bCs/>
          <w:color w:val="1B2A4A"/>
          <w:sz w:val="23"/>
          <w:szCs w:val="23"/>
        </w:rPr>
        <w:t xml:space="preserve">Region / State / Year / Month (slicers)</w:t>
      </w:r>
    </w:p>
    <w:p>
      <w:pPr>
        <w:spacing w:after="60"/>
      </w:pPr>
      <w:r>
        <w:rPr>
          <w:b/>
          <w:bCs/>
          <w:color w:val="6B7280"/>
          <w:sz w:val="20"/>
          <w:szCs w:val="20"/>
        </w:rPr>
        <w:t xml:space="preserve">What it shows: </w:t>
      </w:r>
      <w:r>
        <w:rPr>
          <w:sz w:val="20"/>
          <w:szCs w:val="20"/>
        </w:rPr>
        <w:t xml:space="preserve">Full geographic and time scoping.</w:t>
      </w:r>
    </w:p>
    <w:p>
      <w:pPr>
        <w:spacing w:after="200"/>
      </w:pPr>
      <w:r>
        <w:rPr>
          <w:b/>
          <w:bCs/>
          <w:color w:val="6B7280"/>
          <w:sz w:val="20"/>
          <w:szCs w:val="20"/>
        </w:rPr>
        <w:t xml:space="preserve">Business decision it supports: </w:t>
      </w:r>
      <w:r>
        <w:rPr>
          <w:i/>
          <w:iCs/>
          <w:sz w:val="20"/>
          <w:szCs w:val="20"/>
        </w:rPr>
        <w:t xml:space="preserve">Supports any state- or period-specific question.</w:t>
      </w:r>
    </w:p>
    <w:p>
      <w:pPr>
        <w:spacing w:after="80" w:before="200"/>
      </w:pPr>
      <w:r>
        <w:rPr>
          <w:b/>
          <w:bCs/>
          <w:color w:val="1B2A4A"/>
          <w:sz w:val="23"/>
          <w:szCs w:val="23"/>
        </w:rPr>
        <w:t xml:space="preserve">Monthly Claims &amp; Reimbursement Trend (line chart)</w:t>
      </w:r>
    </w:p>
    <w:p>
      <w:pPr>
        <w:spacing w:after="60"/>
      </w:pPr>
      <w:r>
        <w:rPr>
          <w:b/>
          <w:bCs/>
          <w:color w:val="6B7280"/>
          <w:sz w:val="20"/>
          <w:szCs w:val="20"/>
        </w:rPr>
        <w:t xml:space="preserve">What it shows: </w:t>
      </w:r>
      <w:r>
        <w:rPr>
          <w:sz w:val="20"/>
          <w:szCs w:val="20"/>
        </w:rPr>
        <w:t xml:space="preserve">The national pattern over time.</w:t>
      </w:r>
    </w:p>
    <w:p>
      <w:pPr>
        <w:spacing w:after="200"/>
      </w:pPr>
      <w:r>
        <w:rPr>
          <w:b/>
          <w:bCs/>
          <w:color w:val="6B7280"/>
          <w:sz w:val="20"/>
          <w:szCs w:val="20"/>
        </w:rPr>
        <w:t xml:space="preserve">Business decision it supports: </w:t>
      </w:r>
      <w:r>
        <w:rPr>
          <w:i/>
          <w:iCs/>
          <w:sz w:val="20"/>
          <w:szCs w:val="20"/>
        </w:rPr>
        <w:t xml:space="preserve">Supports seasonal staffing and budget planning.</w:t>
      </w:r>
    </w:p>
    <w:p>
      <w:pPr>
        <w:spacing w:after="80" w:before="200"/>
      </w:pPr>
      <w:r>
        <w:rPr>
          <w:b/>
          <w:bCs/>
          <w:color w:val="1B2A4A"/>
          <w:sz w:val="23"/>
          <w:szCs w:val="23"/>
        </w:rPr>
        <w:t xml:space="preserve">State Performance - Volume vs Cost vs Fraud (scatter chart)</w:t>
      </w:r>
    </w:p>
    <w:p>
      <w:pPr>
        <w:spacing w:after="60"/>
      </w:pPr>
      <w:r>
        <w:rPr>
          <w:b/>
          <w:bCs/>
          <w:color w:val="6B7280"/>
          <w:sz w:val="20"/>
          <w:szCs w:val="20"/>
        </w:rPr>
        <w:t xml:space="preserve">What it shows: </w:t>
      </w:r>
      <w:r>
        <w:rPr>
          <w:sz w:val="20"/>
          <w:szCs w:val="20"/>
        </w:rPr>
        <w:t xml:space="preserve">Plots every state by claims volume against reimbursement, colored by region.</w:t>
      </w:r>
    </w:p>
    <w:p>
      <w:pPr>
        <w:spacing w:after="200"/>
      </w:pPr>
      <w:r>
        <w:rPr>
          <w:b/>
          <w:bCs/>
          <w:color w:val="6B7280"/>
          <w:sz w:val="20"/>
          <w:szCs w:val="20"/>
        </w:rPr>
        <w:t xml:space="preserve">Business decision it supports: </w:t>
      </w:r>
      <w:r>
        <w:rPr>
          <w:i/>
          <w:iCs/>
          <w:sz w:val="20"/>
          <w:szCs w:val="20"/>
        </w:rPr>
        <w:t xml:space="preserve">Identifies a state that is simultaneously high-cost and high-fraud.</w:t>
      </w:r>
    </w:p>
    <w:p>
      <w:pPr>
        <w:spacing w:after="80" w:before="200"/>
      </w:pPr>
      <w:r>
        <w:rPr>
          <w:b/>
          <w:bCs/>
          <w:color w:val="1B2A4A"/>
          <w:sz w:val="23"/>
          <w:szCs w:val="23"/>
        </w:rPr>
        <w:t xml:space="preserve">Healthcare Spend by State (filled map)</w:t>
      </w:r>
    </w:p>
    <w:p>
      <w:pPr>
        <w:spacing w:after="60"/>
      </w:pPr>
      <w:r>
        <w:rPr>
          <w:b/>
          <w:bCs/>
          <w:color w:val="6B7280"/>
          <w:sz w:val="20"/>
          <w:szCs w:val="20"/>
        </w:rPr>
        <w:t xml:space="preserve">What it shows: </w:t>
      </w:r>
      <w:r>
        <w:rPr>
          <w:sz w:val="20"/>
          <w:szCs w:val="20"/>
        </w:rPr>
        <w:t xml:space="preserve">Two issues were corrected here: a color range that had every state displaying identically, and a color direction that showed high-fraud states in the color normally meaning healthy. Both are fixed.</w:t>
      </w:r>
    </w:p>
    <w:p>
      <w:pPr>
        <w:spacing w:after="200"/>
      </w:pPr>
      <w:r>
        <w:rPr>
          <w:b/>
          <w:bCs/>
          <w:color w:val="6B7280"/>
          <w:sz w:val="20"/>
          <w:szCs w:val="20"/>
        </w:rPr>
        <w:t xml:space="preserve">Business decision it supports: </w:t>
      </w:r>
      <w:r>
        <w:rPr>
          <w:i/>
          <w:iCs/>
          <w:sz w:val="20"/>
          <w:szCs w:val="20"/>
        </w:rPr>
        <w:t xml:space="preserve">Gives an accurate, correctly color-coded geographic read regardless of which of the six measures is selected.</w:t>
      </w:r>
    </w:p>
    <w:p>
      <w:pPr>
        <w:spacing w:after="80" w:before="200"/>
      </w:pPr>
      <w:r>
        <w:rPr>
          <w:b/>
          <w:bCs/>
          <w:color w:val="1B2A4A"/>
          <w:sz w:val="23"/>
          <w:szCs w:val="23"/>
        </w:rPr>
        <w:t xml:space="preserve">Seasonal Claims Pattern - Month x Year Heatmap</w:t>
      </w:r>
    </w:p>
    <w:p>
      <w:pPr>
        <w:spacing w:after="60"/>
      </w:pPr>
      <w:r>
        <w:rPr>
          <w:b/>
          <w:bCs/>
          <w:color w:val="6B7280"/>
          <w:sz w:val="20"/>
          <w:szCs w:val="20"/>
        </w:rPr>
        <w:t xml:space="preserve">What it shows: </w:t>
      </w:r>
      <w:r>
        <w:rPr>
          <w:sz w:val="20"/>
          <w:szCs w:val="20"/>
        </w:rPr>
        <w:t xml:space="preserve">Claims and reimbursement broken out by month across each year.</w:t>
      </w:r>
    </w:p>
    <w:p>
      <w:pPr>
        <w:spacing w:after="200"/>
      </w:pPr>
      <w:r>
        <w:rPr>
          <w:b/>
          <w:bCs/>
          <w:color w:val="6B7280"/>
          <w:sz w:val="20"/>
          <w:szCs w:val="20"/>
        </w:rPr>
        <w:t xml:space="preserve">Business decision it supports: </w:t>
      </w:r>
      <w:r>
        <w:rPr>
          <w:i/>
          <w:iCs/>
          <w:sz w:val="20"/>
          <w:szCs w:val="20"/>
        </w:rPr>
        <w:t xml:space="preserve">Distinguishes a recurring seasonal pattern from a genuine one-time spike.</w:t>
      </w:r>
    </w:p>
    <w:p>
      <w:pPr>
        <w:spacing w:after="80" w:before="200"/>
      </w:pPr>
      <w:r>
        <w:rPr>
          <w:b/>
          <w:bCs/>
          <w:color w:val="1B2A4A"/>
          <w:sz w:val="23"/>
          <w:szCs w:val="23"/>
        </w:rPr>
        <w:t xml:space="preserve">Regional Performance vs National Benchmark (table)</w:t>
      </w:r>
    </w:p>
    <w:p>
      <w:pPr>
        <w:spacing w:after="60"/>
      </w:pPr>
      <w:r>
        <w:rPr>
          <w:b/>
          <w:bCs/>
          <w:color w:val="6B7280"/>
          <w:sz w:val="20"/>
          <w:szCs w:val="20"/>
        </w:rPr>
        <w:t xml:space="preserve">What it shows: </w:t>
      </w:r>
      <w:r>
        <w:rPr>
          <w:sz w:val="20"/>
          <w:szCs w:val="20"/>
        </w:rPr>
        <w:t xml:space="preserve">The precise figures behind the map's colors, by region.</w:t>
      </w:r>
    </w:p>
    <w:p>
      <w:pPr>
        <w:spacing w:after="200"/>
      </w:pPr>
      <w:r>
        <w:rPr>
          <w:b/>
          <w:bCs/>
          <w:color w:val="6B7280"/>
          <w:sz w:val="20"/>
          <w:szCs w:val="20"/>
        </w:rPr>
        <w:t xml:space="preserve">Business decision it supports: </w:t>
      </w:r>
      <w:r>
        <w:rPr>
          <w:i/>
          <w:iCs/>
          <w:sz w:val="20"/>
          <w:szCs w:val="20"/>
        </w:rPr>
        <w:t xml:space="preserve">Provides exact figures for direct citation in a meeting.</w:t>
      </w:r>
    </w:p>
    <w:p>
      <w:pPr>
        <w:spacing w:after="80" w:before="200"/>
      </w:pPr>
      <w:r>
        <w:rPr>
          <w:b/>
          <w:bCs/>
          <w:color w:val="1B2A4A"/>
          <w:sz w:val="23"/>
          <w:szCs w:val="23"/>
        </w:rPr>
        <w:t xml:space="preserve">Top 15 States - Total Claims (bar chart)</w:t>
      </w:r>
    </w:p>
    <w:p>
      <w:pPr>
        <w:spacing w:after="60"/>
      </w:pPr>
      <w:r>
        <w:rPr>
          <w:b/>
          <w:bCs/>
          <w:color w:val="6B7280"/>
          <w:sz w:val="20"/>
          <w:szCs w:val="20"/>
        </w:rPr>
        <w:t xml:space="preserve">What it shows: </w:t>
      </w:r>
      <w:r>
        <w:rPr>
          <w:sz w:val="20"/>
          <w:szCs w:val="20"/>
        </w:rPr>
        <w:t xml:space="preserve">A simple ranked list.</w:t>
      </w:r>
    </w:p>
    <w:p>
      <w:pPr>
        <w:spacing w:after="200"/>
      </w:pPr>
      <w:r>
        <w:rPr>
          <w:b/>
          <w:bCs/>
          <w:color w:val="6B7280"/>
          <w:sz w:val="20"/>
          <w:szCs w:val="20"/>
        </w:rPr>
        <w:t xml:space="preserve">Business decision it supports: </w:t>
      </w:r>
      <w:r>
        <w:rPr>
          <w:i/>
          <w:iCs/>
          <w:sz w:val="20"/>
          <w:szCs w:val="20"/>
        </w:rPr>
        <w:t xml:space="preserve">The fastest possible answer to who is biggest.</w:t>
      </w:r>
    </w:p>
    <w:p>
      <w:pPr>
        <w:spacing w:after="80" w:before="200"/>
      </w:pPr>
      <w:r>
        <w:rPr>
          <w:b/>
          <w:bCs/>
          <w:color w:val="1B2A4A"/>
          <w:sz w:val="23"/>
          <w:szCs w:val="23"/>
        </w:rPr>
        <w:t xml:space="preserve">Explanatory Footnote</w:t>
      </w:r>
    </w:p>
    <w:p>
      <w:pPr>
        <w:spacing w:after="60"/>
      </w:pPr>
      <w:r>
        <w:rPr>
          <w:b/>
          <w:bCs/>
          <w:color w:val="6B7280"/>
          <w:sz w:val="20"/>
          <w:szCs w:val="20"/>
        </w:rPr>
        <w:t xml:space="preserve">What it shows: </w:t>
      </w:r>
      <w:r>
        <w:rPr>
          <w:sz w:val="20"/>
          <w:szCs w:val="20"/>
        </w:rPr>
        <w:t xml:space="preserve">Clarifies that regional fraud counts do not sum to the national total, since a provider active in multiple regions is counted in each.</w:t>
      </w:r>
    </w:p>
    <w:p>
      <w:pPr>
        <w:spacing w:after="200"/>
      </w:pPr>
      <w:r>
        <w:rPr>
          <w:b/>
          <w:bCs/>
          <w:color w:val="6B7280"/>
          <w:sz w:val="20"/>
          <w:szCs w:val="20"/>
        </w:rPr>
        <w:t xml:space="preserve">Business decision it supports: </w:t>
      </w:r>
      <w:r>
        <w:rPr>
          <w:i/>
          <w:iCs/>
          <w:sz w:val="20"/>
          <w:szCs w:val="20"/>
        </w:rPr>
        <w:t xml:space="preserve">Prevents a real, easy misinterpretation of the regional figures.</w:t>
      </w:r>
    </w:p>
    <w:p>
      <w:r>
        <w:br w:type="page"/>
      </w:r>
    </w:p>
    <w:p>
      <w:pPr>
        <w:pStyle w:val="Heading1"/>
        <w:spacing w:after="200" w:before="400"/>
      </w:pPr>
      <w:r>
        <w:rPr>
          <w:b/>
          <w:bCs/>
          <w:color w:val="1B2A4A"/>
          <w:sz w:val="32"/>
          <w:szCs w:val="32"/>
        </w:rPr>
        <w:t xml:space="preserve">Supporting Pages: Provider Profile &amp; Tooltip</w:t>
      </w:r>
    </w:p>
    <w:p>
      <w:pPr>
        <w:spacing w:after="40" w:before="150"/>
      </w:pPr>
      <w:r>
        <w:rPr>
          <w:b/>
          <w:bCs/>
          <w:color w:val="1B2A4A"/>
          <w:sz w:val="21"/>
          <w:szCs w:val="21"/>
        </w:rPr>
        <w:t xml:space="preserve">Audience:</w:t>
      </w:r>
    </w:p>
    <w:p>
      <w:pPr>
        <w:spacing w:after="150" w:line="300"/>
      </w:pPr>
      <w:r>
        <w:rPr>
          <w:sz w:val="21"/>
          <w:szCs w:val="21"/>
        </w:rPr>
        <w:t xml:space="preserve">Any user, reached through interaction.</w:t>
      </w:r>
    </w:p>
    <w:p>
      <w:pPr>
        <w:spacing w:after="40" w:before="150"/>
      </w:pPr>
      <w:r>
        <w:rPr>
          <w:b/>
          <w:bCs/>
          <w:color w:val="1B2A4A"/>
          <w:sz w:val="21"/>
          <w:szCs w:val="21"/>
        </w:rPr>
        <w:t xml:space="preserve">Page purpose:</w:t>
      </w:r>
    </w:p>
    <w:p>
      <w:pPr>
        <w:spacing w:after="150" w:line="300"/>
      </w:pPr>
      <w:r>
        <w:rPr>
          <w:sz w:val="21"/>
          <w:szCs w:val="21"/>
        </w:rPr>
        <w:t xml:space="preserve">Hidden from main navigation, not meant to be visited directly.</w:t>
      </w:r>
    </w:p>
    <w:p>
      <w:pPr>
        <w:pBdr>
          <w:bottom w:val="single" w:color="D1D5DB" w:sz="6" w:space="4"/>
        </w:pBdr>
        <w:spacing w:after="200" w:before="100"/>
      </w:pPr>
      <w:r>
        <w:t xml:space="preserve"/>
      </w:r>
    </w:p>
    <w:p>
      <w:pPr>
        <w:spacing w:after="80" w:before="200"/>
      </w:pPr>
      <w:r>
        <w:rPr>
          <w:b/>
          <w:bCs/>
          <w:color w:val="1B2A4A"/>
          <w:sz w:val="23"/>
          <w:szCs w:val="23"/>
        </w:rPr>
        <w:t xml:space="preserve">Provider Profile (drillthrough page)</w:t>
      </w:r>
    </w:p>
    <w:p>
      <w:pPr>
        <w:spacing w:after="60"/>
      </w:pPr>
      <w:r>
        <w:rPr>
          <w:b/>
          <w:bCs/>
          <w:color w:val="6B7280"/>
          <w:sz w:val="20"/>
          <w:szCs w:val="20"/>
        </w:rPr>
        <w:t xml:space="preserve">What it shows: </w:t>
      </w:r>
      <w:r>
        <w:rPr>
          <w:sz w:val="20"/>
          <w:szCs w:val="20"/>
        </w:rPr>
        <w:t xml:space="preserve">Reached by right-clicking any provider elsewhere in the report. Shows a full single-provider profile.</w:t>
      </w:r>
    </w:p>
    <w:p>
      <w:pPr>
        <w:spacing w:after="200"/>
      </w:pPr>
      <w:r>
        <w:rPr>
          <w:b/>
          <w:bCs/>
          <w:color w:val="6B7280"/>
          <w:sz w:val="20"/>
          <w:szCs w:val="20"/>
        </w:rPr>
        <w:t xml:space="preserve">Business decision it supports: </w:t>
      </w:r>
      <w:r>
        <w:rPr>
          <w:i/>
          <w:iCs/>
          <w:sz w:val="20"/>
          <w:szCs w:val="20"/>
        </w:rPr>
        <w:t xml:space="preserve">Full detail on one provider without cluttering the main pages.</w:t>
      </w:r>
    </w:p>
    <w:p>
      <w:pPr>
        <w:spacing w:after="80" w:before="200"/>
      </w:pPr>
      <w:r>
        <w:rPr>
          <w:b/>
          <w:bCs/>
          <w:color w:val="1B2A4A"/>
          <w:sz w:val="23"/>
          <w:szCs w:val="23"/>
        </w:rPr>
        <w:t xml:space="preserve">Tooltip - Provider (tooltip page)</w:t>
      </w:r>
    </w:p>
    <w:p>
      <w:pPr>
        <w:spacing w:after="60"/>
      </w:pPr>
      <w:r>
        <w:rPr>
          <w:b/>
          <w:bCs/>
          <w:color w:val="6B7280"/>
          <w:sz w:val="20"/>
          <w:szCs w:val="20"/>
        </w:rPr>
        <w:t xml:space="preserve">What it shows: </w:t>
      </w:r>
      <w:r>
        <w:rPr>
          <w:sz w:val="20"/>
          <w:szCs w:val="20"/>
        </w:rPr>
        <w:t xml:space="preserve">Shown automatically on hover for quick contextual detail.</w:t>
      </w:r>
    </w:p>
    <w:p>
      <w:pPr>
        <w:spacing w:after="200"/>
      </w:pPr>
      <w:r>
        <w:rPr>
          <w:b/>
          <w:bCs/>
          <w:color w:val="6B7280"/>
          <w:sz w:val="20"/>
          <w:szCs w:val="20"/>
        </w:rPr>
        <w:t xml:space="preserve">Business decision it supports: </w:t>
      </w:r>
      <w:r>
        <w:rPr>
          <w:i/>
          <w:iCs/>
          <w:sz w:val="20"/>
          <w:szCs w:val="20"/>
        </w:rPr>
        <w:t xml:space="preserve">Supports fast in-context lookups during normal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MediSight Dashboard Documentation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2026-08-05T06:12:11.834Z</dcterms:created>
  <dcterms:modified xsi:type="dcterms:W3CDTF">2026-08-05T06:12:11.851Z</dcterms:modified>
</cp:coreProperties>
</file>

<file path=docProps/custom.xml><?xml version="1.0" encoding="utf-8"?>
<Properties xmlns="http://schemas.openxmlformats.org/officeDocument/2006/custom-properties" xmlns:vt="http://schemas.openxmlformats.org/officeDocument/2006/docPropsVTypes"/>
</file>