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0fa7b7d9f06140ce"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E77F2A7" wp14:paraId="156135C8" wp14:textId="05BB3958">
      <w:pPr>
        <w:spacing w:before="0" w:beforeAutospacing="off" w:after="160" w:afterAutospacing="off" w:line="276" w:lineRule="auto"/>
        <w:jc w:val="center"/>
      </w:pPr>
      <w:r w:rsidRPr="3E77F2A7" w:rsidR="37B40ACB">
        <w:rPr>
          <w:rFonts w:ascii="Aptos" w:hAnsi="Aptos" w:eastAsia="Aptos" w:cs="Aptos"/>
          <w:b w:val="1"/>
          <w:bCs w:val="1"/>
          <w:noProof w:val="0"/>
          <w:sz w:val="32"/>
          <w:szCs w:val="32"/>
          <w:lang w:val="en-US"/>
        </w:rPr>
        <w:t>Overview of Project</w:t>
      </w:r>
    </w:p>
    <w:p xmlns:wp14="http://schemas.microsoft.com/office/word/2010/wordml" w:rsidP="3E77F2A7" wp14:paraId="27FACC1B" wp14:textId="09B2E2FC">
      <w:pPr>
        <w:spacing w:before="0" w:beforeAutospacing="off" w:after="160" w:afterAutospacing="off" w:line="276" w:lineRule="auto"/>
        <w:jc w:val="both"/>
      </w:pPr>
      <w:r w:rsidRPr="3E77F2A7" w:rsidR="37B40ACB">
        <w:rPr>
          <w:rFonts w:ascii="Aptos" w:hAnsi="Aptos" w:eastAsia="Aptos" w:cs="Aptos"/>
          <w:b w:val="1"/>
          <w:bCs w:val="1"/>
          <w:noProof w:val="0"/>
          <w:sz w:val="24"/>
          <w:szCs w:val="24"/>
          <w:lang w:val="en-US"/>
        </w:rPr>
        <w:t>Project Title: Spatiotemporal Dynamics and Seasonal Trends of Dengue Cases and Mortality in Bangladesh (2020–2023)</w:t>
      </w:r>
    </w:p>
    <w:p xmlns:wp14="http://schemas.microsoft.com/office/word/2010/wordml" w:rsidP="3E77F2A7" wp14:paraId="414BFB76" wp14:textId="6B40D0DC">
      <w:pPr>
        <w:spacing w:before="0" w:beforeAutospacing="off" w:after="160" w:afterAutospacing="off" w:line="276" w:lineRule="auto"/>
        <w:jc w:val="both"/>
      </w:pPr>
      <w:r w:rsidRPr="3E77F2A7" w:rsidR="37B40ACB">
        <w:rPr>
          <w:rFonts w:ascii="Aptos" w:hAnsi="Aptos" w:eastAsia="Aptos" w:cs="Aptos"/>
          <w:noProof w:val="0"/>
          <w:sz w:val="24"/>
          <w:szCs w:val="24"/>
          <w:lang w:val="en-US"/>
        </w:rPr>
        <w:t xml:space="preserve">Dengue </w:t>
      </w:r>
      <w:sdt>
        <w:sdtPr>
          <w:id w:val="481205262"/>
          <w15:appearance w15:val="hidden"/>
          <w:tag w:val="tii-similarity-SU5URVJORVRfd3d3LndhbHNobWVkaWNhbG1lZGlhLmNvbQ=="/>
          <w:placeholder>
            <w:docPart w:val="DefaultPlaceholder_-1854013440"/>
          </w:placeholder>
        </w:sdtPr>
        <w:sdtContent>
          <w:r w:rsidRPr="3E77F2A7" w:rsidR="37B40ACB">
            <w:rPr>
              <w:rFonts w:ascii="Aptos" w:hAnsi="Aptos" w:eastAsia="Aptos" w:cs="Aptos"/>
              <w:noProof w:val="0"/>
              <w:sz w:val="24"/>
              <w:szCs w:val="24"/>
              <w:lang w:val="en-US"/>
            </w:rPr>
            <w:t xml:space="preserve">is a mosquito-borne viral disease transmitted primarily by </w:t>
          </w:r>
          <w:r w:rsidRPr="3E77F2A7" w:rsidR="37B40ACB">
            <w:rPr>
              <w:rFonts w:ascii="Aptos" w:hAnsi="Aptos" w:eastAsia="Aptos" w:cs="Aptos"/>
              <w:i w:val="1"/>
              <w:iCs w:val="1"/>
              <w:noProof w:val="0"/>
              <w:sz w:val="24"/>
              <w:szCs w:val="24"/>
              <w:lang w:val="en-US"/>
            </w:rPr>
            <w:t>Aedes aegypti</w:t>
          </w:r>
          <w:r w:rsidRPr="3E77F2A7" w:rsidR="37B40ACB">
            <w:rPr>
              <w:rFonts w:ascii="Aptos" w:hAnsi="Aptos" w:eastAsia="Aptos" w:cs="Aptos"/>
              <w:noProof w:val="0"/>
              <w:sz w:val="24"/>
              <w:szCs w:val="24"/>
              <w:lang w:val="en-US"/>
            </w:rPr>
            <w:t xml:space="preserve"> and</w:t>
          </w:r>
        </w:sdtContent>
      </w:sdt>
      <w:r w:rsidRPr="3E77F2A7" w:rsidR="37B40ACB">
        <w:rPr>
          <w:rFonts w:ascii="Aptos" w:hAnsi="Aptos" w:eastAsia="Aptos" w:cs="Aptos"/>
          <w:noProof w:val="0"/>
          <w:sz w:val="24"/>
          <w:szCs w:val="24"/>
          <w:lang w:val="en-US"/>
        </w:rPr>
        <w:t xml:space="preserve"> </w:t>
      </w:r>
      <w:sdt>
        <w:sdtPr>
          <w:id w:val="1566633416"/>
          <w15:appearance w15:val="hidden"/>
          <w:tag w:val="tii-similarity-SU5URVJORVRfd3d3LndhbHNobWVkaWNhbG1lZGlhLmNvbQ=="/>
          <w:placeholder>
            <w:docPart w:val="DefaultPlaceholder_-1854013440"/>
          </w:placeholder>
        </w:sdtPr>
        <w:sdtContent>
          <w:r w:rsidRPr="3E77F2A7" w:rsidR="37B40ACB">
            <w:rPr>
              <w:rFonts w:ascii="Aptos" w:hAnsi="Aptos" w:eastAsia="Aptos" w:cs="Aptos"/>
              <w:i w:val="1"/>
              <w:iCs w:val="1"/>
              <w:noProof w:val="0"/>
              <w:sz w:val="24"/>
              <w:szCs w:val="24"/>
              <w:lang w:val="en-US"/>
            </w:rPr>
            <w:t>Aedes albopictus</w:t>
          </w:r>
        </w:sdtContent>
      </w:sdt>
      <w:r w:rsidRPr="3E77F2A7" w:rsidR="37B40ACB">
        <w:rPr>
          <w:rFonts w:ascii="Aptos" w:hAnsi="Aptos" w:eastAsia="Aptos" w:cs="Aptos"/>
          <w:noProof w:val="0"/>
          <w:sz w:val="24"/>
          <w:szCs w:val="24"/>
          <w:lang w:val="en-US"/>
        </w:rPr>
        <w:t>. Since its first documentation in the 1960s, Bangladesh has experienced recurring outbreaks, with major surges recorded in 2000, 2019, and the deadliest in 2023</w:t>
      </w:r>
      <w:r w:rsidRPr="3E77F2A7" w:rsidR="37B40ACB">
        <w:rPr>
          <w:rFonts w:ascii="Aptos" w:hAnsi="Aptos" w:eastAsia="Aptos" w:cs="Aptos"/>
          <w:noProof w:val="0"/>
          <w:sz w:val="24"/>
          <w:szCs w:val="24"/>
          <w:vertAlign w:val="superscript"/>
          <w:lang w:val="en-US"/>
        </w:rPr>
        <w:t>1</w:t>
      </w:r>
      <w:r w:rsidRPr="3E77F2A7" w:rsidR="37B40ACB">
        <w:rPr>
          <w:rFonts w:ascii="Aptos" w:hAnsi="Aptos" w:eastAsia="Aptos" w:cs="Aptos"/>
          <w:noProof w:val="0"/>
          <w:sz w:val="24"/>
          <w:szCs w:val="24"/>
          <w:lang w:val="en-US"/>
        </w:rPr>
        <w:t>. This study aims to examine the spatial and seasonal distribution of dengue cases and deaths across Bangladesh districts over a four-year period (2020–2023) using advanced data visualization and statistical tools in R.</w:t>
      </w:r>
    </w:p>
    <w:p xmlns:wp14="http://schemas.microsoft.com/office/word/2010/wordml" w:rsidP="3E77F2A7" wp14:paraId="5482BDBB" wp14:textId="6A285D2A">
      <w:pPr>
        <w:spacing w:before="0" w:beforeAutospacing="off" w:after="160" w:afterAutospacing="off" w:line="276" w:lineRule="auto"/>
        <w:jc w:val="both"/>
      </w:pPr>
      <w:r w:rsidRPr="3E77F2A7" w:rsidR="37B40ACB">
        <w:rPr>
          <w:rFonts w:ascii="Aptos" w:hAnsi="Aptos" w:eastAsia="Aptos" w:cs="Aptos"/>
          <w:noProof w:val="0"/>
          <w:sz w:val="24"/>
          <w:szCs w:val="24"/>
          <w:lang w:val="en-US"/>
        </w:rPr>
        <w:t>The analysis focuses on generating choropleth maps to illustrate district-wise dengue incidence, time series plots to uncover seasonal patterns, and demographic comparisons to assess age and gender-based vulnerability. Monthly trends were explored using line and bar graphs highlighting periods of peak transmission. To understand mortality risks, the case fatality rate (CFR) is evaluated over time. Statistical significance of gender-based differences in infection and death rates is assessed through Chi-squared tests.</w:t>
      </w:r>
    </w:p>
    <w:p xmlns:wp14="http://schemas.microsoft.com/office/word/2010/wordml" w:rsidP="3E77F2A7" wp14:paraId="0128D0FB" wp14:textId="07B10BCA">
      <w:pPr>
        <w:spacing w:before="0" w:beforeAutospacing="off" w:after="160" w:afterAutospacing="off" w:line="276" w:lineRule="auto"/>
        <w:jc w:val="both"/>
      </w:pPr>
      <w:r w:rsidRPr="3E77F2A7" w:rsidR="37B40ACB">
        <w:rPr>
          <w:rFonts w:ascii="Aptos" w:hAnsi="Aptos" w:eastAsia="Aptos" w:cs="Aptos"/>
          <w:noProof w:val="0"/>
          <w:sz w:val="24"/>
          <w:szCs w:val="24"/>
          <w:lang w:val="en-US"/>
        </w:rPr>
        <w:t>All data wrangling, visualization, and statistical testing were performed in R Studio using packages such as readxl, dplyr, tidyr, sf, ggplot2. I believe my analyses successfully pinpointed demographic patterns and geographic hotspots, helping translate raw surveillance data into actionable public health insights.</w:t>
      </w:r>
    </w:p>
    <w:p xmlns:wp14="http://schemas.microsoft.com/office/word/2010/wordml" w:rsidP="3E77F2A7" wp14:paraId="3CB920E4" wp14:textId="2B1BE81D">
      <w:pPr>
        <w:spacing w:before="0" w:beforeAutospacing="off" w:after="160" w:afterAutospacing="off" w:line="276" w:lineRule="auto"/>
        <w:jc w:val="both"/>
      </w:pPr>
      <w:r w:rsidRPr="3E77F2A7" w:rsidR="37B40ACB">
        <w:rPr>
          <w:rFonts w:ascii="Aptos" w:hAnsi="Aptos" w:eastAsia="Aptos" w:cs="Aptos"/>
          <w:noProof w:val="0"/>
          <w:sz w:val="24"/>
          <w:szCs w:val="24"/>
          <w:lang w:val="en-US"/>
        </w:rPr>
        <w:t>The findings from this analysis are expected to assist public health officials in identifying hotspots, allocating resources efficiently, and implementing timely interventions. Furthermore, the demographic breakdown provides insights into which age and gender groups are most vulnerable, thereby enhancing preparedness and response strategies.</w:t>
      </w:r>
    </w:p>
    <w:p xmlns:wp14="http://schemas.microsoft.com/office/word/2010/wordml" w:rsidP="3E77F2A7" wp14:paraId="62273628" wp14:textId="4CB586AF">
      <w:pPr>
        <w:spacing w:before="0" w:beforeAutospacing="off" w:after="160" w:afterAutospacing="off" w:line="276" w:lineRule="auto"/>
        <w:jc w:val="both"/>
      </w:pPr>
      <w:r w:rsidRPr="3E77F2A7" w:rsidR="37B40ACB">
        <w:rPr>
          <w:rFonts w:ascii="Aptos" w:hAnsi="Aptos" w:eastAsia="Aptos" w:cs="Aptos"/>
          <w:b w:val="1"/>
          <w:bCs w:val="1"/>
          <w:noProof w:val="0"/>
          <w:sz w:val="24"/>
          <w:szCs w:val="24"/>
          <w:lang w:val="en-US"/>
        </w:rPr>
        <w:t xml:space="preserve"> </w:t>
      </w:r>
    </w:p>
    <w:p xmlns:wp14="http://schemas.microsoft.com/office/word/2010/wordml" w:rsidP="3E77F2A7" wp14:paraId="1E03B9E7" wp14:textId="395D5B2B">
      <w:pPr>
        <w:spacing w:before="0" w:beforeAutospacing="off" w:after="160" w:afterAutospacing="off" w:line="276" w:lineRule="auto"/>
        <w:jc w:val="both"/>
      </w:pPr>
      <w:r w:rsidRPr="3E77F2A7" w:rsidR="37B40ACB">
        <w:rPr>
          <w:rFonts w:ascii="Aptos" w:hAnsi="Aptos" w:eastAsia="Aptos" w:cs="Aptos"/>
          <w:b w:val="1"/>
          <w:bCs w:val="1"/>
          <w:noProof w:val="0"/>
          <w:sz w:val="28"/>
          <w:szCs w:val="28"/>
          <w:lang w:val="en-US"/>
        </w:rPr>
        <w:t>References</w:t>
      </w:r>
    </w:p>
    <w:p xmlns:wp14="http://schemas.microsoft.com/office/word/2010/wordml" w:rsidP="3E77F2A7" wp14:paraId="29223A96" wp14:textId="42DFB7F6">
      <w:pPr>
        <w:pStyle w:val="ListParagraph"/>
        <w:numPr>
          <w:ilvl w:val="0"/>
          <w:numId w:val="1"/>
        </w:numPr>
        <w:spacing w:before="0" w:beforeAutospacing="off" w:after="0" w:afterAutospacing="off" w:line="276" w:lineRule="auto"/>
        <w:ind w:left="720" w:right="0" w:hanging="360"/>
        <w:jc w:val="both"/>
        <w:rPr>
          <w:rFonts w:ascii="Aptos" w:hAnsi="Aptos" w:eastAsia="Aptos" w:cs="Aptos"/>
          <w:strike w:val="0"/>
          <w:dstrike w:val="0"/>
          <w:noProof w:val="0"/>
          <w:color w:val="467886"/>
          <w:sz w:val="24"/>
          <w:szCs w:val="24"/>
          <w:u w:val="single"/>
          <w:lang w:val="en-US"/>
        </w:rPr>
      </w:pPr>
      <w:sdt>
        <w:sdtPr>
          <w:id w:val="63125567"/>
          <w15:appearance w15:val="hidden"/>
          <w:tag w:val="tii-similarity-U1VCTUlUVEVEX1dPUktfb2lkOjE6MjkxNTQxNzIxMg=="/>
          <w:placeholder>
            <w:docPart w:val="DefaultPlaceholder_-1854013440"/>
          </w:placeholder>
        </w:sdtPr>
        <w:sdtContent>
          <w:r w:rsidRPr="3E77F2A7" w:rsidR="37B40ACB">
            <w:rPr>
              <w:rFonts w:ascii="Aptos" w:hAnsi="Aptos" w:eastAsia="Aptos" w:cs="Aptos"/>
              <w:noProof w:val="0"/>
              <w:sz w:val="24"/>
              <w:szCs w:val="24"/>
              <w:lang w:val="en-US"/>
            </w:rPr>
            <w:t>Salje</w:t>
          </w:r>
          <w:r w:rsidRPr="3E77F2A7" w:rsidR="37B40ACB">
            <w:rPr>
              <w:rFonts w:ascii="Aptos" w:hAnsi="Aptos" w:eastAsia="Aptos" w:cs="Aptos"/>
              <w:noProof w:val="0"/>
              <w:sz w:val="24"/>
              <w:szCs w:val="24"/>
              <w:lang w:val="en-US"/>
            </w:rPr>
            <w:t xml:space="preserve">, H., et al. (2019). Nationally representative </w:t>
          </w:r>
          <w:r w:rsidRPr="3E77F2A7" w:rsidR="37B40ACB">
            <w:rPr>
              <w:rFonts w:ascii="Aptos" w:hAnsi="Aptos" w:eastAsia="Aptos" w:cs="Aptos"/>
              <w:noProof w:val="0"/>
              <w:sz w:val="24"/>
              <w:szCs w:val="24"/>
              <w:lang w:val="en-US"/>
            </w:rPr>
            <w:t>serostudy</w:t>
          </w:r>
          <w:r w:rsidRPr="3E77F2A7" w:rsidR="37B40ACB">
            <w:rPr>
              <w:rFonts w:ascii="Aptos" w:hAnsi="Aptos" w:eastAsia="Aptos" w:cs="Aptos"/>
              <w:noProof w:val="0"/>
              <w:sz w:val="24"/>
              <w:szCs w:val="24"/>
              <w:lang w:val="en-US"/>
            </w:rPr>
            <w:t xml:space="preserve"> of dengue in Bangladesh</w:t>
          </w:r>
        </w:sdtContent>
      </w:sdt>
      <w:r w:rsidRPr="3E77F2A7" w:rsidR="37B40ACB">
        <w:rPr>
          <w:rFonts w:ascii="Aptos" w:hAnsi="Aptos" w:eastAsia="Aptos" w:cs="Aptos"/>
          <w:noProof w:val="0"/>
          <w:sz w:val="24"/>
          <w:szCs w:val="24"/>
          <w:lang w:val="en-US"/>
        </w:rPr>
        <w:t xml:space="preserve">. </w:t>
      </w:r>
      <w:sdt>
        <w:sdtPr>
          <w:id w:val="1489217065"/>
          <w15:appearance w15:val="hidden"/>
          <w:tag w:val="tii-similarity-SU5URVJORVRfb3VjaS5kbnRiLmdvdi51YQ=="/>
          <w:placeholder>
            <w:docPart w:val="DefaultPlaceholder_-1854013440"/>
          </w:placeholder>
        </w:sdtPr>
        <w:sdtContent>
          <w:r w:rsidRPr="3E77F2A7" w:rsidR="37B40ACB">
            <w:rPr>
              <w:rFonts w:ascii="Aptos" w:hAnsi="Aptos" w:eastAsia="Aptos" w:cs="Aptos"/>
              <w:i w:val="1"/>
              <w:iCs w:val="1"/>
              <w:noProof w:val="0"/>
              <w:sz w:val="24"/>
              <w:szCs w:val="24"/>
              <w:lang w:val="en-US"/>
            </w:rPr>
            <w:t>The Lancet Global Health</w:t>
          </w:r>
          <w:r w:rsidRPr="3E77F2A7" w:rsidR="37B40ACB">
            <w:rPr>
              <w:rFonts w:ascii="Aptos" w:hAnsi="Aptos" w:eastAsia="Aptos" w:cs="Aptos"/>
              <w:noProof w:val="0"/>
              <w:sz w:val="24"/>
              <w:szCs w:val="24"/>
              <w:lang w:val="en-US"/>
            </w:rPr>
            <w:t>, 7</w:t>
          </w:r>
        </w:sdtContent>
      </w:sdt>
      <w:r w:rsidRPr="3E77F2A7" w:rsidR="37B40ACB">
        <w:rPr>
          <w:rFonts w:ascii="Aptos" w:hAnsi="Aptos" w:eastAsia="Aptos" w:cs="Aptos"/>
          <w:noProof w:val="0"/>
          <w:sz w:val="24"/>
          <w:szCs w:val="24"/>
          <w:lang w:val="en-US"/>
        </w:rPr>
        <w:t xml:space="preserve">(3), e330–e339. </w:t>
      </w:r>
      <w:sdt>
        <w:sdtPr>
          <w:id w:val="1665842946"/>
          <w15:appearance w15:val="hidden"/>
          <w:tag w:val="tii-similarity-SU5URVJORVRfb3VjaS5kbnRiLmdvdi51YQ=="/>
          <w:placeholder>
            <w:docPart w:val="DefaultPlaceholder_-1854013440"/>
          </w:placeholder>
        </w:sdtPr>
        <w:sdtContent>
          <w:hyperlink r:id="R142e74cbd9e34724">
            <w:r w:rsidRPr="3E77F2A7" w:rsidR="37B40ACB">
              <w:rPr>
                <w:rStyle w:val="Hyperlink"/>
                <w:rFonts w:ascii="Aptos" w:hAnsi="Aptos" w:eastAsia="Aptos" w:cs="Aptos"/>
                <w:strike w:val="0"/>
                <w:dstrike w:val="0"/>
                <w:noProof w:val="0"/>
                <w:color w:val="467886"/>
                <w:sz w:val="24"/>
                <w:szCs w:val="24"/>
                <w:u w:val="single"/>
                <w:lang w:val="en-US"/>
              </w:rPr>
              <w:t>https://doi.org/10.1016/S2214-</w:t>
            </w:r>
          </w:hyperlink>
        </w:sdtContent>
      </w:sdt>
      <w:sdt>
        <w:sdtPr>
          <w:id w:val="1418675212"/>
          <w15:appearance w15:val="hidden"/>
          <w:tag w:val="tii-similarity-SU5URVJORVRfb3VjaS5kbnRiLmdvdi51YQ=="/>
          <w:placeholder>
            <w:docPart w:val="DefaultPlaceholder_-1854013440"/>
          </w:placeholder>
        </w:sdtPr>
        <w:sdtContent>
          <w:r w:rsidRPr="3E77F2A7" w:rsidR="37B40ACB">
            <w:rPr>
              <w:rStyle w:val="Hyperlink"/>
              <w:rFonts w:ascii="Aptos" w:hAnsi="Aptos" w:eastAsia="Aptos" w:cs="Aptos"/>
              <w:strike w:val="0"/>
              <w:dstrike w:val="0"/>
              <w:noProof w:val="0"/>
              <w:color w:val="467886"/>
              <w:sz w:val="24"/>
              <w:szCs w:val="24"/>
              <w:u w:val="single"/>
              <w:lang w:val="en-US"/>
            </w:rPr>
            <w:t>109X(18)30403-0</w:t>
          </w:r>
        </w:sdtContent>
      </w:sdt>
    </w:p>
    <w:p xmlns:wp14="http://schemas.microsoft.com/office/word/2010/wordml" w:rsidP="3E77F2A7" wp14:paraId="659BAA36" wp14:textId="2A420257">
      <w:pPr>
        <w:pStyle w:val="ListParagraph"/>
        <w:numPr>
          <w:ilvl w:val="0"/>
          <w:numId w:val="1"/>
        </w:numPr>
        <w:spacing w:before="0" w:beforeAutospacing="off" w:after="0" w:afterAutospacing="off" w:line="276" w:lineRule="auto"/>
        <w:ind w:left="720" w:right="0" w:hanging="360"/>
        <w:jc w:val="both"/>
        <w:rPr>
          <w:rFonts w:ascii="Aptos" w:hAnsi="Aptos" w:eastAsia="Aptos" w:cs="Aptos"/>
          <w:strike w:val="0"/>
          <w:dstrike w:val="0"/>
          <w:noProof w:val="0"/>
          <w:color w:val="467886"/>
          <w:sz w:val="24"/>
          <w:szCs w:val="24"/>
          <w:u w:val="single"/>
          <w:lang w:val="en-US"/>
        </w:rPr>
      </w:pPr>
      <w:r w:rsidRPr="3E77F2A7" w:rsidR="37B40ACB">
        <w:rPr>
          <w:rFonts w:ascii="Aptos" w:hAnsi="Aptos" w:eastAsia="Aptos" w:cs="Aptos"/>
          <w:noProof w:val="0"/>
          <w:sz w:val="24"/>
          <w:szCs w:val="24"/>
          <w:lang w:val="en-US"/>
        </w:rPr>
        <w:t xml:space="preserve">Sharmin, S., et al. (2015). Seasonality of dengue in </w:t>
      </w:r>
      <w:sdt>
        <w:sdtPr>
          <w:id w:val="1618641231"/>
          <w15:appearance w15:val="hidden"/>
          <w:tag w:val="tii-similarity-SU5URVJORVRfY3Jpcy50YXUuYWMuaWw="/>
          <w:placeholder>
            <w:docPart w:val="DefaultPlaceholder_-1854013440"/>
          </w:placeholder>
        </w:sdtPr>
        <w:sdtContent>
          <w:r w:rsidRPr="3E77F2A7" w:rsidR="37B40ACB">
            <w:rPr>
              <w:rFonts w:ascii="Aptos" w:hAnsi="Aptos" w:eastAsia="Aptos" w:cs="Aptos"/>
              <w:noProof w:val="0"/>
              <w:sz w:val="24"/>
              <w:szCs w:val="24"/>
              <w:lang w:val="en-US"/>
            </w:rPr>
            <w:t>Bangladesh: a time series</w:t>
          </w:r>
        </w:sdtContent>
      </w:sdt>
      <w:r w:rsidRPr="3E77F2A7" w:rsidR="37B40ACB">
        <w:rPr>
          <w:rFonts w:ascii="Aptos" w:hAnsi="Aptos" w:eastAsia="Aptos" w:cs="Aptos"/>
          <w:noProof w:val="0"/>
          <w:sz w:val="24"/>
          <w:szCs w:val="24"/>
          <w:lang w:val="en-US"/>
        </w:rPr>
        <w:t xml:space="preserve"> </w:t>
      </w:r>
      <w:sdt>
        <w:sdtPr>
          <w:id w:val="1305699153"/>
          <w15:appearance w15:val="hidden"/>
          <w:tag w:val="tii-similarity-SU5URVJORVRfY3Jpcy50YXUuYWMuaWw="/>
          <w:placeholder>
            <w:docPart w:val="DefaultPlaceholder_-1854013440"/>
          </w:placeholder>
        </w:sdtPr>
        <w:sdtContent>
          <w:r w:rsidRPr="3E77F2A7" w:rsidR="37B40ACB">
            <w:rPr>
              <w:rFonts w:ascii="Aptos" w:hAnsi="Aptos" w:eastAsia="Aptos" w:cs="Aptos"/>
              <w:noProof w:val="0"/>
              <w:sz w:val="24"/>
              <w:szCs w:val="24"/>
              <w:lang w:val="en-US"/>
            </w:rPr>
            <w:t xml:space="preserve">analysis. </w:t>
          </w:r>
          <w:r w:rsidRPr="3E77F2A7" w:rsidR="37B40ACB">
            <w:rPr>
              <w:rFonts w:ascii="Aptos" w:hAnsi="Aptos" w:eastAsia="Aptos" w:cs="Aptos"/>
              <w:i w:val="1"/>
              <w:iCs w:val="1"/>
              <w:noProof w:val="0"/>
              <w:sz w:val="24"/>
              <w:szCs w:val="24"/>
              <w:lang w:val="en-US"/>
            </w:rPr>
            <w:t>PLOS Neglected Tropical Diseases</w:t>
          </w:r>
        </w:sdtContent>
      </w:sdt>
      <w:r w:rsidRPr="3E77F2A7" w:rsidR="37B40ACB">
        <w:rPr>
          <w:rFonts w:ascii="Aptos" w:hAnsi="Aptos" w:eastAsia="Aptos" w:cs="Aptos"/>
          <w:noProof w:val="0"/>
          <w:sz w:val="24"/>
          <w:szCs w:val="24"/>
          <w:lang w:val="en-US"/>
        </w:rPr>
        <w:t xml:space="preserve">, 9(10), e0004110. </w:t>
      </w:r>
      <w:sdt>
        <w:sdtPr>
          <w:id w:val="686352806"/>
          <w15:appearance w15:val="hidden"/>
          <w:tag w:val="tii-similarity-SU5URVJORVRfY3Jpcy50YXUuYWMuaWw="/>
          <w:placeholder>
            <w:docPart w:val="DefaultPlaceholder_-1854013440"/>
          </w:placeholder>
        </w:sdtPr>
        <w:sdtContent>
          <w:hyperlink r:id="R239ed7f067174b8f">
            <w:r w:rsidRPr="3E77F2A7" w:rsidR="37B40ACB">
              <w:rPr>
                <w:rStyle w:val="Hyperlink"/>
                <w:rFonts w:ascii="Aptos" w:hAnsi="Aptos" w:eastAsia="Aptos" w:cs="Aptos"/>
                <w:strike w:val="0"/>
                <w:dstrike w:val="0"/>
                <w:noProof w:val="0"/>
                <w:color w:val="467886"/>
                <w:sz w:val="24"/>
                <w:szCs w:val="24"/>
                <w:u w:val="single"/>
                <w:lang w:val="en-US"/>
              </w:rPr>
              <w:t>https://doi.org/10.1371/journal.pntd</w:t>
            </w:r>
          </w:hyperlink>
        </w:sdtContent>
      </w:sdt>
      <w:r w:rsidRPr="3E77F2A7" w:rsidR="37B40ACB">
        <w:rPr>
          <w:rStyle w:val="Hyperlink"/>
          <w:rFonts w:ascii="Aptos" w:hAnsi="Aptos" w:eastAsia="Aptos" w:cs="Aptos"/>
          <w:strike w:val="0"/>
          <w:dstrike w:val="0"/>
          <w:noProof w:val="0"/>
          <w:color w:val="467886"/>
          <w:sz w:val="24"/>
          <w:szCs w:val="24"/>
          <w:u w:val="single"/>
          <w:lang w:val="en-US"/>
        </w:rPr>
        <w:t>.0004110</w:t>
      </w:r>
    </w:p>
    <w:p xmlns:wp14="http://schemas.microsoft.com/office/word/2010/wordml" w:rsidP="3E77F2A7" wp14:paraId="2CB2F169" wp14:textId="2B7BCEB5">
      <w:pPr>
        <w:spacing w:before="0" w:beforeAutospacing="off" w:after="160" w:afterAutospacing="off" w:line="276" w:lineRule="auto"/>
        <w:jc w:val="both"/>
      </w:pPr>
      <w:r w:rsidRPr="3E77F2A7" w:rsidR="37B40ACB">
        <w:rPr>
          <w:rFonts w:ascii="Aptos" w:hAnsi="Aptos" w:eastAsia="Aptos" w:cs="Aptos"/>
          <w:noProof w:val="0"/>
          <w:sz w:val="24"/>
          <w:szCs w:val="24"/>
          <w:lang w:val="en-US"/>
        </w:rPr>
        <w:t xml:space="preserve"> </w:t>
      </w:r>
    </w:p>
    <w:p xmlns:wp14="http://schemas.microsoft.com/office/word/2010/wordml" w:rsidP="3E77F2A7" wp14:paraId="4A4D71BE" wp14:textId="114E17FA">
      <w:pPr>
        <w:pStyle w:val="ListParagraph"/>
        <w:numPr>
          <w:ilvl w:val="0"/>
          <w:numId w:val="1"/>
        </w:numPr>
        <w:spacing w:before="0" w:beforeAutospacing="off" w:after="0" w:afterAutospacing="off" w:line="276" w:lineRule="auto"/>
        <w:ind w:left="720" w:right="0" w:hanging="360"/>
        <w:jc w:val="both"/>
        <w:rPr>
          <w:rFonts w:ascii="Aptos" w:hAnsi="Aptos" w:eastAsia="Aptos" w:cs="Aptos"/>
          <w:strike w:val="0"/>
          <w:dstrike w:val="0"/>
          <w:noProof w:val="0"/>
          <w:color w:val="467886"/>
          <w:sz w:val="24"/>
          <w:szCs w:val="24"/>
          <w:u w:val="single"/>
          <w:lang w:val="en-US"/>
        </w:rPr>
      </w:pPr>
      <w:r w:rsidRPr="3E77F2A7" w:rsidR="37B40ACB">
        <w:rPr>
          <w:rFonts w:ascii="Aptos" w:hAnsi="Aptos" w:eastAsia="Aptos" w:cs="Aptos"/>
          <w:noProof w:val="0"/>
          <w:sz w:val="24"/>
          <w:szCs w:val="24"/>
          <w:lang w:val="en-US"/>
        </w:rPr>
        <w:t>Karim, M. N., et al. (</w:t>
      </w:r>
      <w:sdt>
        <w:sdtPr>
          <w:id w:val="1759965603"/>
          <w15:appearance w15:val="hidden"/>
          <w:tag w:val="tii-similarity-UFVCTElDQVRJT05fQnJpaiBLaXNob3JlIFR5YWdpLiAiTW9zcXVpdG9lcyBvZiBJbmRpYSAtIE1vc3F1aXRvLUJvcm5lIERpc2Vhc2VzLCBEaWFnbm9zaXMgYW5kIENvbnRyb2wiLCBDUkMgUHJlc3MsIDIwMjU="/>
          <w:placeholder>
            <w:docPart w:val="DefaultPlaceholder_-1854013440"/>
          </w:placeholder>
        </w:sdtPr>
        <w:sdtContent>
          <w:r w:rsidRPr="3E77F2A7" w:rsidR="37B40ACB">
            <w:rPr>
              <w:rFonts w:ascii="Aptos" w:hAnsi="Aptos" w:eastAsia="Aptos" w:cs="Aptos"/>
              <w:noProof w:val="0"/>
              <w:sz w:val="24"/>
              <w:szCs w:val="24"/>
              <w:lang w:val="en-US"/>
            </w:rPr>
            <w:t>2021). Epidemiological analysis of the 2019 dengue</w:t>
          </w:r>
        </w:sdtContent>
      </w:sdt>
      <w:r w:rsidRPr="3E77F2A7" w:rsidR="37B40ACB">
        <w:rPr>
          <w:rFonts w:ascii="Aptos" w:hAnsi="Aptos" w:eastAsia="Aptos" w:cs="Aptos"/>
          <w:noProof w:val="0"/>
          <w:sz w:val="24"/>
          <w:szCs w:val="24"/>
          <w:lang w:val="en-US"/>
        </w:rPr>
        <w:t xml:space="preserve"> outbreak in Bangladesh. </w:t>
      </w:r>
      <w:sdt>
        <w:sdtPr>
          <w:id w:val="1143927400"/>
          <w15:appearance w15:val="hidden"/>
          <w:tag w:val="tii-similarity-SU5URVJORVRfc2F2YW5hLWNlbmRhbmEuaWQ="/>
          <w:placeholder>
            <w:docPart w:val="DefaultPlaceholder_-1854013440"/>
          </w:placeholder>
        </w:sdtPr>
        <w:sdtContent>
          <w:r w:rsidRPr="3E77F2A7" w:rsidR="37B40ACB">
            <w:rPr>
              <w:rFonts w:ascii="Aptos" w:hAnsi="Aptos" w:eastAsia="Aptos" w:cs="Aptos"/>
              <w:i w:val="1"/>
              <w:iCs w:val="1"/>
              <w:noProof w:val="0"/>
              <w:sz w:val="24"/>
              <w:szCs w:val="24"/>
              <w:lang w:val="en-US"/>
            </w:rPr>
            <w:t>Tropical Medicine and Health</w:t>
          </w:r>
          <w:r w:rsidRPr="3E77F2A7" w:rsidR="37B40ACB">
            <w:rPr>
              <w:rFonts w:ascii="Aptos" w:hAnsi="Aptos" w:eastAsia="Aptos" w:cs="Aptos"/>
              <w:noProof w:val="0"/>
              <w:sz w:val="24"/>
              <w:szCs w:val="24"/>
              <w:lang w:val="en-US"/>
            </w:rPr>
            <w:t>, 49(1</w:t>
          </w:r>
        </w:sdtContent>
      </w:sdt>
      <w:r w:rsidRPr="3E77F2A7" w:rsidR="37B40ACB">
        <w:rPr>
          <w:rFonts w:ascii="Aptos" w:hAnsi="Aptos" w:eastAsia="Aptos" w:cs="Aptos"/>
          <w:noProof w:val="0"/>
          <w:sz w:val="24"/>
          <w:szCs w:val="24"/>
          <w:lang w:val="en-US"/>
        </w:rPr>
        <w:t xml:space="preserve">), 1–9. </w:t>
      </w:r>
      <w:sdt>
        <w:sdtPr>
          <w:id w:val="2030806260"/>
          <w15:appearance w15:val="hidden"/>
          <w:tag w:val="tii-similarity-SU5URVJORVRfc2F2YW5hLWNlbmRhbmEuaWQ="/>
          <w:placeholder>
            <w:docPart w:val="DefaultPlaceholder_-1854013440"/>
          </w:placeholder>
        </w:sdtPr>
        <w:sdtContent>
          <w:hyperlink r:id="Rb4460c6e92244739">
            <w:r w:rsidRPr="3E77F2A7" w:rsidR="37B40ACB">
              <w:rPr>
                <w:rStyle w:val="Hyperlink"/>
                <w:rFonts w:ascii="Aptos" w:hAnsi="Aptos" w:eastAsia="Aptos" w:cs="Aptos"/>
                <w:strike w:val="0"/>
                <w:dstrike w:val="0"/>
                <w:noProof w:val="0"/>
                <w:color w:val="467886"/>
                <w:sz w:val="24"/>
                <w:szCs w:val="24"/>
                <w:u w:val="single"/>
                <w:lang w:val="en-US"/>
              </w:rPr>
              <w:t>https://doi.org/10.1186/s41182-</w:t>
            </w:r>
          </w:hyperlink>
        </w:sdtContent>
      </w:sdt>
      <w:sdt>
        <w:sdtPr>
          <w:id w:val="1842790889"/>
          <w15:appearance w15:val="hidden"/>
          <w:tag w:val="tii-similarity-SU5URVJORVRfc2F2YW5hLWNlbmRhbmEuaWQ="/>
          <w:placeholder>
            <w:docPart w:val="DefaultPlaceholder_-1854013440"/>
          </w:placeholder>
        </w:sdtPr>
        <w:sdtContent>
          <w:r w:rsidRPr="3E77F2A7" w:rsidR="37B40ACB">
            <w:rPr>
              <w:rStyle w:val="Hyperlink"/>
              <w:rFonts w:ascii="Aptos" w:hAnsi="Aptos" w:eastAsia="Aptos" w:cs="Aptos"/>
              <w:strike w:val="0"/>
              <w:dstrike w:val="0"/>
              <w:noProof w:val="0"/>
              <w:color w:val="467886"/>
              <w:sz w:val="24"/>
              <w:szCs w:val="24"/>
              <w:u w:val="single"/>
              <w:lang w:val="en-US"/>
            </w:rPr>
            <w:t>021-00341-z</w:t>
          </w:r>
        </w:sdtContent>
      </w:sdt>
    </w:p>
    <w:p xmlns:wp14="http://schemas.microsoft.com/office/word/2010/wordml" w:rsidP="3E77F2A7" wp14:paraId="1BED1E58" wp14:textId="1EC90D95">
      <w:pPr>
        <w:pStyle w:val="ListParagraph"/>
        <w:numPr>
          <w:ilvl w:val="0"/>
          <w:numId w:val="1"/>
        </w:numPr>
        <w:spacing w:before="0" w:beforeAutospacing="off" w:after="0" w:afterAutospacing="off" w:line="276" w:lineRule="auto"/>
        <w:ind w:left="720" w:right="0" w:hanging="360"/>
        <w:jc w:val="both"/>
        <w:rPr>
          <w:rFonts w:ascii="Aptos" w:hAnsi="Aptos" w:eastAsia="Aptos" w:cs="Aptos"/>
          <w:strike w:val="0"/>
          <w:dstrike w:val="0"/>
          <w:noProof w:val="0"/>
          <w:color w:val="467886"/>
          <w:sz w:val="24"/>
          <w:szCs w:val="24"/>
          <w:u w:val="single"/>
          <w:lang w:val="en-US"/>
        </w:rPr>
      </w:pPr>
      <w:sdt>
        <w:sdtPr>
          <w:id w:val="1264225970"/>
          <w15:appearance w15:val="hidden"/>
          <w:tag w:val="tii-similarity-U1VCTUlUVEVEX1dPUktfb2lkOjE6MjMxOTE0NDc3NA=="/>
          <w:placeholder>
            <w:docPart w:val="DefaultPlaceholder_-1854013440"/>
          </w:placeholder>
        </w:sdtPr>
        <w:sdtContent>
          <w:r w:rsidRPr="3E77F2A7" w:rsidR="37B40ACB">
            <w:rPr>
              <w:rFonts w:ascii="Aptos" w:hAnsi="Aptos" w:eastAsia="Aptos" w:cs="Aptos"/>
              <w:noProof w:val="0"/>
              <w:sz w:val="24"/>
              <w:szCs w:val="24"/>
              <w:lang w:val="en-US"/>
            </w:rPr>
            <w:t>Morin, C. W., Comrie, A. C., &amp; Ernst, K. (2013). Climate and dengue transmission:</w:t>
          </w:r>
        </w:sdtContent>
      </w:sdt>
      <w:r w:rsidRPr="3E77F2A7" w:rsidR="37B40ACB">
        <w:rPr>
          <w:rFonts w:ascii="Aptos" w:hAnsi="Aptos" w:eastAsia="Aptos" w:cs="Aptos"/>
          <w:noProof w:val="0"/>
          <w:sz w:val="24"/>
          <w:szCs w:val="24"/>
          <w:lang w:val="en-US"/>
        </w:rPr>
        <w:t xml:space="preserve"> </w:t>
      </w:r>
      <w:sdt>
        <w:sdtPr>
          <w:id w:val="1902846157"/>
          <w15:appearance w15:val="hidden"/>
          <w:tag w:val="tii-similarity-U1VCTUlUVEVEX1dPUktfb2lkOjE6MjMxOTE0NDc3NA=="/>
          <w:placeholder>
            <w:docPart w:val="DefaultPlaceholder_-1854013440"/>
          </w:placeholder>
        </w:sdtPr>
        <w:sdtContent>
          <w:r w:rsidRPr="3E77F2A7" w:rsidR="37B40ACB">
            <w:rPr>
              <w:rFonts w:ascii="Aptos" w:hAnsi="Aptos" w:eastAsia="Aptos" w:cs="Aptos"/>
              <w:noProof w:val="0"/>
              <w:sz w:val="24"/>
              <w:szCs w:val="24"/>
              <w:lang w:val="en-US"/>
            </w:rPr>
            <w:t xml:space="preserve">evidence and implications. </w:t>
          </w:r>
          <w:r w:rsidRPr="3E77F2A7" w:rsidR="37B40ACB">
            <w:rPr>
              <w:rFonts w:ascii="Aptos" w:hAnsi="Aptos" w:eastAsia="Aptos" w:cs="Aptos"/>
              <w:i w:val="1"/>
              <w:iCs w:val="1"/>
              <w:noProof w:val="0"/>
              <w:sz w:val="24"/>
              <w:szCs w:val="24"/>
              <w:lang w:val="en-US"/>
            </w:rPr>
            <w:t>Environmental Health Perspectives</w:t>
          </w:r>
          <w:r w:rsidRPr="3E77F2A7" w:rsidR="37B40ACB">
            <w:rPr>
              <w:rFonts w:ascii="Aptos" w:hAnsi="Aptos" w:eastAsia="Aptos" w:cs="Aptos"/>
              <w:noProof w:val="0"/>
              <w:sz w:val="24"/>
              <w:szCs w:val="24"/>
              <w:lang w:val="en-US"/>
            </w:rPr>
            <w:t>, 121(11-12), 1264–</w:t>
          </w:r>
        </w:sdtContent>
      </w:sdt>
      <w:sdt>
        <w:sdtPr>
          <w:id w:val="1190380061"/>
          <w15:appearance w15:val="hidden"/>
          <w:tag w:val="tii-similarity-U1VCTUlUVEVEX1dPUktfb2lkOjE6MjMxOTE0NDc3NA=="/>
          <w:placeholder>
            <w:docPart w:val="DefaultPlaceholder_-1854013440"/>
          </w:placeholder>
        </w:sdtPr>
        <w:sdtContent>
          <w:r w:rsidRPr="3E77F2A7" w:rsidR="37B40ACB">
            <w:rPr>
              <w:rFonts w:ascii="Aptos" w:hAnsi="Aptos" w:eastAsia="Aptos" w:cs="Aptos"/>
              <w:noProof w:val="0"/>
              <w:sz w:val="24"/>
              <w:szCs w:val="24"/>
              <w:lang w:val="en-US"/>
            </w:rPr>
            <w:t xml:space="preserve">1272. </w:t>
          </w:r>
          <w:hyperlink r:id="Rca3c9381b98245ae">
            <w:r w:rsidRPr="3E77F2A7" w:rsidR="37B40ACB">
              <w:rPr>
                <w:rStyle w:val="Hyperlink"/>
                <w:rFonts w:ascii="Aptos" w:hAnsi="Aptos" w:eastAsia="Aptos" w:cs="Aptos"/>
                <w:strike w:val="0"/>
                <w:dstrike w:val="0"/>
                <w:noProof w:val="0"/>
                <w:color w:val="467886"/>
                <w:sz w:val="24"/>
                <w:szCs w:val="24"/>
                <w:u w:val="single"/>
                <w:lang w:val="en-US"/>
              </w:rPr>
              <w:t>https://doi.org/10.1289/ehp.1306556</w:t>
            </w:r>
          </w:hyperlink>
        </w:sdtContent>
      </w:sdt>
    </w:p>
    <w:p xmlns:wp14="http://schemas.microsoft.com/office/word/2010/wordml" w:rsidP="3E77F2A7" wp14:paraId="076998C7" wp14:textId="1179D6AE">
      <w:pPr>
        <w:pStyle w:val="ListParagraph"/>
        <w:numPr>
          <w:ilvl w:val="0"/>
          <w:numId w:val="1"/>
        </w:numPr>
        <w:spacing w:before="0" w:beforeAutospacing="off" w:after="0" w:afterAutospacing="off" w:line="276" w:lineRule="auto"/>
        <w:ind w:left="720" w:right="0" w:hanging="360"/>
        <w:jc w:val="both"/>
        <w:rPr>
          <w:rFonts w:ascii="Aptos" w:hAnsi="Aptos" w:eastAsia="Aptos" w:cs="Aptos"/>
          <w:strike w:val="0"/>
          <w:dstrike w:val="0"/>
          <w:noProof w:val="0"/>
          <w:color w:val="467886"/>
          <w:sz w:val="24"/>
          <w:szCs w:val="24"/>
          <w:u w:val="single"/>
          <w:lang w:val="en-US"/>
        </w:rPr>
      </w:pPr>
      <w:r w:rsidRPr="3E77F2A7" w:rsidR="37B40ACB">
        <w:rPr>
          <w:rFonts w:ascii="Aptos" w:hAnsi="Aptos" w:eastAsia="Aptos" w:cs="Aptos"/>
          <w:noProof w:val="0"/>
          <w:sz w:val="24"/>
          <w:szCs w:val="24"/>
          <w:lang w:val="en-US"/>
        </w:rPr>
        <w:t xml:space="preserve">Hossain, M. S., et al. (2023). Risk factors and spatial distribution of dengue cases in Bangladesh. </w:t>
      </w:r>
      <w:sdt>
        <w:sdtPr>
          <w:id w:val="525602797"/>
          <w15:appearance w15:val="hidden"/>
          <w:tag w:val="tii-similarity-UFVCTElDQVRJT05fQnJpaiBLaXNob3JlIFR5YWdpLiAiTW9zcXVpdG9lcyBvZiBJbmRpYSAtIE1vc3F1aXRvLUJvcm5lIERpc2Vhc2VzLCBEaWFnbm9zaXMgYW5kIENvbnRyb2wiLCBDUkMgUHJlc3MsIDIwMjU="/>
          <w:placeholder>
            <w:docPart w:val="DefaultPlaceholder_-1854013440"/>
          </w:placeholder>
        </w:sdtPr>
        <w:sdtContent>
          <w:r w:rsidRPr="3E77F2A7" w:rsidR="37B40ACB">
            <w:rPr>
              <w:rFonts w:ascii="Aptos" w:hAnsi="Aptos" w:eastAsia="Aptos" w:cs="Aptos"/>
              <w:i w:val="1"/>
              <w:iCs w:val="1"/>
              <w:noProof w:val="0"/>
              <w:sz w:val="24"/>
              <w:szCs w:val="24"/>
              <w:lang w:val="en-US"/>
            </w:rPr>
            <w:t>Scientific Reports</w:t>
          </w:r>
          <w:r w:rsidRPr="3E77F2A7" w:rsidR="37B40ACB">
            <w:rPr>
              <w:rFonts w:ascii="Aptos" w:hAnsi="Aptos" w:eastAsia="Aptos" w:cs="Aptos"/>
              <w:noProof w:val="0"/>
              <w:sz w:val="24"/>
              <w:szCs w:val="24"/>
              <w:lang w:val="en-US"/>
            </w:rPr>
            <w:t>, 13</w:t>
          </w:r>
        </w:sdtContent>
      </w:sdt>
      <w:r w:rsidRPr="3E77F2A7" w:rsidR="37B40ACB">
        <w:rPr>
          <w:rFonts w:ascii="Aptos" w:hAnsi="Aptos" w:eastAsia="Aptos" w:cs="Aptos"/>
          <w:noProof w:val="0"/>
          <w:sz w:val="24"/>
          <w:szCs w:val="24"/>
          <w:lang w:val="en-US"/>
        </w:rPr>
        <w:t xml:space="preserve">, 11340. </w:t>
      </w:r>
      <w:sdt>
        <w:sdtPr>
          <w:id w:val="1688541631"/>
          <w15:appearance w15:val="hidden"/>
          <w:tag w:val="tii-similarity-UFVCTElDQVRJT05fQnJpaiBLaXNob3JlIFR5YWdpLiAiTW9zcXVpdG9lcyBvZiBJbmRpYSAtIE1vc3F1aXRvLUJvcm5lIERpc2Vhc2VzLCBEaWFnbm9zaXMgYW5kIENvbnRyb2wiLCBDUkMgUHJlc3MsIDIwMjU="/>
          <w:placeholder>
            <w:docPart w:val="DefaultPlaceholder_-1854013440"/>
          </w:placeholder>
        </w:sdtPr>
        <w:sdtContent>
          <w:hyperlink r:id="R52b7e14ce8d94ba0">
            <w:r w:rsidRPr="3E77F2A7" w:rsidR="37B40ACB">
              <w:rPr>
                <w:rStyle w:val="Hyperlink"/>
                <w:rFonts w:ascii="Aptos" w:hAnsi="Aptos" w:eastAsia="Aptos" w:cs="Aptos"/>
                <w:strike w:val="0"/>
                <w:dstrike w:val="0"/>
                <w:noProof w:val="0"/>
                <w:color w:val="467886"/>
                <w:sz w:val="24"/>
                <w:szCs w:val="24"/>
                <w:u w:val="single"/>
                <w:lang w:val="en-US"/>
              </w:rPr>
              <w:t>https://doi.org/10.1038/s41598-023</w:t>
            </w:r>
          </w:hyperlink>
        </w:sdtContent>
      </w:sdt>
      <w:r w:rsidRPr="3E77F2A7" w:rsidR="37B40ACB">
        <w:rPr>
          <w:rStyle w:val="Hyperlink"/>
          <w:rFonts w:ascii="Aptos" w:hAnsi="Aptos" w:eastAsia="Aptos" w:cs="Aptos"/>
          <w:strike w:val="0"/>
          <w:dstrike w:val="0"/>
          <w:noProof w:val="0"/>
          <w:color w:val="467886"/>
          <w:sz w:val="24"/>
          <w:szCs w:val="24"/>
          <w:u w:val="single"/>
          <w:lang w:val="en-US"/>
        </w:rPr>
        <w:t>-38573-7</w:t>
      </w:r>
    </w:p>
    <w:p xmlns:wp14="http://schemas.microsoft.com/office/word/2010/wordml" w:rsidP="3E77F2A7" wp14:paraId="6467C069" wp14:textId="29F762F7">
      <w:pPr>
        <w:spacing w:before="0" w:beforeAutospacing="off" w:after="160" w:afterAutospacing="off" w:line="276" w:lineRule="auto"/>
        <w:jc w:val="both"/>
      </w:pPr>
      <w:r w:rsidRPr="3E77F2A7" w:rsidR="37B40ACB">
        <w:rPr>
          <w:rFonts w:ascii="Aptos" w:hAnsi="Aptos" w:eastAsia="Aptos" w:cs="Aptos"/>
          <w:noProof w:val="0"/>
          <w:sz w:val="24"/>
          <w:szCs w:val="24"/>
          <w:lang w:val="en-US"/>
        </w:rPr>
        <w:t xml:space="preserve"> </w:t>
      </w:r>
    </w:p>
    <w:p xmlns:wp14="http://schemas.microsoft.com/office/word/2010/wordml" w:rsidP="3E77F2A7" wp14:paraId="48184680" wp14:textId="1E52F658">
      <w:pPr>
        <w:spacing w:before="0" w:beforeAutospacing="off" w:after="160" w:afterAutospacing="off" w:line="276" w:lineRule="auto"/>
        <w:jc w:val="both"/>
        <w:rPr>
          <w:rFonts w:ascii="Aptos" w:hAnsi="Aptos" w:eastAsia="Aptos" w:cs="Aptos"/>
          <w:noProof w:val="0"/>
          <w:sz w:val="24"/>
          <w:szCs w:val="24"/>
          <w:lang w:val="en-US"/>
        </w:rPr>
      </w:pPr>
    </w:p>
    <w:p xmlns:wp14="http://schemas.microsoft.com/office/word/2010/wordml" wp14:paraId="2C078E63" wp14:textId="0E748B90"/>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3ee34f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3A7212"/>
    <w:rsid w:val="1F33EDD1"/>
    <w:rsid w:val="37B40ACB"/>
    <w:rsid w:val="3E77F2A7"/>
    <w:rsid w:val="7F3A7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A7212"/>
  <w15:chartTrackingRefBased/>
  <w15:docId w15:val="{12257A0D-DB17-4C2F-9198-22076FCD99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E77F2A7"/>
    <w:pPr>
      <w:spacing/>
      <w:ind w:left="720"/>
      <w:contextualSpacing/>
    </w:pPr>
  </w:style>
  <w:style w:type="character" w:styleId="Hyperlink">
    <w:uiPriority w:val="99"/>
    <w:name w:val="Hyperlink"/>
    <w:basedOn w:val="DefaultParagraphFont"/>
    <w:unhideWhenUsed/>
    <w:rsid w:val="3E77F2A7"/>
    <w:rPr>
      <w:color w:val="467886"/>
      <w:u w:val="single"/>
    </w:rPr>
  </w:style>
  <w:style w:type="character" w:styleId="PlaceholderText">
    <w:uiPriority w:val="99"/>
    <w:name w:val="Placeholder Text"/>
    <w:basedOn w:val="DefaultParagraphFont"/>
    <w:semiHidden/>
    <w:rsid w:val="3E77F2A7"/>
    <w:rPr>
      <w:color w:val="808080" w:themeColor="background1" w:themeTint="FF"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i.org/10.1016/S2214-109X(18)30403-0" TargetMode="External" Id="R142e74cbd9e34724" /><Relationship Type="http://schemas.openxmlformats.org/officeDocument/2006/relationships/hyperlink" Target="https://doi.org/10.1371/journal.pntd.0004110" TargetMode="External" Id="R239ed7f067174b8f" /><Relationship Type="http://schemas.openxmlformats.org/officeDocument/2006/relationships/hyperlink" Target="https://doi.org/10.1186/s41182-021-00341-z" TargetMode="External" Id="Rb4460c6e92244739" /><Relationship Type="http://schemas.openxmlformats.org/officeDocument/2006/relationships/hyperlink" Target="https://doi.org/10.1289/ehp.1306556" TargetMode="External" Id="Rca3c9381b98245ae" /><Relationship Type="http://schemas.openxmlformats.org/officeDocument/2006/relationships/hyperlink" Target="https://doi.org/10.1038/s41598-023-38573-7" TargetMode="External" Id="R52b7e14ce8d94ba0" /><Relationship Type="http://schemas.openxmlformats.org/officeDocument/2006/relationships/glossaryDocument" Target="glossary/document.xml" Id="R26ae1385f4c94bda" /><Relationship Type="http://schemas.openxmlformats.org/officeDocument/2006/relationships/numbering" Target="numbering.xml" Id="Rf41977d5d1224ac8" /></Relationships>
</file>

<file path=word/glossary/document.xml><?xml version="1.0" encoding="utf-8"?>
<w:glossaryDocument xmlns:w14="http://schemas.microsoft.com/office/word/2010/wordml" xmlns:w="http://schemas.openxmlformats.org/wordprocessingml/2006/main">
  <w:docParts>
    <w:docPart>
      <w:docPartPr>
        <w:name w:val="DefaultPlaceholder_-1854013440"/>
        <w:category>
          <w:name w:val="General"/>
          <w:gallery w:val="placeholder"/>
        </w:category>
        <w:types>
          <w:type w:val="bbPlcHdr"/>
        </w:types>
        <w:behaviors>
          <w:behavior w:val="content"/>
        </w:behaviors>
        <w:guid w:val="{9D18607E-4E69-48EF-99FE-3457FC194192}"/>
      </w:docPartPr>
      <w:docPartBody>
        <w:p w:rsidR="3E77F2A7" w:rsidRDefault="3E77F2A7" w14:paraId="2800F699" w14:textId="3934139C">
          <w:r w:rsidRPr="3E77F2A7" w:rsidR="3E77F2A7">
            <w:rPr>
              <w:rStyle w:val="PlaceholderText"/>
            </w:rPr>
            <w:t>Click or tap here to enter text.</w:t>
          </w:r>
        </w:p>
      </w:docPartBody>
    </w:docPart>
  </w:docParts>
</w:glossaryDocument>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2025-05-09T16:47:33.7363909Z</dcterms:created>
  <dcterms:modified xsi:type="dcterms:W3CDTF">2025-05-09T16:48:54.0688134Z</dcterms:modified>
  <dc:creator>Jhara, Moumita</dc:creator>
  <lastModifiedBy>Jhara, Moumita</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Document 2.docx</vt:lpwstr>
  </property>
  <property xmlns="http://schemas.openxmlformats.org/officeDocument/2006/custom-properties" fmtid="{D5CDD505-2E9C-101B-9397-08002B2CF9AE}" pid="3" name="TII_WORD_DOCUMENT_ID">
    <vt:lpwstr xmlns:vt="http://schemas.openxmlformats.org/officeDocument/2006/docPropsVTypes">fc3180cf-e363-4d8c-a5b1-ac7eebeb3884</vt:lpwstr>
  </property>
  <property xmlns="http://schemas.openxmlformats.org/officeDocument/2006/custom-properties" fmtid="{D5CDD505-2E9C-101B-9397-08002B2CF9AE}" pid="4" name="TII_WORD_DOCUMENT_HASH">
    <vt:lpwstr xmlns:vt="http://schemas.openxmlformats.org/officeDocument/2006/docPropsVTypes">4182b372129475a6eeef7dce09be0336b3ad66417e1f6e6c1a78c660c58f8caa</vt:lpwstr>
  </property>
</Properties>
</file>