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73910" cy="6159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73910" cy="615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6.0107421875"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Guide to Mutagenicity ISS Model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version 1.0.2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03.199462890625" w:line="240" w:lineRule="auto"/>
        <w:ind w:left="13.27995300292968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29.90811347961426" w:lineRule="auto"/>
        <w:ind w:left="318.6399841308594" w:right="0" w:hanging="284.000015258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Model explanation..................................................................................................................................2 1.1 Introduction.....................................................................................................................................2 1.2 Model details...................................................................................................................................2 1.3 Applicability Domain......................................................................................................................2 1.4 Structural Alerts for mutagen compounds.......................................................................................4 1.5 Model statistics................................................................................................................................5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295.5999755859375" w:right="0" w:hanging="284.000015258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Model usage...........................................................................................................................................6 2.1 Input.................................................................................................................................................6 2.2 Output..............................................................................................................................................6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092.012329101562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9798583984375" w:right="0"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1. Model explanation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26.2255859375" w:line="240" w:lineRule="auto"/>
        <w:ind w:left="30.31997680664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1.1 Introduction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1.8798828125" w:line="229.90779876708984" w:lineRule="auto"/>
        <w:ind w:left="12.559967041015625" w:right="107.274169921875" w:firstLine="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provides a qualitative prediction of mutagenicity on Salmonella typhimurium (Ames test).  It is implemented inside the VEGA online platform, accessible at: http://www.vega-qsar.eu/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90.01220703125" w:line="240" w:lineRule="auto"/>
        <w:ind w:left="30.31997680664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1.2 Model details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1.881103515625" w:line="229.90789890289307" w:lineRule="auto"/>
        <w:ind w:left="6.08001708984375" w:right="53.7573242187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has been built as a set of rules, taken from the work of Benigni and Bossa (ISS) as  implemented in the software ToxTree version 2.6 (http://toxtree.sourceforge.net): Benigni, R., Bossa,  C. “Mechanisms of chemical carcinogenicity and mutagenicity: a review with implications for  predictive toxicology”, Chem. Revs. 111 (2011), 2507-2536; Benigni, R., Bossa C., Tcheremenskaia O. “In vitro cell transformation assays for an integrated, alternative assessment of carcinogenicity: a data based analysis”, Mutagenesis (2013), 28(1):107-16.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6.08001708984375" w:right="22.553710937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implement all the rules related to mutagenicity and does not implement the full decision tree used by ToxTree. If at least one mutagenicity rule is matching with the given compound, a “mutagen”  prediction is given; otherwise, a “non-mutagen” prediction is given. The training set for the model has  been extracted from ToxTree, and consists of 670 compounds.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90.01220703125" w:line="240" w:lineRule="auto"/>
        <w:ind w:left="30.31997680664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1.3 Applicability Domain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1.8798828125" w:line="229.9079990386963" w:lineRule="auto"/>
        <w:ind w:left="6.3199615478515625" w:right="22.3156738281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applicability domain of predictions is assessed using an Applicability Domain Index (ADI) that has values from 0 (worst case) to 1 (best case). The ADI is calculated by grouping several other indices,  each one taking into account a particular issue of the applicability domain. Most of the indices are  based on the calculation of the most similar compounds found in the training and test set of the model,  calculated by a similarity index that consider molecule's fingerprint and structural aspects (count of  atoms, rings and relevant fragments).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13.519973754882812" w:right="372.955322265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index, including the final ADI, three intervals for its values are defined, such that the first  interval corresponds to a positive evaluation, the second one corresponds to a suspicious evaluation  and the last one corresponds to a negative evaluation.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29.90792751312256" w:lineRule="auto"/>
        <w:ind w:left="10.400009155273438" w:right="418.553466796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all applicability domain components are reported along with their explanation and the  intervals used. Note that for purpose of evaluating accuracy and concordance indices, prediction of  "suspect mutagen" are considered as "mutagen".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29.9079990386963" w:lineRule="auto"/>
        <w:ind w:left="7.9999542236328125" w:right="179.2724609375" w:firstLine="8.4000396728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Similar molecules with known experimental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index takes into account how similar are  the first two most similar compounds found. Values near 1 mean that the predicted compound is well  represented in the dataset used to build the model, otherwise the prediction could be an extrapolation.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60.0120544433594"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intervals are: </w:t>
      </w:r>
    </w:p>
    <w:tbl>
      <w:tblPr>
        <w:tblStyle w:val="Table1"/>
        <w:tblW w:w="9976.000442504883" w:type="dxa"/>
        <w:jc w:val="left"/>
        <w:tblInd w:w="102.560043334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3.999710083008"/>
        <w:gridCol w:w="7802.000732421875"/>
        <w:tblGridChange w:id="0">
          <w:tblGrid>
            <w:gridCol w:w="2173.999710083008"/>
            <w:gridCol w:w="7802.000732421875"/>
          </w:tblGrid>
        </w:tblGridChange>
      </w:tblGrid>
      <w:tr>
        <w:trPr>
          <w:trHeight w:val="6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07991027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&gt;= index &gt; 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61.4404296875" w:right="178.636474609375" w:firstLine="10.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similar compounds with known experimental value in the training set  have been found</w:t>
            </w:r>
          </w:p>
        </w:tc>
      </w:tr>
      <w:tr>
        <w:trPr>
          <w:trHeight w:val="6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63990783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 &gt;= index &gt; 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62.40020751953125" w:right="532.877197265625" w:firstLine="5.760192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moderately similar compounds with known experimental value in the  training set have been found</w:t>
            </w:r>
          </w:p>
        </w:tc>
      </w:tr>
      <w:tr>
        <w:trPr>
          <w:trHeight w:val="6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95991516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&lt;= 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59.76043701171875" w:right="212.9565429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similar compounds with known experimental value in the training set have  been found</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6.08001708984375" w:right="257.5134277343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 of prediction for similar molecules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index takes into account the classification  accuracy in prediction for the two most similar compounds found. Values near 1 mean that the  predicted compounds falls in an area of the model's space where the model gives reliable predictions  (no misclassifications), otherwise the lower is the value, the worse the model behaves. Defined  intervals are: </w:t>
      </w:r>
    </w:p>
    <w:tbl>
      <w:tblPr>
        <w:tblStyle w:val="Table2"/>
        <w:tblW w:w="9976.000442504883" w:type="dxa"/>
        <w:jc w:val="left"/>
        <w:tblInd w:w="102.560043334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3.999710083008"/>
        <w:gridCol w:w="7802.000732421875"/>
        <w:tblGridChange w:id="0">
          <w:tblGrid>
            <w:gridCol w:w="2173.999710083008"/>
            <w:gridCol w:w="7802.000732421875"/>
          </w:tblGrid>
        </w:tblGridChange>
      </w:tblGrid>
      <w:tr>
        <w:trPr>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07991027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&gt;= index &gt; 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64044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of prediction for similar molecules found in the training set is good</w:t>
            </w:r>
          </w:p>
        </w:tc>
      </w:tr>
      <w:tr>
        <w:trPr>
          <w:trHeight w:val="6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63990783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 &gt;= index &gt;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68.160400390625" w:right="500.9570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of prediction for similar molecules found in the training set is not  optimal</w:t>
            </w:r>
          </w:p>
        </w:tc>
      </w:tr>
      <w:tr>
        <w:trPr>
          <w:trHeight w:val="6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95991516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&lt;=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68.64044189453125" w:right="500.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of prediction for similar molecules found in the training set is not  adequate</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6.08001708984375" w:right="15.8337402343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Concordance for similar molecules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index takes into account the difference between the  predicted value and the experimental values of the two most similar compounds. Values near 0 mean  that the prediction made disagrees with the values found in the model's space, thus the prediction could  be unreliable. Defined intervals are: </w:t>
      </w:r>
    </w:p>
    <w:tbl>
      <w:tblPr>
        <w:tblStyle w:val="Table3"/>
        <w:tblW w:w="9976.000442504883" w:type="dxa"/>
        <w:jc w:val="left"/>
        <w:tblInd w:w="102.560043334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3.999710083008"/>
        <w:gridCol w:w="7802.000732421875"/>
        <w:tblGridChange w:id="0">
          <w:tblGrid>
            <w:gridCol w:w="2173.999710083008"/>
            <w:gridCol w:w="7802.000732421875"/>
          </w:tblGrid>
        </w:tblGridChange>
      </w:tblGrid>
      <w:tr>
        <w:trPr>
          <w:trHeight w:val="6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07991027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&gt;= index &gt; 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61.4404296875" w:right="134.9560546875" w:firstLine="10.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molecules found in the training set have experimental values that agree  with the predicted value</w:t>
            </w:r>
          </w:p>
        </w:tc>
      </w:tr>
      <w:tr>
        <w:trPr>
          <w:trHeight w:val="6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63990783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 &gt;= index &gt;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67.92022705078125" w:right="146.9567871093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similar molecules found in the training set have experimental values that  disagree with the predicted value</w:t>
            </w:r>
          </w:p>
        </w:tc>
      </w:tr>
      <w:tr>
        <w:trPr>
          <w:trHeight w:val="6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95991516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&lt;=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67.92022705078125" w:right="713.11645507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molecules found in the training set have experimental values that  disagree with the predicted value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7.9999542236328125" w:right="23.994140625" w:firstLine="8.400039672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Atom Centered Fragments similarity check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index takes into account the presence of one or  more fragments that aren't found in the training set, or that are rare fragments. First order atom centered fragments from all molecules in the training set are calculated, then compared with the first order atom  centered fragments from the predicted compound; then the index is calculated as following: a first  index RARE takes into account rare fragments (those who occur less than three times in the training  set), having value of 1 if no such fragments are found, 0.85 if up to 2 fragments are found, 0.7 if more  than 2 fragments are found; a second index NOTFOUND takes into account not found fragments,  having value of 1 if no such fragments are found, 0.6 if a fragments is found, 0.4 if more than 1  fragment is found. Then, the final index is given as the product RARE * NOTFOUND. Defined  intervals are: </w:t>
      </w:r>
    </w:p>
    <w:tbl>
      <w:tblPr>
        <w:tblStyle w:val="Table4"/>
        <w:tblW w:w="9976.000442504883" w:type="dxa"/>
        <w:jc w:val="left"/>
        <w:tblInd w:w="102.560043334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3.999710083008"/>
        <w:gridCol w:w="7802.000732421875"/>
        <w:tblGridChange w:id="0">
          <w:tblGrid>
            <w:gridCol w:w="2173.999710083008"/>
            <w:gridCol w:w="7802.000732421875"/>
          </w:tblGrid>
        </w:tblGridChange>
      </w:tblGrid>
      <w:tr>
        <w:trPr>
          <w:trHeight w:val="6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95991516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29.90792751312256" w:lineRule="auto"/>
              <w:ind w:left="68.160400390625" w:right="66.5576171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atom centered fragment of the compound have been found in the compounds of the training set</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bl>
      <w:tblPr>
        <w:tblStyle w:val="Table5"/>
        <w:tblW w:w="9976.000442504883" w:type="dxa"/>
        <w:jc w:val="left"/>
        <w:tblInd w:w="102.560043334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3.999710083008"/>
        <w:gridCol w:w="7802.000732421875"/>
        <w:tblGridChange w:id="0">
          <w:tblGrid>
            <w:gridCol w:w="2173.999710083008"/>
            <w:gridCol w:w="7802.000732421875"/>
          </w:tblGrid>
        </w:tblGridChange>
      </w:tblGrid>
      <w:tr>
        <w:trPr>
          <w:trHeight w:val="6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07991027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&gt; index &gt;= 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68.160400390625" w:right="539.5971679687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atom centered fragment of the compound have not been found in the  compounds of the training set or are rare fragments</w:t>
            </w:r>
          </w:p>
        </w:tc>
      </w:tr>
      <w:tr>
        <w:trPr>
          <w:trHeight w:val="6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95991516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&lt; 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59.76043701171875" w:right="480.076904296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prominent number of atom centered fragments of the compound have not  been found in the compounds of the training set or are rare fragments</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13.759994506835938" w:right="27.996826171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 AD 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final global index takes into account all the previous indices, in order to give a general global assessment on the applicability domain for the predicted compound. Defined intervals  are: </w:t>
      </w:r>
    </w:p>
    <w:tbl>
      <w:tblPr>
        <w:tblStyle w:val="Table6"/>
        <w:tblW w:w="9976.000442504883" w:type="dxa"/>
        <w:jc w:val="left"/>
        <w:tblInd w:w="102.560043334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3.999710083008"/>
        <w:gridCol w:w="7802.000732421875"/>
        <w:tblGridChange w:id="0">
          <w:tblGrid>
            <w:gridCol w:w="2173.999710083008"/>
            <w:gridCol w:w="7802.000732421875"/>
          </w:tblGrid>
        </w:tblGridChange>
      </w:tblGrid>
      <w:tr>
        <w:trPr>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07991027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&gt;= index &gt;= 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predicted substance is into the Applicability Domain of the model</w:t>
            </w:r>
          </w:p>
        </w:tc>
      </w:tr>
      <w:tr>
        <w:trPr>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63990783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 &gt; index &gt;= 0.65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predicted substance could be out of the Applicability Domain of the model</w:t>
            </w:r>
          </w:p>
        </w:tc>
      </w:tr>
      <w:tr>
        <w:trPr>
          <w:trHeight w:val="38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95991516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&lt; 0.65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5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predicted substance is out of the the Applicability Domain of the model</w:t>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1997680664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1.4 Structural Alerts for mutagen compounds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1.8798828125" w:line="240" w:lineRule="auto"/>
        <w:ind w:left="1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the list of the rules for mutagenicity extracted from ToxTree: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SA1 Acyl halides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SA2 Alkyl (C&lt;5) or benzyl ester of sulphonic or phosphonic acid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SA3 N-methylol derivatives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SA4 Monohaloalkene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SA5 S or N mustard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SA6 Propiolactones and propiosultones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SA7 Epoxides and aziridines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SA8 Aliphatic halogens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SA9 Alkyl nitrite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SA10 alfa, beta unsaturated carbonyls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SA11 Simple aldehyde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SA12 Quinones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SA13 Hydrazine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SA14 Aliphatic azo and azoxy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SA15 Isocyanate and isothiocyanate groups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SA16 Alkyl carbamate and thiocarbamate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SA18 Polycyclic Aromatic Hydrocarbons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SA19 Heterocyclic Polycyclic Aromatic Hydrocarbons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SA21 Alkyl and aryl N-nitroso groups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SA22 Azide and triazene groups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SA23 Aliphatic N-nitro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SA24 alfa,beta unsaturated alkoxy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SA25 Aromatic nitroso group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SA26 Aromatic ring N-oxide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SA27 Nitro aromatic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21.67999267578125" w:right="1566.956176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SA28 Primary aromatic amine, hydroxyl amine and its derived esters (with restrictions) SA28bis Aromatic mono- and dialkylamine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26.0118103027344"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SA28ter Aromatic N-acyl amine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SA29 Aromatic diazo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SA30 Coumarins and Furocoumarins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SA37 Pyrrolizidine Alkaloids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SA38 Alkenylbenzenes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SA39 Steroidal estrogens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SA57 DNA Intercalating Agents with a basic side chain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SA58 Haloalkene cysteine S-conjugates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SA59 Xanthones, Thioxanthones, Acridones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SA60 Flavonoids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SA61 Alkyl hydroperoxides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SA62 N-acyloxy-N -alkoxybenzamides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SA63 N-aryl-N-acetoxyacetamides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SA64 Hydroxamic acid derivatives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SA65 Halofuranones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SA66 Anthrones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SA67 Triphenylimidazole and related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SA68 9,10 - dihydrophenanthrenes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SA69 Fluorinated quinolines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79.9200439453125" w:line="240" w:lineRule="auto"/>
        <w:ind w:left="30.31997680664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1.5 Model statistics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21.8798828125" w:line="459.81614112854004" w:lineRule="auto"/>
        <w:ind w:left="386.18011474609375" w:right="1871.03759765625" w:hanging="375.78010559082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statistics obtained applying the model to its original dataset: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set: n = 670; Accuracy = 0.79; Specificity = 0.68; Sensitivity = 0.89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722.103881835937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99853515625" w:right="0"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2. Model usage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26.2255859375" w:line="240" w:lineRule="auto"/>
        <w:ind w:left="15.19996643066406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2.1 Input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21.8798828125" w:line="229.90779876708984" w:lineRule="auto"/>
        <w:ind w:left="8.479995727539062" w:right="193.193359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accepts as input two molecule formats: SDF (multiple MOL file) and SMILES. All  molecules found as input are preprocessed before the calculation of molecular descriptors, in order to  obtain a standardized representation of compound. For this reason, some cautions should be taken.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29.9079990386963" w:lineRule="auto"/>
        <w:ind w:left="6.3199615478515625" w:right="6.9580078125" w:firstLine="10.08003234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Hydrogen atoms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SDF files, hydrogen atoms should be explicit. As some times SDF file store only skeleton atoms, and hydrogen atoms are implicit, during the processing of the molecule the system tries to add implicit hydrogens on the basis of the known standard valence of each atom (for example, if a  carbon atoms has three single bonds, an hydrogen atom will be added such to reach a valence of four).  In SMILES molecules, the default notation uses implicit hydrogen. Anyway please note that in some  cases it is necessary to explicitly report an hydrogen; this happens when the conformation is not  unambiguous. For example, when a nitrogen atom is into an aromatic ring with a notation like "cnc" it  is not clear whether it corresponds to C-N=C or to C-[NH]-C, thus if the situation is the latter, it should  be explicitly reported as "c[nH]c".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7.9999542236328125" w:right="20.394287109375" w:firstLine="8.400039672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Aromaticity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calculates aromaticity using the basic Hueckel rule. Note that each software  for drawing and storing of molecules can use different approaches to aromaticity (for instance,  commonly the user can choose between the basic Hueckel rule and a loose approach that lead to  considering aromatic a greater number of rings). As in the input files aromaticity can be set explicitly  (for instance, in SMILES format by using lowercase letters), during the processing of the molecule the  system removes aromaticity from rings that don't satisfy the Hueckel rule. Please note that when  aromaticity is removed from a ring, it is not always possible to rebuild the original structure in Kekule  form (i.e. with an alternation of single and double bonds, like in the SMILES for benzene,  C=1C=CC=CC1), in this case all bonds are set to single. Furthermore, please note that aromaticity  detection is a really relevant issue, some molecular descriptors can have significantly different values  whether a ring is perceived as aromatic or not. For this reason it is strongly recommended: - Always use explicit hydrogens in SDF file.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8.9599609375" w:right="55.4333496093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Avoid explicit aromaticity notation in original files; in this way, the perception of aromaticity is left to the preprocessing step and there is no chance of mistakes due to the transformation of rings that were  set to aromatic in the original format but not recognized as aromatic in VEGA.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14.720001220703125" w:right="59.03564453125" w:hanging="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when some modification of the molecule are performed during the preprocessing (e.g. adding of lacking hydrogens, correction of aromaticity), a warning is given in the remark field of the results.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90.0119018554688" w:line="240" w:lineRule="auto"/>
        <w:ind w:left="15.19996643066406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2.2 Output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97.87994384765625" w:line="229.90804195404053" w:lineRule="auto"/>
        <w:ind w:left="3.679962158203125" w:right="106.31591796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given as text file consist of a plain-text tabbed file (easily importable and processable by any  spreadsheet software) containing in each row all the information about the prediction of a molecule.  Note that if some problems were encountered while processing the molecule structure, some warnings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06.0118103027344"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9996643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reported in the last field (Remarks).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0.400009155273438" w:right="265.9130859375" w:firstLine="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given as PDF file consists of a document containing all the information about the prediction.  For each molecule, results are organized in sections with the following order: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40" w:lineRule="auto"/>
        <w:ind w:left="21.19995117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 Prediction summary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306.08001708984375" w:right="81.1145019531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reported a depiction of the compound and the final assessment of the prediction (i.e. the  prediction made together with the analysis of the applicability domain). Note that if some problems  were encountered while processing the molecule structure, some warnings are reported in the last  field (Remarks).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306.8000793457031" w:right="179.51538085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representation of the evaluation of the prediction and of its reliability is also provided,  using the following elements: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14.012451171875" w:line="240" w:lineRule="auto"/>
        <w:ind w:left="36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6070" cy="30607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6070" cy="3060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is classified as non-mutagen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9.505615234375" w:line="240" w:lineRule="auto"/>
        <w:ind w:left="36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4640" cy="29464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4640" cy="2946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is classified as mutagen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90.511474609375" w:line="240" w:lineRule="auto"/>
        <w:ind w:left="36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58520" cy="23114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58520" cy="231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has low reliability (compound out of the AD)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3.2122802734375" w:line="260.3350067138672" w:lineRule="auto"/>
        <w:ind w:left="360.55999755859375" w:right="1359.598999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58520" cy="23114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858520" cy="231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has moderate reliability (compound could be out of the 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58520" cy="23114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858520" cy="231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has high reliability (compound into the AD)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26.3702392578125" w:line="229.90814208984375" w:lineRule="auto"/>
        <w:ind w:left="306.08001708984375" w:right="31.6748046875" w:hanging="305.6000518798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 – Applicability Domain: Similar compounds, with predicted and experimental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it is reported the list of the six most similar compounds found in the training and test set of the  model, along with their depiction and relevant information (mainly experimental value and  predicted value).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82.0111083984375" w:line="240" w:lineRule="auto"/>
        <w:ind w:left="0.47996520996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 – Applicability Domain: Measured Applicability Domain scores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308.9601135253906" w:right="12.475585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it is reported the list of all Applicability Domain scores, starting with the global Applicability  Domain Index (ADI). Note that the final assessment on prediction reliability is given on the basis of  the value of the ADI. For each index, it is reported its value and a brief explanation of the meaning  of that value.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 – Reasoning: Relevant chemical fragments and moieties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314.4801330566406" w:right="539.516601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some rare and/or missing Atom Centered Fragments are found, they are reported here with a  depiction of each fragment.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308.0000305175781" w:right="260.15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some relevant fragments are found (see section 1.4), they are reported here (one for each page)  with a brief explanation of their meaning and the list of the three most similar compounds that  contain the same fragment. Note that if no relevant fragments are found, this section is not shown.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050.011749267578"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sectPr>
      <w:pgSz w:h="15840" w:w="12240" w:orient="portrait"/>
      <w:pgMar w:bottom="1178.0000305175781" w:top="1118.00048828125" w:left="1129.4400024414062" w:right="113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