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6B"/>
          <w:sz w:val="48"/>
          <w:szCs w:val="48"/>
        </w:rPr>
        <w:t xml:space="preserve">GOLDMAN SACHS</w:t>
      </w:r>
    </w:p>
    <w:p>
      <w:pPr>
        <w:spacing w:after="120" w:before="0"/>
        <w:jc w:val="center"/>
      </w:pPr>
      <w:r>
        <w:rPr>
          <w:rFonts w:ascii="Arial" w:cs="Arial" w:eastAsia="Arial" w:hAnsi="Arial"/>
          <w:b/>
          <w:bCs/>
          <w:color w:val="B8960C"/>
          <w:sz w:val="36"/>
          <w:szCs w:val="36"/>
        </w:rPr>
        <w:t xml:space="preserve">Internal Audit Job Simulation</w:t>
      </w:r>
    </w:p>
    <w:p>
      <w:pPr>
        <w:spacing w:after="60" w:before="0"/>
        <w:jc w:val="center"/>
      </w:pPr>
      <w:r>
        <w:rPr>
          <w:rFonts w:ascii="Arial" w:cs="Arial" w:eastAsia="Arial" w:hAnsi="Arial"/>
          <w:color w:val="555555"/>
          <w:sz w:val="24"/>
          <w:szCs w:val="24"/>
        </w:rPr>
        <w:t xml:space="preserve">Forage Virtual Experience Program</w:t>
      </w:r>
    </w:p>
    <w:p>
      <w:pPr>
        <w:spacing w:after="120" w:before="0"/>
        <w:jc w:val="center"/>
      </w:pPr>
      <w:r>
        <w:rPr>
          <w:rFonts w:ascii="Arial" w:cs="Arial" w:eastAsia="Arial" w:hAnsi="Arial"/>
          <w:color w:val="888888"/>
          <w:sz w:val="22"/>
          <w:szCs w:val="22"/>
        </w:rPr>
        <w:t xml:space="preserve">Mini Project Report  •  May 2026</w:t>
      </w:r>
    </w:p>
    <w:p>
      <w:pPr>
        <w:spacing w:after="480" w:before="0"/>
        <w:jc w:val="center"/>
      </w:pPr>
      <w:r>
        <w:rPr>
          <w:rFonts w:ascii="Arial" w:cs="Arial" w:eastAsia="Arial" w:hAnsi="Arial"/>
          <w:b/>
          <w:bCs/>
          <w:color w:val="1B3A6B"/>
          <w:sz w:val="26"/>
          <w:szCs w:val="26"/>
        </w:rPr>
        <w:t xml:space="preserve">Prepared by: Mounika Rakurthi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Mounika Rakurthi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Goldman Sachs Internal Audit Job Simulation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Forage (Virtual Experience)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Tasks Completed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 Tasks + 2 Knowledge Quizzes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Audit | Risk Management | GBM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2"/>
                <w:szCs w:val="22"/>
              </w:rPr>
              <w:t xml:space="preserve">Key Skills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Risk Assessment, Critical Thinking, Audit Analysis</w:t>
            </w:r>
          </w:p>
        </w:tc>
      </w:tr>
    </w:tbl>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1. Program Overview</w:t>
      </w:r>
    </w:p>
    <w:p>
      <w:pPr>
        <w:spacing w:after="80" w:before="80"/>
      </w:pPr>
      <w:r>
        <w:rPr>
          <w:rFonts w:ascii="Arial" w:cs="Arial" w:eastAsia="Arial" w:hAnsi="Arial"/>
          <w:sz w:val="22"/>
          <w:szCs w:val="22"/>
        </w:rPr>
        <w:t xml:space="preserve">I completed the Goldman Sachs Internal Audit Job Simulation on Forage as part of my effort to build practical experience in finance and risk management. The simulation replicates real tasks done by analysts in Goldman Sachs’ Internal Audit division, and gave me hands-on exposure to auditing methodologies, risk thinking, and how high-stakes financial institutions identify and manage risk.</w:t>
      </w:r>
    </w:p>
    <w:p>
      <w:pPr>
        <w:spacing w:after="80" w:before="80"/>
      </w:pPr>
      <w:r>
        <w:t xml:space="preserve"/>
      </w:r>
    </w:p>
    <w:p>
      <w:pPr>
        <w:spacing w:after="80" w:before="80"/>
      </w:pPr>
      <w:r>
        <w:rPr>
          <w:rFonts w:ascii="Arial" w:cs="Arial" w:eastAsia="Arial" w:hAnsi="Arial"/>
          <w:sz w:val="22"/>
          <w:szCs w:val="22"/>
        </w:rPr>
        <w:t xml:space="preserve">The program had two core tasks and two quizzes. The first task focused on understanding internal audit fundamentals and applying risk assessment to a real-life scenario. The second task put me in the shoes of a GBM audit analyst, where I had to evaluate actual audit observations and recommend improvements to internal controls.</w:t>
      </w:r>
    </w:p>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2. Key Concepts Covered</w:t>
      </w:r>
    </w:p>
    <w:p>
      <w:pPr>
        <w:pStyle w:val="Heading2"/>
        <w:spacing w:after="120" w:before="240"/>
      </w:pPr>
      <w:r>
        <w:rPr>
          <w:rFonts w:ascii="Arial" w:cs="Arial" w:eastAsia="Arial" w:hAnsi="Arial"/>
          <w:b/>
          <w:bCs/>
          <w:color w:val="1B3A6B"/>
          <w:sz w:val="26"/>
          <w:szCs w:val="26"/>
        </w:rPr>
        <w:t xml:space="preserve">2.1 What is Internal Auditing?</w:t>
      </w:r>
    </w:p>
    <w:p>
      <w:pPr>
        <w:spacing w:after="80" w:before="80"/>
      </w:pPr>
      <w:r>
        <w:rPr>
          <w:rFonts w:ascii="Arial" w:cs="Arial" w:eastAsia="Arial" w:hAnsi="Arial"/>
          <w:sz w:val="22"/>
          <w:szCs w:val="22"/>
        </w:rPr>
        <w:t xml:space="preserve">Internal auditing is an independent, objective assurance and consulting function designed to add value and improve an organization’s operations. It takes a systematic, disciplined approach to evaluating and improving the effectiveness of risk management, control, and governance processes.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Independence and objectivity: Auditors must be free from operational bias to provide impartial assessments</w:t>
      </w:r>
    </w:p>
    <w:p>
      <w:pPr>
        <w:pStyle w:val="ListParagraph"/>
        <w:numPr>
          <w:ilvl w:val="0"/>
          <w:numId w:val="2"/>
        </w:numPr>
        <w:spacing w:after="60" w:before="60"/>
      </w:pPr>
      <w:r>
        <w:rPr>
          <w:rFonts w:ascii="Arial" w:cs="Arial" w:eastAsia="Arial" w:hAnsi="Arial"/>
          <w:sz w:val="22"/>
          <w:szCs w:val="22"/>
        </w:rPr>
        <w:t xml:space="preserve">Assurance: Auditors validate the effectiveness of internal controls</w:t>
      </w:r>
    </w:p>
    <w:p>
      <w:pPr>
        <w:pStyle w:val="ListParagraph"/>
        <w:numPr>
          <w:ilvl w:val="0"/>
          <w:numId w:val="2"/>
        </w:numPr>
        <w:spacing w:after="60" w:before="60"/>
      </w:pPr>
      <w:r>
        <w:rPr>
          <w:rFonts w:ascii="Arial" w:cs="Arial" w:eastAsia="Arial" w:hAnsi="Arial"/>
          <w:sz w:val="22"/>
          <w:szCs w:val="22"/>
        </w:rPr>
        <w:t xml:space="preserve">Systematic methodology: Structured approach across planning, execution, reporting, and follow-up</w:t>
      </w:r>
    </w:p>
    <w:p>
      <w:pPr>
        <w:spacing w:after="80" w:before="80"/>
      </w:pPr>
      <w:r>
        <w:t xml:space="preserve"/>
      </w:r>
    </w:p>
    <w:p>
      <w:pPr>
        <w:pStyle w:val="Heading2"/>
        <w:spacing w:after="120" w:before="240"/>
      </w:pPr>
      <w:r>
        <w:rPr>
          <w:rFonts w:ascii="Arial" w:cs="Arial" w:eastAsia="Arial" w:hAnsi="Arial"/>
          <w:b/>
          <w:bCs/>
          <w:color w:val="1B3A6B"/>
          <w:sz w:val="26"/>
          <w:szCs w:val="26"/>
        </w:rPr>
        <w:t xml:space="preserve">2.2 Internal Audit at Goldman Sachs</w:t>
      </w:r>
    </w:p>
    <w:p>
      <w:pPr>
        <w:spacing w:after="80" w:before="80"/>
      </w:pPr>
      <w:r>
        <w:rPr>
          <w:rFonts w:ascii="Arial" w:cs="Arial" w:eastAsia="Arial" w:hAnsi="Arial"/>
          <w:sz w:val="22"/>
          <w:szCs w:val="22"/>
        </w:rPr>
        <w:t xml:space="preserve">Goldman Sachs’ Internal Audit division is structured to provide comprehensive oversight across the firm’s operations: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Team</w:t>
            </w:r>
          </w:p>
        </w:tc>
        <w:tc>
          <w:tcPr>
            <w:tcW w:type="dxa" w:w="6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Business Audit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Audits business lines: Investment Banking, Asset Management, Compliance, Treasury, Risk, and more. Evaluates process effectiveness and business controls.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Technology Audit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Focuses on IT infrastructure, cybersecurity measures, data protection, and systems reliability and compliance.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Data Analytics &amp; Support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Supports the division through reporting, analytics, and professional practices to enhance audit quality and efficiency.</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2.3 The Internal Audit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 Planning</w:t>
            </w:r>
          </w:p>
        </w:tc>
        <w:tc>
          <w:tcPr>
            <w:tcW w:type="dxa" w:w="2340"/>
            <w:tcBorders>
              <w:top w:val="single" w:color="CCCCCC" w:sz="1"/>
              <w:left w:val="single" w:color="CCCCCC" w:sz="1"/>
              <w:bottom w:val="single" w:color="CCCCCC" w:sz="1"/>
              <w:right w:val="single" w:color="CCCCCC" w:sz="1"/>
            </w:tcBorders>
            <w:shd w:fill="B8960C"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 Execution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3. Reporting</w:t>
            </w:r>
          </w:p>
        </w:tc>
        <w:tc>
          <w:tcPr>
            <w:tcW w:type="dxa" w:w="2340"/>
            <w:tcBorders>
              <w:top w:val="single" w:color="CCCCCC" w:sz="1"/>
              <w:left w:val="single" w:color="CCCCCC" w:sz="1"/>
              <w:bottom w:val="single" w:color="CCCCCC" w:sz="1"/>
              <w:right w:val="single" w:color="CCCCCC" w:sz="1"/>
            </w:tcBorders>
            <w:shd w:fill="B8960C"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4. Follow-Up</w:t>
            </w:r>
          </w:p>
        </w:tc>
      </w:tr>
      <w:tr>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20"/>
                <w:szCs w:val="20"/>
              </w:rPr>
              <w:t xml:space="preserve">Define audit scope, identify areas, and build the audit plan.</w:t>
            </w:r>
          </w:p>
        </w:tc>
        <w:tc>
          <w:tcPr>
            <w:tcW w:type="dxa" w:w="23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sz w:val="20"/>
                <w:szCs w:val="20"/>
              </w:rPr>
              <w:t xml:space="preserve">Gather data, conduct interviews, and test internal controls.</w:t>
            </w:r>
          </w:p>
        </w:tc>
        <w:tc>
          <w:tcPr>
            <w:tcW w:type="dxa" w:w="2340"/>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tcPr>
          <w:p>
            <w:r>
              <w:rPr>
                <w:rFonts w:ascii="Arial" w:cs="Arial" w:eastAsia="Arial" w:hAnsi="Arial"/>
                <w:sz w:val="20"/>
                <w:szCs w:val="20"/>
              </w:rPr>
              <w:t xml:space="preserve">Share findings, conclusions, and recommendations with management.</w:t>
            </w:r>
          </w:p>
        </w:tc>
        <w:tc>
          <w:tcPr>
            <w:tcW w:type="dxa" w:w="23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r>
              <w:rPr>
                <w:rFonts w:ascii="Arial" w:cs="Arial" w:eastAsia="Arial" w:hAnsi="Arial"/>
                <w:sz w:val="20"/>
                <w:szCs w:val="20"/>
              </w:rPr>
              <w:t xml:space="preserve">Monitor corrective action implementation and verify resolution.</w:t>
            </w:r>
          </w:p>
        </w:tc>
      </w:tr>
    </w:tbl>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3. Task 1 – Personal Risk Assessment</w:t>
      </w:r>
    </w:p>
    <w:p>
      <w:pPr>
        <w:pStyle w:val="Heading2"/>
        <w:spacing w:after="120" w:before="240"/>
      </w:pPr>
      <w:r>
        <w:rPr>
          <w:rFonts w:ascii="Arial" w:cs="Arial" w:eastAsia="Arial" w:hAnsi="Arial"/>
          <w:b/>
          <w:bCs/>
          <w:color w:val="1B3A6B"/>
          <w:sz w:val="26"/>
          <w:szCs w:val="26"/>
        </w:rPr>
        <w:t xml:space="preserve">3.1 Task Description</w:t>
      </w:r>
    </w:p>
    <w:p>
      <w:pPr>
        <w:spacing w:after="80" w:before="80"/>
      </w:pPr>
      <w:r>
        <w:rPr>
          <w:rFonts w:ascii="Arial" w:cs="Arial" w:eastAsia="Arial" w:hAnsi="Arial"/>
          <w:sz w:val="22"/>
          <w:szCs w:val="22"/>
        </w:rPr>
        <w:t xml:space="preserve">The first task was about applying risk assessment — one of the most fundamental internal audit skills — to a real personal scenario. I chose to assess the risks of getting a job as a fresher, which felt very relevant to where I am right now. The idea was to think the way an auditor would: identify what could go wrong, evaluate how likely and how bad it is, and figure out what you can do about it.</w:t>
      </w:r>
    </w:p>
    <w:p>
      <w:pPr>
        <w:spacing w:after="80" w:before="80"/>
      </w:pPr>
      <w:r>
        <w:t xml:space="preserve"/>
      </w:r>
    </w:p>
    <w:p>
      <w:pPr>
        <w:spacing w:after="80" w:before="80"/>
      </w:pPr>
      <w:r>
        <w:rPr>
          <w:rFonts w:ascii="Arial" w:cs="Arial" w:eastAsia="Arial" w:hAnsi="Arial"/>
          <w:sz w:val="22"/>
          <w:szCs w:val="22"/>
        </w:rPr>
        <w:t xml:space="preserve">I completed the risk assessment in Microsoft Excel using the provided template, covering 14 risks across the job search process, each with a probability rating, impact rating, risk score from the matrix, and a control or mitigation strategy.</w:t>
      </w:r>
    </w:p>
    <w:p>
      <w:pPr>
        <w:spacing w:after="80" w:before="80"/>
      </w:pPr>
      <w:r>
        <w:t xml:space="preserve"/>
      </w:r>
    </w:p>
    <w:p>
      <w:pPr>
        <w:pStyle w:val="Heading2"/>
        <w:spacing w:after="120" w:before="240"/>
      </w:pPr>
      <w:r>
        <w:rPr>
          <w:rFonts w:ascii="Arial" w:cs="Arial" w:eastAsia="Arial" w:hAnsi="Arial"/>
          <w:b/>
          <w:bCs/>
          <w:color w:val="1B3A6B"/>
          <w:sz w:val="26"/>
          <w:szCs w:val="26"/>
        </w:rPr>
        <w:t xml:space="preserve">3.2 Risk Assessment Summary</w:t>
      </w:r>
    </w:p>
    <w:p>
      <w:pPr>
        <w:spacing w:after="80" w:before="80"/>
      </w:pPr>
      <w:r>
        <w:rPr>
          <w:rFonts w:ascii="Arial" w:cs="Arial" w:eastAsia="Arial" w:hAnsi="Arial"/>
          <w:sz w:val="22"/>
          <w:szCs w:val="22"/>
        </w:rPr>
        <w:t xml:space="preserve">The following risks were identified, assessed, and assigned mitigation controls: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900"/>
        <w:gridCol w:w="900"/>
        <w:gridCol w:w="2260"/>
      </w:tblGrid>
      <w:tr>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Risk</w:t>
            </w:r>
          </w:p>
        </w:tc>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Cause / Consequence</w:t>
            </w:r>
          </w:p>
        </w:tc>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Probability</w:t>
            </w:r>
          </w:p>
        </w:tc>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Impact</w:t>
            </w:r>
          </w:p>
        </w:tc>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Rating</w:t>
            </w:r>
          </w:p>
        </w:tc>
        <w:tc>
          <w:tcPr>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Control / Mitigation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 market competition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Low chances to get shortlisted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D0D0" w:val="clear"/>
            <w:tcMar>
              <w:top w:type="dxa" w:w="60"/>
              <w:left w:type="dxa" w:w="100"/>
              <w:bottom w:type="dxa" w:w="60"/>
              <w:right w:type="dxa" w:w="100"/>
            </w:tcMar>
          </w:tcPr>
          <w:p>
            <w:r>
              <w:rPr>
                <w:rFonts w:ascii="Arial" w:cs="Arial" w:eastAsia="Arial" w:hAnsi="Arial"/>
                <w:b/>
                <w:bCs/>
                <w:sz w:val="18"/>
                <w:szCs w:val="18"/>
              </w:rPr>
              <w:t xml:space="preserve">Critical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Tailor resume, improve projects, apply consistently</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Lack of practical experience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Limited exposure affects interviews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Strong projects + Forage virtual simulations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Poor ATS resume matching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Resume may miss JD keywords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ACC" w:val="clear"/>
            <w:tcMar>
              <w:top w:type="dxa" w:w="60"/>
              <w:left w:type="dxa" w:w="100"/>
              <w:bottom w:type="dxa" w:w="60"/>
              <w:right w:type="dxa" w:w="100"/>
            </w:tcMar>
          </w:tcPr>
          <w:p>
            <w:r>
              <w:rPr>
                <w:rFonts w:ascii="Arial" w:cs="Arial" w:eastAsia="Arial" w:hAnsi="Arial"/>
                <w:b/>
                <w:bCs/>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Optimize with ATS-friendly keywords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Weak interview communication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Poor project explanation affects selection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Practice mock interviews and project storytelling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Skill gap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Lack of practice may affect technical rounds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ACC" w:val="clear"/>
            <w:tcMar>
              <w:top w:type="dxa" w:w="60"/>
              <w:left w:type="dxa" w:w="100"/>
              <w:bottom w:type="dxa" w:w="60"/>
              <w:right w:type="dxa" w:w="100"/>
            </w:tcMar>
          </w:tcPr>
          <w:p>
            <w:r>
              <w:rPr>
                <w:rFonts w:ascii="Arial" w:cs="Arial" w:eastAsia="Arial" w:hAnsi="Arial"/>
                <w:b/>
                <w:bCs/>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Continuous learning and upskilling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Limited portfolio visibility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Inactive platforms reduce recruiter reach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ACC" w:val="clear"/>
            <w:tcMar>
              <w:top w:type="dxa" w:w="60"/>
              <w:left w:type="dxa" w:w="100"/>
              <w:bottom w:type="dxa" w:w="60"/>
              <w:right w:type="dxa" w:w="100"/>
            </w:tcMar>
          </w:tcPr>
          <w:p>
            <w:r>
              <w:rPr>
                <w:rFonts w:ascii="Arial" w:cs="Arial" w:eastAsia="Arial" w:hAnsi="Arial"/>
                <w:b/>
                <w:bCs/>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Regularly update LinkedIn and GitHub</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Failure to customize resume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Generic resumes misalign with JDs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D0D0" w:val="clear"/>
            <w:tcMar>
              <w:top w:type="dxa" w:w="60"/>
              <w:left w:type="dxa" w:w="100"/>
              <w:bottom w:type="dxa" w:w="60"/>
              <w:right w:type="dxa" w:w="100"/>
            </w:tcMar>
          </w:tcPr>
          <w:p>
            <w:r>
              <w:rPr>
                <w:rFonts w:ascii="Arial" w:cs="Arial" w:eastAsia="Arial" w:hAnsi="Arial"/>
                <w:b/>
                <w:bCs/>
                <w:sz w:val="18"/>
                <w:szCs w:val="18"/>
              </w:rPr>
              <w:t xml:space="preserve">Critical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Tailor keywords to each job 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Limited fresher opportunities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Experienced candidates preferred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D0D0" w:val="clear"/>
            <w:tcMar>
              <w:top w:type="dxa" w:w="60"/>
              <w:left w:type="dxa" w:w="100"/>
              <w:bottom w:type="dxa" w:w="60"/>
              <w:right w:type="dxa" w:w="100"/>
            </w:tcMar>
          </w:tcPr>
          <w:p>
            <w:r>
              <w:rPr>
                <w:rFonts w:ascii="Arial" w:cs="Arial" w:eastAsia="Arial" w:hAnsi="Arial"/>
                <w:b/>
                <w:bCs/>
                <w:sz w:val="18"/>
                <w:szCs w:val="18"/>
              </w:rPr>
              <w:t xml:space="preserve">Critical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Strengthen portfolio with projects &amp; simulations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Low confidence during interviews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Nervousness affects communication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Practice self-introduction and mock interviews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Overdependence on portals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Reduces overall visibility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Apply via company career pages + LinkedIn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Application burnout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Rejections reduce motivation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ACC" w:val="clear"/>
            <w:tcMar>
              <w:top w:type="dxa" w:w="60"/>
              <w:left w:type="dxa" w:w="100"/>
              <w:bottom w:type="dxa" w:w="60"/>
              <w:right w:type="dxa" w:w="100"/>
            </w:tcMar>
          </w:tcPr>
          <w:p>
            <w:r>
              <w:rPr>
                <w:rFonts w:ascii="Arial" w:cs="Arial" w:eastAsia="Arial" w:hAnsi="Arial"/>
                <w:b/>
                <w:bCs/>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Maintain balanced routine and realistic goals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Inconsistent tracking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Lost opportunities from untracked apps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ACC" w:val="clear"/>
            <w:tcMar>
              <w:top w:type="dxa" w:w="60"/>
              <w:left w:type="dxa" w:w="100"/>
              <w:bottom w:type="dxa" w:w="60"/>
              <w:right w:type="dxa" w:w="100"/>
            </w:tcMar>
          </w:tcPr>
          <w:p>
            <w:r>
              <w:rPr>
                <w:rFonts w:ascii="Arial" w:cs="Arial" w:eastAsia="Arial" w:hAnsi="Arial"/>
                <w:b/>
                <w:bCs/>
                <w:sz w:val="18"/>
                <w:szCs w:val="18"/>
              </w:rPr>
              <w:t xml:space="preserve">Moderate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Maintain job tracker in Excel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Poor time management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Delays applications and learning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Follow a structured daily schedule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Limited domain knowledge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Weak business understanding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High</w:t>
            </w:r>
          </w:p>
        </w:tc>
        <w:tc>
          <w:tcPr>
            <w:tcBorders>
              <w:top w:val="single" w:color="CCCCCC" w:sz="1"/>
              <w:left w:val="single" w:color="CCCCCC" w:sz="1"/>
              <w:bottom w:val="single" w:color="CCCCCC" w:sz="1"/>
              <w:right w:val="single" w:color="CCCCCC" w:sz="1"/>
            </w:tcBorders>
            <w:shd w:fill="FFE8CC" w:val="clear"/>
            <w:tcMar>
              <w:top w:type="dxa" w:w="60"/>
              <w:left w:type="dxa" w:w="100"/>
              <w:bottom w:type="dxa" w:w="60"/>
              <w:right w:type="dxa" w:w="100"/>
            </w:tcMar>
          </w:tcPr>
          <w:p>
            <w:r>
              <w:rPr>
                <w:rFonts w:ascii="Arial" w:cs="Arial" w:eastAsia="Arial" w:hAnsi="Arial"/>
                <w:b/>
                <w:bCs/>
                <w:sz w:val="18"/>
                <w:szCs w:val="18"/>
              </w:rPr>
              <w:t xml:space="preserve">Severe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Develop practical domain knowledge actively</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3.3 Risk Matrix Used</w:t>
      </w:r>
    </w:p>
    <w:p>
      <w:pPr>
        <w:spacing w:after="80" w:before="80"/>
      </w:pPr>
      <w:r>
        <w:rPr>
          <w:rFonts w:ascii="Arial" w:cs="Arial" w:eastAsia="Arial" w:hAnsi="Arial"/>
          <w:sz w:val="22"/>
          <w:szCs w:val="22"/>
        </w:rPr>
        <w:t xml:space="preserve">The following risk matrix was applied to determine the Risk Rating for each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Probability \ Impact</w:t>
            </w:r>
          </w:p>
        </w:tc>
        <w:tc>
          <w:tcPr>
            <w:tcBorders>
              <w:top w:val="single" w:color="CCCCCC" w:sz="1"/>
              <w:left w:val="single" w:color="CCCCCC" w:sz="1"/>
              <w:bottom w:val="single" w:color="CCCCCC" w:sz="1"/>
              <w:right w:val="single" w:color="CCCCCC" w:sz="1"/>
            </w:tcBorders>
            <w:shd w:fill="2A5298" w:val="clear"/>
            <w:tcMar>
              <w:top w:type="dxa" w:w="60"/>
              <w:left w:type="dxa" w:w="80"/>
              <w:bottom w:type="dxa" w:w="60"/>
              <w:right w:type="dxa" w:w="80"/>
            </w:tcMar>
          </w:tcPr>
          <w:p>
            <w:pPr>
              <w:jc w:val="center"/>
            </w:pPr>
            <w:r>
              <w:rPr>
                <w:rFonts w:ascii="Arial" w:cs="Arial" w:eastAsia="Arial" w:hAnsi="Arial"/>
                <w:b/>
                <w:bCs/>
                <w:color w:val="FFFFFF"/>
                <w:sz w:val="18"/>
                <w:szCs w:val="18"/>
              </w:rPr>
              <w:t xml:space="preserve">Very Low</w:t>
            </w:r>
          </w:p>
        </w:tc>
        <w:tc>
          <w:tcPr>
            <w:tcBorders>
              <w:top w:val="single" w:color="CCCCCC" w:sz="1"/>
              <w:left w:val="single" w:color="CCCCCC" w:sz="1"/>
              <w:bottom w:val="single" w:color="CCCCCC" w:sz="1"/>
              <w:right w:val="single" w:color="CCCCCC" w:sz="1"/>
            </w:tcBorders>
            <w:shd w:fill="2A5298" w:val="clear"/>
            <w:tcMar>
              <w:top w:type="dxa" w:w="60"/>
              <w:left w:type="dxa" w:w="80"/>
              <w:bottom w:type="dxa" w:w="60"/>
              <w:right w:type="dxa" w:w="80"/>
            </w:tcMar>
          </w:tcPr>
          <w:p>
            <w:pPr>
              <w:jc w:val="center"/>
            </w:pPr>
            <w:r>
              <w:rPr>
                <w:rFonts w:ascii="Arial" w:cs="Arial" w:eastAsia="Arial" w:hAnsi="Arial"/>
                <w:b/>
                <w:bCs/>
                <w:color w:val="FFFFFF"/>
                <w:sz w:val="18"/>
                <w:szCs w:val="18"/>
              </w:rPr>
              <w:t xml:space="preserve">Low</w:t>
            </w:r>
          </w:p>
        </w:tc>
        <w:tc>
          <w:tcPr>
            <w:tcBorders>
              <w:top w:val="single" w:color="CCCCCC" w:sz="1"/>
              <w:left w:val="single" w:color="CCCCCC" w:sz="1"/>
              <w:bottom w:val="single" w:color="CCCCCC" w:sz="1"/>
              <w:right w:val="single" w:color="CCCCCC" w:sz="1"/>
            </w:tcBorders>
            <w:shd w:fill="2A5298"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Medium</w:t>
            </w:r>
          </w:p>
        </w:tc>
        <w:tc>
          <w:tcPr>
            <w:tcBorders>
              <w:top w:val="single" w:color="CCCCCC" w:sz="1"/>
              <w:left w:val="single" w:color="CCCCCC" w:sz="1"/>
              <w:bottom w:val="single" w:color="CCCCCC" w:sz="1"/>
              <w:right w:val="single" w:color="CCCCCC" w:sz="1"/>
            </w:tcBorders>
            <w:shd w:fill="2A5298" w:val="clear"/>
            <w:tcMar>
              <w:top w:type="dxa" w:w="60"/>
              <w:left w:type="dxa" w:w="80"/>
              <w:bottom w:type="dxa" w:w="60"/>
              <w:right w:type="dxa" w:w="80"/>
            </w:tcMar>
          </w:tcPr>
          <w:p>
            <w:pPr>
              <w:jc w:val="center"/>
            </w:pPr>
            <w:r>
              <w:rPr>
                <w:rFonts w:ascii="Arial" w:cs="Arial" w:eastAsia="Arial" w:hAnsi="Arial"/>
                <w:b/>
                <w:bCs/>
                <w:color w:val="FFFFFF"/>
                <w:sz w:val="18"/>
                <w:szCs w:val="18"/>
              </w:rPr>
              <w:t xml:space="preserve">High</w:t>
            </w:r>
          </w:p>
        </w:tc>
        <w:tc>
          <w:tcPr>
            <w:tcBorders>
              <w:top w:val="single" w:color="CCCCCC" w:sz="1"/>
              <w:left w:val="single" w:color="CCCCCC" w:sz="1"/>
              <w:bottom w:val="single" w:color="CCCCCC" w:sz="1"/>
              <w:right w:val="single" w:color="CCCCCC" w:sz="1"/>
            </w:tcBorders>
            <w:shd w:fill="2A5298" w:val="clear"/>
            <w:tcMar>
              <w:top w:type="dxa" w:w="60"/>
              <w:left w:type="dxa" w:w="80"/>
              <w:bottom w:type="dxa" w:w="60"/>
              <w:right w:type="dxa" w:w="80"/>
            </w:tcMar>
          </w:tcPr>
          <w:p>
            <w:pPr>
              <w:jc w:val="center"/>
            </w:pPr>
            <w:r>
              <w:rPr>
                <w:rFonts w:ascii="Arial" w:cs="Arial" w:eastAsia="Arial" w:hAnsi="Arial"/>
                <w:b/>
                <w:bCs/>
                <w:color w:val="FFFFFF"/>
                <w:sz w:val="18"/>
                <w:szCs w:val="18"/>
              </w:rPr>
              <w:t xml:space="preserve">Very High</w:t>
            </w:r>
          </w:p>
        </w:tc>
      </w:tr>
      <w:tr>
        <w:tc>
          <w:tcPr>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color w:val="1B3A6B"/>
                <w:sz w:val="18"/>
                <w:szCs w:val="18"/>
              </w:rPr>
              <w:t xml:space="preserve">Very High</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r>
      <w:tr>
        <w:tc>
          <w:tcPr>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color w:val="1B3A6B"/>
                <w:sz w:val="18"/>
                <w:szCs w:val="18"/>
              </w:rPr>
              <w:t xml:space="preserve">High</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r>
      <w:tr>
        <w:tc>
          <w:tcPr>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color w:val="1B3A6B"/>
                <w:sz w:val="18"/>
                <w:szCs w:val="18"/>
              </w:rPr>
              <w:t xml:space="preserve">Medium</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r>
      <w:tr>
        <w:tc>
          <w:tcPr>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color w:val="1B3A6B"/>
                <w:sz w:val="18"/>
                <w:szCs w:val="18"/>
              </w:rPr>
              <w:t xml:space="preserve">Low</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c>
          <w:tcPr>
            <w:tcBorders>
              <w:top w:val="single" w:color="CCCCCC" w:sz="1"/>
              <w:left w:val="single" w:color="CCCCCC" w:sz="1"/>
              <w:bottom w:val="single" w:color="CCCCCC" w:sz="1"/>
              <w:right w:val="single" w:color="CCCCCC" w:sz="1"/>
            </w:tcBorders>
            <w:shd w:fill="FFB3B3"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Critical</w:t>
            </w:r>
          </w:p>
        </w:tc>
      </w:tr>
      <w:tr>
        <w:tc>
          <w:tcPr>
            <w:tcBorders>
              <w:top w:val="single" w:color="CCCCCC" w:sz="1"/>
              <w:left w:val="single" w:color="CCCCCC" w:sz="1"/>
              <w:bottom w:val="single" w:color="CCCCCC" w:sz="1"/>
              <w:right w:val="single" w:color="CCCCCC" w:sz="1"/>
            </w:tcBorders>
            <w:shd w:fill="D6E4F0" w:val="clear"/>
            <w:tcMar>
              <w:top w:type="dxa" w:w="60"/>
              <w:left w:type="dxa" w:w="80"/>
              <w:bottom w:type="dxa" w:w="60"/>
              <w:right w:type="dxa" w:w="80"/>
            </w:tcMar>
          </w:tcPr>
          <w:p>
            <w:pPr>
              <w:jc w:val="center"/>
            </w:pPr>
            <w:r>
              <w:rPr>
                <w:rFonts w:ascii="Arial" w:cs="Arial" w:eastAsia="Arial" w:hAnsi="Arial"/>
                <w:b/>
                <w:bCs/>
                <w:color w:val="1B3A6B"/>
                <w:sz w:val="18"/>
                <w:szCs w:val="18"/>
              </w:rPr>
              <w:t xml:space="preserve">Very Low</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D0F0C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Sustainable</w:t>
            </w:r>
          </w:p>
        </w:tc>
        <w:tc>
          <w:tcPr>
            <w:tcBorders>
              <w:top w:val="single" w:color="CCCCCC" w:sz="1"/>
              <w:left w:val="single" w:color="CCCCCC" w:sz="1"/>
              <w:bottom w:val="single" w:color="CCCCCC" w:sz="1"/>
              <w:right w:val="single" w:color="CCCCCC" w:sz="1"/>
            </w:tcBorders>
            <w:shd w:fill="FFF3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Moderate</w:t>
            </w:r>
          </w:p>
        </w:tc>
        <w:tc>
          <w:tcPr>
            <w:tcBorders>
              <w:top w:val="single" w:color="CCCCCC" w:sz="1"/>
              <w:left w:val="single" w:color="CCCCCC" w:sz="1"/>
              <w:bottom w:val="single" w:color="CCCCCC" w:sz="1"/>
              <w:right w:val="single" w:color="CCCCCC" w:sz="1"/>
            </w:tcBorders>
            <w:shd w:fill="FFD9A0" w:val="clear"/>
            <w:tcMar>
              <w:top w:type="dxa" w:w="60"/>
              <w:left w:type="dxa" w:w="80"/>
              <w:bottom w:type="dxa" w:w="60"/>
              <w:right w:type="dxa" w:w="80"/>
            </w:tcMar>
          </w:tcPr>
          <w:p>
            <w:pPr>
              <w:jc w:val="center"/>
            </w:pPr>
            <w:r>
              <w:rPr>
                <w:rFonts w:ascii="Arial" w:cs="Arial" w:eastAsia="Arial" w:hAnsi="Arial"/>
                <w:b w:val="false"/>
                <w:bCs w:val="false"/>
                <w:color w:val="1B3A6B"/>
                <w:sz w:val="18"/>
                <w:szCs w:val="18"/>
              </w:rPr>
              <w:t xml:space="preserve">Severe</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3.4 Task Outcome</w:t>
      </w:r>
    </w:p>
    <w:p>
      <w:pPr>
        <w:pStyle w:val="ListParagraph"/>
        <w:numPr>
          <w:ilvl w:val="0"/>
          <w:numId w:val="2"/>
        </w:numPr>
        <w:spacing w:after="60" w:before="60"/>
      </w:pPr>
      <w:r>
        <w:rPr>
          <w:rFonts w:ascii="Arial" w:cs="Arial" w:eastAsia="Arial" w:hAnsi="Arial"/>
          <w:sz w:val="22"/>
          <w:szCs w:val="22"/>
        </w:rPr>
        <w:t xml:space="preserve">Delivered a 14-item risk assessment covering all major challenges faced by a fresher job seeker</w:t>
      </w:r>
    </w:p>
    <w:p>
      <w:pPr>
        <w:pStyle w:val="ListParagraph"/>
        <w:numPr>
          <w:ilvl w:val="0"/>
          <w:numId w:val="2"/>
        </w:numPr>
        <w:spacing w:after="60" w:before="60"/>
      </w:pPr>
      <w:r>
        <w:rPr>
          <w:rFonts w:ascii="Arial" w:cs="Arial" w:eastAsia="Arial" w:hAnsi="Arial"/>
          <w:sz w:val="22"/>
          <w:szCs w:val="22"/>
        </w:rPr>
        <w:t xml:space="preserve">Used a 5x5 risk matrix to classify risks as Critical, Severe, Moderate, or Sustainable</w:t>
      </w:r>
    </w:p>
    <w:p>
      <w:pPr>
        <w:pStyle w:val="ListParagraph"/>
        <w:numPr>
          <w:ilvl w:val="0"/>
          <w:numId w:val="2"/>
        </w:numPr>
        <w:spacing w:after="60" w:before="60"/>
      </w:pPr>
      <w:r>
        <w:rPr>
          <w:rFonts w:ascii="Arial" w:cs="Arial" w:eastAsia="Arial" w:hAnsi="Arial"/>
          <w:sz w:val="22"/>
          <w:szCs w:val="22"/>
        </w:rPr>
        <w:t xml:space="preserve">3 risks rated Critical, 6 rated Severe, 5 rated Moderate</w:t>
      </w:r>
    </w:p>
    <w:p>
      <w:pPr>
        <w:pStyle w:val="ListParagraph"/>
        <w:numPr>
          <w:ilvl w:val="0"/>
          <w:numId w:val="2"/>
        </w:numPr>
        <w:spacing w:after="60" w:before="60"/>
      </w:pPr>
      <w:r>
        <w:rPr>
          <w:rFonts w:ascii="Arial" w:cs="Arial" w:eastAsia="Arial" w:hAnsi="Arial"/>
          <w:sz w:val="22"/>
          <w:szCs w:val="22"/>
        </w:rPr>
        <w:t xml:space="preserve">Practical controls were defined for every identified risk</w:t>
      </w:r>
    </w:p>
    <w:p>
      <w:pPr>
        <w:pStyle w:val="ListParagraph"/>
        <w:numPr>
          <w:ilvl w:val="0"/>
          <w:numId w:val="2"/>
        </w:numPr>
        <w:spacing w:after="60" w:before="60"/>
      </w:pPr>
      <w:r>
        <w:rPr>
          <w:rFonts w:ascii="Arial" w:cs="Arial" w:eastAsia="Arial" w:hAnsi="Arial"/>
          <w:sz w:val="22"/>
          <w:szCs w:val="22"/>
        </w:rPr>
        <w:t xml:space="preserve">Demonstrated core auditing skills: risk identification, probability-impact analysis, and mitigation planning</w:t>
      </w:r>
    </w:p>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4. Task 2 – Risk Assessment in Global Banking &amp; Markets</w:t>
      </w:r>
    </w:p>
    <w:p>
      <w:pPr>
        <w:pStyle w:val="Heading2"/>
        <w:spacing w:after="120" w:before="240"/>
      </w:pPr>
      <w:r>
        <w:rPr>
          <w:rFonts w:ascii="Arial" w:cs="Arial" w:eastAsia="Arial" w:hAnsi="Arial"/>
          <w:b/>
          <w:bCs/>
          <w:color w:val="1B3A6B"/>
          <w:sz w:val="26"/>
          <w:szCs w:val="26"/>
        </w:rPr>
        <w:t xml:space="preserve">4.1 Task Description</w:t>
      </w:r>
    </w:p>
    <w:p>
      <w:pPr>
        <w:spacing w:after="80" w:before="80"/>
      </w:pPr>
      <w:r>
        <w:rPr>
          <w:rFonts w:ascii="Arial" w:cs="Arial" w:eastAsia="Arial" w:hAnsi="Arial"/>
          <w:sz w:val="22"/>
          <w:szCs w:val="22"/>
        </w:rPr>
        <w:t xml:space="preserve">Task 2 was where things got really interesting. I was placed in the role of an Internal Audit analyst at Goldman Sachs and given three real-looking audit scenarios from the Global Banking and Markets (GBM) division. Each scenario had specific numbers and observations from audit fieldwork, and I had to identify what was going wrong, why it mattered, and how it should be fixed.</w:t>
      </w:r>
    </w:p>
    <w:p>
      <w:pPr>
        <w:spacing w:after="80" w:before="80"/>
      </w:pPr>
      <w:r>
        <w:t xml:space="preserve"/>
      </w:r>
    </w:p>
    <w:p>
      <w:pPr>
        <w:spacing w:after="80" w:before="80"/>
      </w:pPr>
      <w:r>
        <w:rPr>
          <w:rFonts w:ascii="Arial" w:cs="Arial" w:eastAsia="Arial" w:hAnsi="Arial"/>
          <w:sz w:val="22"/>
          <w:szCs w:val="22"/>
        </w:rPr>
        <w:t xml:space="preserve">This task really pushed me to think critically rather than just theoretically. I had to understand the business context behind each scenario before I could say anything meaningful about the risks.</w:t>
      </w:r>
    </w:p>
    <w:p>
      <w:pPr>
        <w:spacing w:after="80" w:before="80"/>
      </w:pPr>
      <w:r>
        <w:t xml:space="preserve"/>
      </w:r>
    </w:p>
    <w:p>
      <w:pPr>
        <w:pStyle w:val="Heading2"/>
        <w:spacing w:after="120" w:before="240"/>
      </w:pPr>
      <w:r>
        <w:rPr>
          <w:rFonts w:ascii="Arial" w:cs="Arial" w:eastAsia="Arial" w:hAnsi="Arial"/>
          <w:b/>
          <w:bCs/>
          <w:color w:val="1B3A6B"/>
          <w:sz w:val="26"/>
          <w:szCs w:val="26"/>
        </w:rPr>
        <w:t xml:space="preserve">4.2 Scenario 1 – Fixed Income Trade Execution</w:t>
      </w:r>
    </w:p>
    <w:p>
      <w:pPr>
        <w:spacing w:after="80" w:before="180"/>
      </w:pPr>
      <w:r>
        <w:rPr>
          <w:rFonts w:ascii="Arial" w:cs="Arial" w:eastAsia="Arial" w:hAnsi="Arial"/>
          <w:b/>
          <w:bCs/>
          <w:color w:val="B8960C"/>
          <w:sz w:val="24"/>
          <w:szCs w:val="24"/>
        </w:rPr>
        <w:t xml:space="preserve">Background</w:t>
      </w:r>
    </w:p>
    <w:p>
      <w:pPr>
        <w:spacing w:after="80" w:before="80"/>
      </w:pPr>
      <w:r>
        <w:rPr>
          <w:rFonts w:ascii="Arial" w:cs="Arial" w:eastAsia="Arial" w:hAnsi="Arial"/>
          <w:sz w:val="22"/>
          <w:szCs w:val="22"/>
        </w:rPr>
        <w:t xml:space="preserve">Audit fieldwork revealed delays and discrepancies between trade orders and execution in the Fixed Income Trading Desk, leading to financial losses and client dissatisfaction.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Q1: Would improving the trade execution process fall under Business Audit or Tech Audit?</w:t>
            </w:r>
          </w:p>
          <w:p>
            <w:r>
              <w:rPr>
                <w:rFonts w:ascii="Arial" w:cs="Arial" w:eastAsia="Arial" w:hAnsi="Arial"/>
                <w:sz w:val="22"/>
                <w:szCs w:val="22"/>
              </w:rPr>
              <w:t xml:space="preserve">This falls under Business Audit. The delays and discrepancies between trade order and execution directly affect trading performance, client impact, and financial outcomes — all of which are core business concerns. While technology issues may be a contributing factor, Business Audit focuses on overall process effectiveness and financial implications. Tech Audit would specifically assess system infrastructure or application-level failures.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Q2: How would improving the trade execution process benefit the Fixed Income Trading Desk and its clients?</w:t>
            </w:r>
          </w:p>
          <w:p>
            <w:r>
              <w:rPr>
                <w:rFonts w:ascii="Arial" w:cs="Arial" w:eastAsia="Arial" w:hAnsi="Arial"/>
                <w:sz w:val="22"/>
                <w:szCs w:val="22"/>
              </w:rPr>
              <w:t xml:space="preserve">Improvement would ensure orders are executed within the industry-standard 3-second window, preventing delays and financial losses. It would also enhance client trust and transparency, strengthen the firm’s reputation, and reduce operational risk exposure on the trading desk.</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4.3 Scenario 2 – Non-Performing Loans in GBM</w:t>
      </w:r>
    </w:p>
    <w:p>
      <w:pPr>
        <w:spacing w:after="80" w:before="180"/>
      </w:pPr>
      <w:r>
        <w:rPr>
          <w:rFonts w:ascii="Arial" w:cs="Arial" w:eastAsia="Arial" w:hAnsi="Arial"/>
          <w:b/>
          <w:bCs/>
          <w:color w:val="B8960C"/>
          <w:sz w:val="24"/>
          <w:szCs w:val="24"/>
        </w:rPr>
        <w:t xml:space="preserve">Background</w:t>
      </w:r>
    </w:p>
    <w:p>
      <w:pPr>
        <w:spacing w:after="80" w:before="80"/>
      </w:pPr>
      <w:r>
        <w:rPr>
          <w:rFonts w:ascii="Arial" w:cs="Arial" w:eastAsia="Arial" w:hAnsi="Arial"/>
          <w:sz w:val="22"/>
          <w:szCs w:val="22"/>
        </w:rPr>
        <w:t xml:space="preserve">Non-Performing Loans (NPLs) in the GBM division increased from 4.5% to 7.5% over the prior year, indicating weaknesses in the credit risk and post-approval monitoring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Q1: What aspect of the post-approval process could be strengthened to improve loan performance?</w:t>
            </w:r>
          </w:p>
          <w:p>
            <w:r>
              <w:rPr>
                <w:rFonts w:ascii="Arial" w:cs="Arial" w:eastAsia="Arial" w:hAnsi="Arial"/>
                <w:sz w:val="22"/>
                <w:szCs w:val="22"/>
              </w:rPr>
              <w:t xml:space="preserve">The post-approval monitoring process requires strengthening. Specifically, regular reviewing and monitoring of client companies’ financial health after loan disbursement, along with early identification of repayment risk signals, would significantly help improve loan performance and reduce NPL growth.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Q2: How would improving the credit risk assessment process benefit the GBM division and its clients?</w:t>
            </w:r>
          </w:p>
          <w:p>
            <w:r>
              <w:rPr>
                <w:rFonts w:ascii="Arial" w:cs="Arial" w:eastAsia="Arial" w:hAnsi="Arial"/>
                <w:sz w:val="22"/>
                <w:szCs w:val="22"/>
              </w:rPr>
              <w:t xml:space="preserve">A stronger credit risk assessment — incorporating financial statement analysis, cash flow evaluation, credit scoring, and pre-approval risk assessment — would reduce NPLs, improve loan quality, strengthen decision-making, and build longer-term trust with clients. For the GBM division, it would also reduce financial exposure and demonstrate stronger governance to regulators.</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4.4 Scenario 3 – AML Transaction Monitoring</w:t>
      </w:r>
    </w:p>
    <w:p>
      <w:pPr>
        <w:spacing w:after="80" w:before="180"/>
      </w:pPr>
      <w:r>
        <w:rPr>
          <w:rFonts w:ascii="Arial" w:cs="Arial" w:eastAsia="Arial" w:hAnsi="Arial"/>
          <w:b/>
          <w:bCs/>
          <w:color w:val="B8960C"/>
          <w:sz w:val="24"/>
          <w:szCs w:val="24"/>
        </w:rPr>
        <w:t xml:space="preserve">Background</w:t>
      </w:r>
    </w:p>
    <w:p>
      <w:pPr>
        <w:spacing w:after="80" w:before="80"/>
      </w:pPr>
      <w:r>
        <w:rPr>
          <w:rFonts w:ascii="Arial" w:cs="Arial" w:eastAsia="Arial" w:hAnsi="Arial"/>
          <w:sz w:val="22"/>
          <w:szCs w:val="22"/>
        </w:rPr>
        <w:t xml:space="preserve">Audit data showed that out of 50 suspicious transactions identified, only 30 (60%) were formally reported — which is 30% below the industry-standard reporting rate, indicating a gap in the escalation and reporting stage of the AML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Q1: Identify one potential weakness in the AML transaction monitoring process and suggest an improvement.</w:t>
            </w:r>
          </w:p>
          <w:p>
            <w:r>
              <w:rPr>
                <w:rFonts w:ascii="Arial" w:cs="Arial" w:eastAsia="Arial" w:hAnsi="Arial"/>
                <w:sz w:val="22"/>
                <w:szCs w:val="22"/>
              </w:rPr>
              <w:t xml:space="preserve">Weakness: There is a significant gap in the escalation and reporting stage. Even when suspicious activity is correctly detected, 40% of cases are not being escalated or reported to regulators — increasing compliance risk and exposure to potential penalties.
Improvement: Implement a mandatory escalation workflow with automated triggers for regulatory reporting. Cases flagged as suspicious should auto-generate a Suspicious Activity Report (SAR) filing workflow, with supervisor sign-off required before a case can be closed without filing.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FF0" w:val="clear"/>
            <w:tcMar>
              <w:top w:type="dxa" w:w="100"/>
              <w:left w:type="dxa" w:w="160"/>
              <w:bottom w:type="dxa" w:w="100"/>
              <w:right w:type="dxa" w:w="160"/>
            </w:tcMar>
          </w:tcPr>
          <w:p>
            <w:pPr>
              <w:spacing w:after="60"/>
            </w:pPr>
            <w:r>
              <w:rPr>
                <w:rFonts w:ascii="Arial" w:cs="Arial" w:eastAsia="Arial" w:hAnsi="Arial"/>
                <w:b/>
                <w:bCs/>
                <w:color w:val="1B3A6B"/>
                <w:sz w:val="22"/>
                <w:szCs w:val="22"/>
              </w:rPr>
              <w:t xml:space="preserve">Q2: How would improving AML controls benefit the GBM division and its clients?</w:t>
            </w:r>
          </w:p>
          <w:p>
            <w:r>
              <w:rPr>
                <w:rFonts w:ascii="Arial" w:cs="Arial" w:eastAsia="Arial" w:hAnsi="Arial"/>
                <w:sz w:val="22"/>
                <w:szCs w:val="22"/>
              </w:rPr>
              <w:t xml:space="preserve">Stronger AML controls would reduce the risk of regulatory penalties, legal actions, and reputational damage. Internally, it would improve compliance audit performance, strengthen the firm’s overall risk management posture, and increase confidence among regulators and clients that the firm operates with integrity.</w:t>
            </w:r>
          </w:p>
        </w:tc>
      </w:tr>
    </w:tbl>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5.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Skill</w:t>
            </w:r>
          </w:p>
        </w:tc>
        <w:tc>
          <w:tcPr>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2"/>
                <w:szCs w:val="22"/>
              </w:rPr>
              <w:t xml:space="preserve">How It Was Applied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Risk Identification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14 risks in Task 1 and 3 audit observations in Task 2 across different financial domains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Risk Assessment &amp; Prioritization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Used a 5x5 probability-impact matrix to classify and prioritize risks by severity</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Critical Thinking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Analyzed GBM scenarios to diagnose root causes and recommend process improvements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Audit Domain Knowledge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Applied understanding of Business Audit vs. Tech Audit, AML controls, NPL monitoring, and trade execution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Structured Communication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Formulated clear, concise written responses to complex audit scenarios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Tool Proficiency</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 the risk assessment using Microsoft Excel with structured formatting</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Attention to Detail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specific metric gaps (e.g., 60% vs. 90% AML reporting rate, 4.5% vs. 7.5% NPL)</w:t>
            </w:r>
          </w:p>
        </w:tc>
      </w:tr>
    </w:tbl>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6. Key Takeaways</w:t>
      </w:r>
    </w:p>
    <w:p>
      <w:pPr>
        <w:pStyle w:val="ListParagraph"/>
        <w:numPr>
          <w:ilvl w:val="0"/>
          <w:numId w:val="2"/>
        </w:numPr>
        <w:spacing w:after="60" w:before="60"/>
      </w:pPr>
      <w:r>
        <w:rPr>
          <w:rFonts w:ascii="Arial" w:cs="Arial" w:eastAsia="Arial" w:hAnsi="Arial"/>
          <w:sz w:val="22"/>
          <w:szCs w:val="22"/>
        </w:rPr>
        <w:t xml:space="preserve">Internal auditing is not just about compliance — it actively adds business value by improving processes, reducing risk exposure, and strengthening governance</w:t>
      </w:r>
    </w:p>
    <w:p>
      <w:pPr>
        <w:pStyle w:val="ListParagraph"/>
        <w:numPr>
          <w:ilvl w:val="0"/>
          <w:numId w:val="2"/>
        </w:numPr>
        <w:spacing w:after="60" w:before="60"/>
      </w:pPr>
      <w:r>
        <w:rPr>
          <w:rFonts w:ascii="Arial" w:cs="Arial" w:eastAsia="Arial" w:hAnsi="Arial"/>
          <w:sz w:val="22"/>
          <w:szCs w:val="22"/>
        </w:rPr>
        <w:t xml:space="preserve">Developing a risk mindset is transferable across domains: the same structured thinking applied to personal job-seeking challenges can be applied to complex GBM scenarios</w:t>
      </w:r>
    </w:p>
    <w:p>
      <w:pPr>
        <w:pStyle w:val="ListParagraph"/>
        <w:numPr>
          <w:ilvl w:val="0"/>
          <w:numId w:val="2"/>
        </w:numPr>
        <w:spacing w:after="60" w:before="60"/>
      </w:pPr>
      <w:r>
        <w:rPr>
          <w:rFonts w:ascii="Arial" w:cs="Arial" w:eastAsia="Arial" w:hAnsi="Arial"/>
          <w:sz w:val="22"/>
          <w:szCs w:val="22"/>
        </w:rPr>
        <w:t xml:space="preserve">The difference between Business Audit and Technology Audit is critical — understanding where a risk originates (process vs. system) determines the correct audit response</w:t>
      </w:r>
    </w:p>
    <w:p>
      <w:pPr>
        <w:pStyle w:val="ListParagraph"/>
        <w:numPr>
          <w:ilvl w:val="0"/>
          <w:numId w:val="2"/>
        </w:numPr>
        <w:spacing w:after="60" w:before="60"/>
      </w:pPr>
      <w:r>
        <w:rPr>
          <w:rFonts w:ascii="Arial" w:cs="Arial" w:eastAsia="Arial" w:hAnsi="Arial"/>
          <w:sz w:val="22"/>
          <w:szCs w:val="22"/>
        </w:rPr>
        <w:t xml:space="preserve">Data-driven observations (e.g., AML reporting at 60% vs. 90% industry standard) are essential to building credible, actionable audit findings</w:t>
      </w:r>
    </w:p>
    <w:p>
      <w:pPr>
        <w:pStyle w:val="ListParagraph"/>
        <w:numPr>
          <w:ilvl w:val="0"/>
          <w:numId w:val="2"/>
        </w:numPr>
        <w:spacing w:after="60" w:before="60"/>
      </w:pPr>
      <w:r>
        <w:rPr>
          <w:rFonts w:ascii="Arial" w:cs="Arial" w:eastAsia="Arial" w:hAnsi="Arial"/>
          <w:sz w:val="22"/>
          <w:szCs w:val="22"/>
        </w:rPr>
        <w:t xml:space="preserve">Audit work requires strong written communication — findings must be clear, specific, and actionable for management to act on them</w:t>
      </w:r>
    </w:p>
    <w:p>
      <w:pPr>
        <w:spacing w:after="80" w:before="80"/>
      </w:pPr>
      <w:r>
        <w:t xml:space="preserve"/>
      </w:r>
    </w:p>
    <w:p>
      <w:pPr>
        <w:pStyle w:val="Heading1"/>
        <w:pBdr>
          <w:bottom w:val="single" w:color="B8960C" w:sz="6" w:space="4"/>
        </w:pBdr>
        <w:spacing w:after="160" w:before="320"/>
      </w:pPr>
      <w:r>
        <w:rPr>
          <w:rFonts w:ascii="Arial" w:cs="Arial" w:eastAsia="Arial" w:hAnsi="Arial"/>
          <w:b/>
          <w:bCs/>
          <w:color w:val="1B3A6B"/>
          <w:sz w:val="32"/>
          <w:szCs w:val="32"/>
        </w:rPr>
        <w:t xml:space="preserve">7. Conclusion</w:t>
      </w:r>
    </w:p>
    <w:p>
      <w:pPr>
        <w:spacing w:after="80" w:before="80"/>
      </w:pPr>
      <w:r>
        <w:rPr>
          <w:rFonts w:ascii="Arial" w:cs="Arial" w:eastAsia="Arial" w:hAnsi="Arial"/>
          <w:sz w:val="22"/>
          <w:szCs w:val="22"/>
        </w:rPr>
        <w:t xml:space="preserve">This simulation was genuinely one of the more useful things I’ve done to build practical finance skills. It wasn’t just theory — I had to actually think through real audit observations, put numbers in context, and write recommendations the way an analyst would. That’s not something you get from just reading about internal audit.</w:t>
      </w:r>
    </w:p>
    <w:p>
      <w:pPr>
        <w:spacing w:after="80" w:before="80"/>
      </w:pPr>
      <w:r>
        <w:t xml:space="preserve"/>
      </w:r>
    </w:p>
    <w:p>
      <w:pPr>
        <w:spacing w:after="80" w:before="80"/>
      </w:pPr>
      <w:r>
        <w:rPr>
          <w:rFonts w:ascii="Arial" w:cs="Arial" w:eastAsia="Arial" w:hAnsi="Arial"/>
          <w:sz w:val="22"/>
          <w:szCs w:val="22"/>
        </w:rPr>
        <w:t xml:space="preserve">What I took away most is that internal audit isn’t just a compliance function — it’s a critical part of how a firm like Goldman Sachs protects itself, improves its processes, and maintains trust with regulators and clients. I came away with a much stronger understanding of risk thinking, audit structure, and how the GBM division operates, and I feel a lot more confident talking about these topics in interviews and professional settings.</w:t>
      </w:r>
    </w:p>
    <w:p>
      <w:pPr>
        <w:spacing w:after="80" w:before="80"/>
      </w:pPr>
      <w:r>
        <w:t xml:space="preserve"/>
      </w:r>
    </w:p>
    <w:p>
      <w:pPr>
        <w:pBdr>
          <w:top w:val="single" w:color="B8960C" w:sz="4" w:space="8"/>
        </w:pBdr>
        <w:spacing w:after="80" w:before="240"/>
        <w:jc w:val="center"/>
      </w:pPr>
      <w:r>
        <w:rPr>
          <w:rFonts w:ascii="Arial" w:cs="Arial" w:eastAsia="Arial" w:hAnsi="Arial"/>
          <w:i/>
          <w:iCs/>
          <w:color w:val="888888"/>
          <w:sz w:val="18"/>
          <w:szCs w:val="18"/>
        </w:rPr>
        <w:t xml:space="preserve">Goldman Sachs Internal Audit Job Simulation  •  Completed via Forage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120"/>
    </w:pPr>
    <w:r>
      <w:rPr>
        <w:rFonts w:ascii="Arial" w:cs="Arial" w:eastAsia="Arial" w:hAnsi="Arial"/>
        <w:color w:val="888888"/>
        <w:sz w:val="18"/>
        <w:szCs w:val="18"/>
      </w:rPr>
      <w:t xml:space="preserve">Goldman Sachs Internal Audit Job Simulation  |  Forage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2026-05-16T16:43:36.824Z</dcterms:created>
  <dcterms:modified xsi:type="dcterms:W3CDTF">2026-05-16T16:43:36.836Z</dcterms:modified>
</cp:coreProperties>
</file>

<file path=docProps/custom.xml><?xml version="1.0" encoding="utf-8"?>
<Properties xmlns="http://schemas.openxmlformats.org/officeDocument/2006/custom-properties" xmlns:vt="http://schemas.openxmlformats.org/officeDocument/2006/docPropsVTypes"/>
</file>