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300"/>
        <w:jc w:val="center"/>
      </w:pPr>
      <w:r>
        <w:rPr>
          <w:rFonts w:ascii="Calibri" w:cs="Calibri" w:eastAsia="Calibri" w:hAnsi="Calibri"/>
          <w:b/>
          <w:bCs/>
          <w:color w:val="777777"/>
          <w:sz w:val="26"/>
          <w:szCs w:val="26"/>
        </w:rPr>
        <w:t xml:space="preserve">C A P S T O N E   P R O J E C T   B L U E P R I N T</w:t>
      </w:r>
    </w:p>
    <w:p>
      <w:pPr>
        <w:spacing w:after="120"/>
        <w:jc w:val="center"/>
      </w:pPr>
      <w:r>
        <w:rPr>
          <w:rFonts w:ascii="Calibri" w:cs="Calibri" w:eastAsia="Calibri" w:hAnsi="Calibri"/>
          <w:b/>
          <w:bCs/>
          <w:color w:val="1F5C73"/>
          <w:sz w:val="52"/>
          <w:szCs w:val="52"/>
        </w:rPr>
        <w:t xml:space="preserve">Open-Vocabulary Few-Shot Defect</w:t>
      </w:r>
    </w:p>
    <w:p>
      <w:pPr>
        <w:spacing w:after="120"/>
        <w:jc w:val="center"/>
      </w:pPr>
      <w:r>
        <w:rPr>
          <w:rFonts w:ascii="Calibri" w:cs="Calibri" w:eastAsia="Calibri" w:hAnsi="Calibri"/>
          <w:b/>
          <w:bCs/>
          <w:color w:val="1F5C73"/>
          <w:sz w:val="52"/>
          <w:szCs w:val="52"/>
        </w:rPr>
        <w:t xml:space="preserve">Detection for MSMEs</w:t>
      </w:r>
    </w:p>
    <w:p>
      <w:pPr>
        <w:spacing w:after="460"/>
        <w:jc w:val="center"/>
      </w:pPr>
      <w:r>
        <w:rPr>
          <w:rFonts w:ascii="Calibri" w:cs="Calibri" w:eastAsia="Calibri" w:hAnsi="Calibri"/>
          <w:i/>
          <w:iCs/>
          <w:color w:val="444444"/>
          <w:sz w:val="24"/>
          <w:szCs w:val="24"/>
        </w:rPr>
        <w:t xml:space="preserve">A software-only, CPU-first benchmark of frozen vision–language inspection (CLIP + lightweight adapter + appendable prototype memory) on MVTec AD, VisA and NEU-DET, with a compute-efficiency and incremental-class-addition study reproducible on free-tier resources</w:t>
      </w:r>
    </w:p>
    <w:p>
      <w:pPr>
        <w:spacing w:after="120"/>
        <w:jc w:val="center"/>
      </w:pPr>
      <w:r>
        <w:rPr>
          <w:rFonts w:ascii="Calibri" w:cs="Calibri" w:eastAsia="Calibri" w:hAnsi="Calibri"/>
          <w:color w:val="555555"/>
          <w:sz w:val="22"/>
          <w:szCs w:val="22"/>
        </w:rPr>
        <w:t xml:space="preserve">Domain · Artificial Intelligence · Computer Vision · Industrial Quality Inspection</w:t>
      </w:r>
    </w:p>
    <w:p>
      <w:pPr>
        <w:spacing w:after="120"/>
        <w:jc w:val="center"/>
      </w:pPr>
      <w:r>
        <w:rPr>
          <w:rFonts w:ascii="Calibri" w:cs="Calibri" w:eastAsia="Calibri" w:hAnsi="Calibri"/>
          <w:color w:val="555555"/>
          <w:sz w:val="22"/>
          <w:szCs w:val="22"/>
        </w:rPr>
        <w:t xml:space="preserve">Type of Project · Research (Team of Two · 8 Weeks · Hardware Budget ₹0)</w:t>
      </w:r>
    </w:p>
    <w:p>
      <w:pPr>
        <w:spacing w:after="0"/>
        <w:jc w:val="center"/>
      </w:pPr>
      <w:r>
        <w:rPr>
          <w:rFonts w:ascii="Calibri" w:cs="Calibri" w:eastAsia="Calibri" w:hAnsi="Calibri"/>
          <w:color w:val="555555"/>
          <w:sz w:val="22"/>
          <w:szCs w:val="22"/>
        </w:rPr>
        <w:t xml:space="preserve">Document · Project Blueprint, Version 1.1 (Two-Member Edition) · August 2026</w:t>
      </w:r>
    </w:p>
    <w:p>
      <w:r>
        <w:br w:type="page"/>
      </w:r>
    </w:p>
    <w:p>
      <w:pPr>
        <w:spacing w:after="260"/>
      </w:pPr>
      <w:r>
        <w:rPr>
          <w:rFonts w:ascii="Calibri" w:cs="Calibri" w:eastAsia="Calibri" w:hAnsi="Calibri"/>
          <w:b/>
          <w:bCs/>
          <w:color w:val="1F5C73"/>
          <w:sz w:val="34"/>
          <w:szCs w:val="34"/>
        </w:rPr>
        <w:t xml:space="preserve">Contents</w:t>
      </w:r>
    </w:p>
    <w:p>
      <w:pPr>
        <w:spacing w:after="120"/>
      </w:pPr>
      <w:r>
        <w:rPr>
          <w:rFonts w:ascii="Calibri" w:cs="Calibri" w:eastAsia="Calibri" w:hAnsi="Calibri"/>
          <w:color w:val="222222"/>
          <w:sz w:val="22"/>
          <w:szCs w:val="22"/>
        </w:rPr>
        <w:t xml:space="preserve">Executive Summary</w:t>
      </w:r>
    </w:p>
    <w:p>
      <w:pPr>
        <w:spacing w:after="120"/>
      </w:pPr>
      <w:r>
        <w:rPr>
          <w:rFonts w:ascii="Calibri" w:cs="Calibri" w:eastAsia="Calibri" w:hAnsi="Calibri"/>
          <w:color w:val="222222"/>
          <w:sz w:val="22"/>
          <w:szCs w:val="22"/>
        </w:rPr>
        <w:t xml:space="preserve">1. How to Read This Document</w:t>
      </w:r>
    </w:p>
    <w:p>
      <w:pPr>
        <w:spacing w:after="120"/>
      </w:pPr>
      <w:r>
        <w:rPr>
          <w:rFonts w:ascii="Calibri" w:cs="Calibri" w:eastAsia="Calibri" w:hAnsi="Calibri"/>
          <w:color w:val="222222"/>
          <w:sz w:val="22"/>
          <w:szCs w:val="22"/>
        </w:rPr>
        <w:t xml:space="preserve">2. The Problem, in Plain Terms</w:t>
      </w:r>
    </w:p>
    <w:p>
      <w:pPr>
        <w:spacing w:after="120"/>
      </w:pPr>
      <w:r>
        <w:rPr>
          <w:rFonts w:ascii="Calibri" w:cs="Calibri" w:eastAsia="Calibri" w:hAnsi="Calibri"/>
          <w:color w:val="222222"/>
          <w:sz w:val="22"/>
          <w:szCs w:val="22"/>
        </w:rPr>
        <w:t xml:space="preserve">3. How Inspection AI Works Today</w:t>
      </w:r>
    </w:p>
    <w:p>
      <w:pPr>
        <w:spacing w:after="120"/>
      </w:pPr>
      <w:r>
        <w:rPr>
          <w:rFonts w:ascii="Calibri" w:cs="Calibri" w:eastAsia="Calibri" w:hAnsi="Calibri"/>
          <w:color w:val="222222"/>
          <w:sz w:val="22"/>
          <w:szCs w:val="22"/>
        </w:rPr>
        <w:t xml:space="preserve">4. The Failure: The Data-and-Compute Blind Spot</w:t>
      </w:r>
    </w:p>
    <w:p>
      <w:pPr>
        <w:spacing w:after="120"/>
      </w:pPr>
      <w:r>
        <w:rPr>
          <w:rFonts w:ascii="Calibri" w:cs="Calibri" w:eastAsia="Calibri" w:hAnsi="Calibri"/>
          <w:color w:val="222222"/>
          <w:sz w:val="22"/>
          <w:szCs w:val="22"/>
        </w:rPr>
        <w:t xml:space="preserve">5. Measuring Honestly: The GPU Assumption and the Few-Shot Protocol</w:t>
      </w:r>
    </w:p>
    <w:p>
      <w:pPr>
        <w:spacing w:after="120"/>
      </w:pPr>
      <w:r>
        <w:rPr>
          <w:rFonts w:ascii="Calibri" w:cs="Calibri" w:eastAsia="Calibri" w:hAnsi="Calibri"/>
          <w:color w:val="222222"/>
          <w:sz w:val="22"/>
          <w:szCs w:val="22"/>
        </w:rPr>
        <w:t xml:space="preserve">6. The Specific Gap: What Is Published, and What Is Not</w:t>
      </w:r>
    </w:p>
    <w:p>
      <w:pPr>
        <w:spacing w:after="120"/>
      </w:pPr>
      <w:r>
        <w:rPr>
          <w:rFonts w:ascii="Calibri" w:cs="Calibri" w:eastAsia="Calibri" w:hAnsi="Calibri"/>
          <w:color w:val="222222"/>
          <w:sz w:val="22"/>
          <w:szCs w:val="22"/>
        </w:rPr>
        <w:t xml:space="preserve">7. Problem Statement and Objectives</w:t>
      </w:r>
    </w:p>
    <w:p>
      <w:pPr>
        <w:spacing w:after="120"/>
      </w:pPr>
      <w:r>
        <w:rPr>
          <w:rFonts w:ascii="Calibri" w:cs="Calibri" w:eastAsia="Calibri" w:hAnsi="Calibri"/>
          <w:color w:val="222222"/>
          <w:sz w:val="22"/>
          <w:szCs w:val="22"/>
        </w:rPr>
        <w:t xml:space="preserve">8. Scope of the Investigation</w:t>
      </w:r>
    </w:p>
    <w:p>
      <w:pPr>
        <w:spacing w:after="120"/>
      </w:pPr>
      <w:r>
        <w:rPr>
          <w:rFonts w:ascii="Calibri" w:cs="Calibri" w:eastAsia="Calibri" w:hAnsi="Calibri"/>
          <w:color w:val="222222"/>
          <w:sz w:val="22"/>
          <w:szCs w:val="22"/>
        </w:rPr>
        <w:t xml:space="preserve">9. Solution Strategy</w:t>
      </w:r>
    </w:p>
    <w:p>
      <w:pPr>
        <w:spacing w:after="120"/>
      </w:pPr>
      <w:r>
        <w:rPr>
          <w:rFonts w:ascii="Calibri" w:cs="Calibri" w:eastAsia="Calibri" w:hAnsi="Calibri"/>
          <w:color w:val="222222"/>
          <w:sz w:val="22"/>
          <w:szCs w:val="22"/>
        </w:rPr>
        <w:t xml:space="preserve">10. Method Pipeline</w:t>
      </w:r>
    </w:p>
    <w:p>
      <w:pPr>
        <w:spacing w:after="120"/>
      </w:pPr>
      <w:r>
        <w:rPr>
          <w:rFonts w:ascii="Calibri" w:cs="Calibri" w:eastAsia="Calibri" w:hAnsi="Calibri"/>
          <w:color w:val="222222"/>
          <w:sz w:val="22"/>
          <w:szCs w:val="22"/>
        </w:rPr>
        <w:t xml:space="preserve">11. The Compute-Efficiency Evaluation Matrix</w:t>
      </w:r>
    </w:p>
    <w:p>
      <w:pPr>
        <w:spacing w:after="120"/>
      </w:pPr>
      <w:r>
        <w:rPr>
          <w:rFonts w:ascii="Calibri" w:cs="Calibri" w:eastAsia="Calibri" w:hAnsi="Calibri"/>
          <w:color w:val="222222"/>
          <w:sz w:val="22"/>
          <w:szCs w:val="22"/>
        </w:rPr>
        <w:t xml:space="preserve">12. The Incrementality Programme</w:t>
      </w:r>
    </w:p>
    <w:p>
      <w:pPr>
        <w:spacing w:after="120"/>
      </w:pPr>
      <w:r>
        <w:rPr>
          <w:rFonts w:ascii="Calibri" w:cs="Calibri" w:eastAsia="Calibri" w:hAnsi="Calibri"/>
          <w:color w:val="222222"/>
          <w:sz w:val="22"/>
          <w:szCs w:val="22"/>
        </w:rPr>
        <w:t xml:space="preserve">13. Assumptions and Honest Scope</w:t>
      </w:r>
    </w:p>
    <w:p>
      <w:pPr>
        <w:spacing w:after="120"/>
      </w:pPr>
      <w:r>
        <w:rPr>
          <w:rFonts w:ascii="Calibri" w:cs="Calibri" w:eastAsia="Calibri" w:hAnsi="Calibri"/>
          <w:color w:val="222222"/>
          <w:sz w:val="22"/>
          <w:szCs w:val="22"/>
        </w:rPr>
        <w:t xml:space="preserve">14. Datasets and Pretrained Models</w:t>
      </w:r>
    </w:p>
    <w:p>
      <w:pPr>
        <w:spacing w:after="120"/>
      </w:pPr>
      <w:r>
        <w:rPr>
          <w:rFonts w:ascii="Calibri" w:cs="Calibri" w:eastAsia="Calibri" w:hAnsi="Calibri"/>
          <w:color w:val="222222"/>
          <w:sz w:val="22"/>
          <w:szCs w:val="22"/>
        </w:rPr>
        <w:t xml:space="preserve">15. Baselines and Evaluation Metrics</w:t>
      </w:r>
    </w:p>
    <w:p>
      <w:pPr>
        <w:spacing w:after="120"/>
      </w:pPr>
      <w:r>
        <w:rPr>
          <w:rFonts w:ascii="Calibri" w:cs="Calibri" w:eastAsia="Calibri" w:hAnsi="Calibri"/>
          <w:color w:val="222222"/>
          <w:sz w:val="22"/>
          <w:szCs w:val="22"/>
        </w:rPr>
        <w:t xml:space="preserve">16. Experimental Protocol</w:t>
      </w:r>
    </w:p>
    <w:p>
      <w:pPr>
        <w:spacing w:after="120"/>
      </w:pPr>
      <w:r>
        <w:rPr>
          <w:rFonts w:ascii="Calibri" w:cs="Calibri" w:eastAsia="Calibri" w:hAnsi="Calibri"/>
          <w:color w:val="222222"/>
          <w:sz w:val="22"/>
          <w:szCs w:val="22"/>
        </w:rPr>
        <w:t xml:space="preserve">17. Implementation and Compute Strategy</w:t>
      </w:r>
    </w:p>
    <w:p>
      <w:pPr>
        <w:spacing w:after="120"/>
      </w:pPr>
      <w:r>
        <w:rPr>
          <w:rFonts w:ascii="Calibri" w:cs="Calibri" w:eastAsia="Calibri" w:hAnsi="Calibri"/>
          <w:color w:val="222222"/>
          <w:sz w:val="22"/>
          <w:szCs w:val="22"/>
        </w:rPr>
        <w:t xml:space="preserve">18. Work Plan and Task Allocation</w:t>
      </w:r>
    </w:p>
    <w:p>
      <w:pPr>
        <w:spacing w:after="120"/>
      </w:pPr>
      <w:r>
        <w:rPr>
          <w:rFonts w:ascii="Calibri" w:cs="Calibri" w:eastAsia="Calibri" w:hAnsi="Calibri"/>
          <w:color w:val="222222"/>
          <w:sz w:val="22"/>
          <w:szCs w:val="22"/>
        </w:rPr>
        <w:t xml:space="preserve">19. Integration and Coordination</w:t>
      </w:r>
    </w:p>
    <w:p>
      <w:pPr>
        <w:spacing w:after="120"/>
      </w:pPr>
      <w:r>
        <w:rPr>
          <w:rFonts w:ascii="Calibri" w:cs="Calibri" w:eastAsia="Calibri" w:hAnsi="Calibri"/>
          <w:color w:val="222222"/>
          <w:sz w:val="22"/>
          <w:szCs w:val="22"/>
        </w:rPr>
        <w:t xml:space="preserve">20. Timeline and Milestones</w:t>
      </w:r>
    </w:p>
    <w:p>
      <w:pPr>
        <w:spacing w:after="120"/>
      </w:pPr>
      <w:r>
        <w:rPr>
          <w:rFonts w:ascii="Calibri" w:cs="Calibri" w:eastAsia="Calibri" w:hAnsi="Calibri"/>
          <w:color w:val="222222"/>
          <w:sz w:val="22"/>
          <w:szCs w:val="22"/>
        </w:rPr>
        <w:t xml:space="preserve">21. Risk Assessment and Mitigation</w:t>
      </w:r>
    </w:p>
    <w:p>
      <w:pPr>
        <w:spacing w:after="120"/>
      </w:pPr>
      <w:r>
        <w:rPr>
          <w:rFonts w:ascii="Calibri" w:cs="Calibri" w:eastAsia="Calibri" w:hAnsi="Calibri"/>
          <w:color w:val="222222"/>
          <w:sz w:val="22"/>
          <w:szCs w:val="22"/>
        </w:rPr>
        <w:t xml:space="preserve">22. Expected Outcomes and Deliverables</w:t>
      </w:r>
    </w:p>
    <w:p>
      <w:pPr>
        <w:spacing w:after="120"/>
      </w:pPr>
      <w:r>
        <w:rPr>
          <w:rFonts w:ascii="Calibri" w:cs="Calibri" w:eastAsia="Calibri" w:hAnsi="Calibri"/>
          <w:color w:val="222222"/>
          <w:sz w:val="22"/>
          <w:szCs w:val="22"/>
        </w:rPr>
        <w:t xml:space="preserve">23. Publication Plan</w:t>
      </w:r>
    </w:p>
    <w:p>
      <w:pPr>
        <w:spacing w:after="120"/>
      </w:pPr>
      <w:r>
        <w:rPr>
          <w:rFonts w:ascii="Calibri" w:cs="Calibri" w:eastAsia="Calibri" w:hAnsi="Calibri"/>
          <w:color w:val="222222"/>
          <w:sz w:val="22"/>
          <w:szCs w:val="22"/>
        </w:rPr>
        <w:t xml:space="preserve">24. Glossary of Key Terms</w:t>
      </w:r>
    </w:p>
    <w:p>
      <w:pPr>
        <w:spacing w:after="120"/>
      </w:pPr>
      <w:r>
        <w:rPr>
          <w:rFonts w:ascii="Calibri" w:cs="Calibri" w:eastAsia="Calibri" w:hAnsi="Calibri"/>
          <w:color w:val="222222"/>
          <w:sz w:val="22"/>
          <w:szCs w:val="22"/>
        </w:rPr>
        <w:t xml:space="preserve">References</w:t>
      </w:r>
    </w:p>
    <w:p>
      <w:r>
        <w:br w:type="page"/>
      </w:r>
    </w:p>
    <w:p>
      <w:pPr>
        <w:pStyle w:val="Heading1"/>
        <w:spacing w:after="160" w:before="320"/>
      </w:pPr>
      <w:r>
        <w:rPr>
          <w:rFonts w:ascii="Calibri" w:cs="Calibri" w:eastAsia="Calibri" w:hAnsi="Calibri"/>
          <w:b/>
          <w:bCs/>
          <w:color w:val="1F5C73"/>
          <w:sz w:val="30"/>
          <w:szCs w:val="30"/>
        </w:rPr>
        <w:t xml:space="preserve">Executive Summary</w:t>
      </w:r>
    </w:p>
    <w:p>
      <w:pPr>
        <w:spacing w:after="140" w:line="276"/>
        <w:jc w:val="both"/>
      </w:pPr>
      <w:r>
        <w:rPr>
          <w:rFonts w:ascii="Calibri" w:cs="Calibri" w:eastAsia="Calibri" w:hAnsi="Calibri"/>
          <w:color w:val="222222"/>
          <w:sz w:val="21"/>
          <w:szCs w:val="21"/>
        </w:rPr>
        <w:t xml:space="preserve">Automated visual inspection is one of the clearest, most-cited industrial uses of AI, yet the businesses that need it most cannot use it. India's micro, small and medium enterprises (MSMEs) inspect castings, machined parts, textiles, PCBs and packaged goods by eye, because conventional AI inspection assumes three things they do not have: thousands of labelled defect images per class, machine-learning staff to retrain models, and GPU or cloud budgets for training and inference. Worse, the assumption is structural — MSME defect types change as products, suppliers and materials change, so even a successfully trained fixed-class model goes stale within months.</w:t>
      </w:r>
    </w:p>
    <w:p>
      <w:pPr>
        <w:spacing w:after="140" w:line="276"/>
        <w:jc w:val="both"/>
      </w:pPr>
      <w:r>
        <w:rPr>
          <w:rFonts w:ascii="Calibri" w:cs="Calibri" w:eastAsia="Calibri" w:hAnsi="Calibri"/>
          <w:color w:val="222222"/>
          <w:sz w:val="21"/>
          <w:szCs w:val="21"/>
        </w:rPr>
        <w:t xml:space="preserve">Vision–language models have quietly changed what is possible. A frozen CLIP backbone already understands images and text in one shared space, and the recent anomaly-detection literature (WinCLIP, AnomalyCLIP, PatchCore, Tip-Adapter-style adaptation) shows that a handful of example images plus a plain-text description can specify a defect class without any large dataset or full training run. But this literature reports its results almost exclusively on GPU inference, with the defect set fixed at adaptation time, and with no accounting of what the accuracy costs in CPU latency, memory, or money — precisely the three questions an MSME owner would ask first.</w:t>
      </w:r>
    </w:p>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The contribution in one sentence</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Existing few-shot and open-vocabulary anomaly detectors are built and reported under GPU, fixed-class, big-lab assumptions; this project delivers the first systematic CPU-only compute-efficiency benchmark of frozen-CLIP defect detection (accuracy × latency × memory × FLOPs, across backbone sizes and INT8/FP32 quantization levels), an append-only prototype-memory mechanism that adds a new defect class from 5–10 images and a typed description with no retraining, and a ₹0 cost/feasibility analysis connecting the technical results to the MSME adoption question — all reproducible by anyone with a laptop and a free Colab/Kaggle account.</w:t>
      </w:r>
    </w:p>
    <w:p>
      <w:pPr>
        <w:spacing w:after="140" w:line="276"/>
        <w:jc w:val="both"/>
      </w:pPr>
      <w:r>
        <w:rPr>
          <w:rFonts w:ascii="Calibri" w:cs="Calibri" w:eastAsia="Calibri" w:hAnsi="Calibri"/>
          <w:color w:val="222222"/>
          <w:sz w:val="21"/>
          <w:szCs w:val="21"/>
        </w:rPr>
        <w:t xml:space="preserve">The investigation runs on three coordinated fronts: an </w:t>
      </w:r>
      <w:r>
        <w:rPr>
          <w:rFonts w:ascii="Calibri" w:cs="Calibri" w:eastAsia="Calibri" w:hAnsi="Calibri"/>
          <w:b/>
          <w:bCs/>
          <w:color w:val="222222"/>
          <w:sz w:val="21"/>
          <w:szCs w:val="21"/>
        </w:rPr>
        <w:t xml:space="preserve">empirical core</w:t>
      </w:r>
      <w:r>
        <w:rPr>
          <w:rFonts w:ascii="Calibri" w:cs="Calibri" w:eastAsia="Calibri" w:hAnsi="Calibri"/>
          <w:color w:val="222222"/>
          <w:sz w:val="21"/>
          <w:szCs w:val="21"/>
        </w:rPr>
        <w:t xml:space="preserve"> that measures the accuracy-versus-compute frontier of frozen-CLIP detection across backbones, shot counts and quantization levels on public benchmarks; a </w:t>
      </w:r>
      <w:r>
        <w:rPr>
          <w:rFonts w:ascii="Calibri" w:cs="Calibri" w:eastAsia="Calibri" w:hAnsi="Calibri"/>
          <w:b/>
          <w:bCs/>
          <w:color w:val="222222"/>
          <w:sz w:val="21"/>
          <w:szCs w:val="21"/>
        </w:rPr>
        <w:t xml:space="preserve">model front</w:t>
      </w:r>
      <w:r>
        <w:rPr>
          <w:rFonts w:ascii="Calibri" w:cs="Calibri" w:eastAsia="Calibri" w:hAnsi="Calibri"/>
          <w:color w:val="222222"/>
          <w:sz w:val="21"/>
          <w:szCs w:val="21"/>
        </w:rPr>
        <w:t xml:space="preserve"> that builds the frozen-backbone + lightweight-adapter + prototype-memory detector and validates it against reproduced published baselines; and an </w:t>
      </w:r>
      <w:r>
        <w:rPr>
          <w:rFonts w:ascii="Calibri" w:cs="Calibri" w:eastAsia="Calibri" w:hAnsi="Calibri"/>
          <w:b/>
          <w:bCs/>
          <w:color w:val="222222"/>
          <w:sz w:val="21"/>
          <w:szCs w:val="21"/>
        </w:rPr>
        <w:t xml:space="preserve">incrementality front</w:t>
      </w:r>
      <w:r>
        <w:rPr>
          <w:rFonts w:ascii="Calibri" w:cs="Calibri" w:eastAsia="Calibri" w:hAnsi="Calibri"/>
          <w:color w:val="222222"/>
          <w:sz w:val="21"/>
          <w:szCs w:val="21"/>
        </w:rPr>
        <w:t xml:space="preserve"> that quantifies append-only class addition — accuracy and wall-clock cost of enrolling a new defect class on a CPU, compared to from-scratch adaptation. All work uses frozen pretrained encoders with cached features rather than training models from scratch, keeping every experiment within a personal laptop and free-tier cloud sessions. Deliverables are the benchmark, an open-source toolkit with a local upload-and-inspect demo, a submitted preprint, and the final institutional report — with zero hardware spend and no physical deployment risk at any stage.</w:t>
      </w:r>
    </w:p>
    <w:p>
      <w:r>
        <w:br w:type="page"/>
      </w:r>
    </w:p>
    <w:p>
      <w:pPr>
        <w:pStyle w:val="Heading1"/>
        <w:spacing w:after="160" w:before="320"/>
      </w:pPr>
      <w:r>
        <w:rPr>
          <w:rFonts w:ascii="Calibri" w:cs="Calibri" w:eastAsia="Calibri" w:hAnsi="Calibri"/>
          <w:b/>
          <w:bCs/>
          <w:color w:val="1F5C73"/>
          <w:sz w:val="30"/>
          <w:szCs w:val="30"/>
        </w:rPr>
        <w:t xml:space="preserve">1. How to Read This Document</w:t>
      </w:r>
    </w:p>
    <w:p>
      <w:pPr>
        <w:spacing w:after="140" w:line="276"/>
        <w:jc w:val="both"/>
      </w:pPr>
      <w:r>
        <w:rPr>
          <w:rFonts w:ascii="Calibri" w:cs="Calibri" w:eastAsia="Calibri" w:hAnsi="Calibri"/>
          <w:color w:val="222222"/>
          <w:sz w:val="21"/>
          <w:szCs w:val="21"/>
        </w:rPr>
        <w:t xml:space="preserve">This blueprint is written to be read from start to finish, building from first principles up to the technical contribution. No prior background in computer vision or industrial inspection is assumed.</w:t>
      </w:r>
    </w:p>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Structure of this document</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Sections 2–5 explain the problem and the tools in plain language, one concept at a time.</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Sections 6–8 state the research gap, the objectives, and the scope of the investigation.</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Sections 9–13 describe the approach, the method pipeline, the evaluation matrix, the incrementality programme, and the honest limits.</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Sections 14–17 cover data, baselines, experiments, and the computing strategy.</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Sections 18–23 cover the work plan, coordination, timeline, risks, outcomes, and publication.</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Section 24 is a glossary; every technical term introduced in bold is defined there.</w:t>
      </w:r>
    </w:p>
    <w:p>
      <w:pPr>
        <w:pStyle w:val="Heading1"/>
        <w:spacing w:after="160" w:before="320"/>
      </w:pPr>
      <w:r>
        <w:rPr>
          <w:rFonts w:ascii="Calibri" w:cs="Calibri" w:eastAsia="Calibri" w:hAnsi="Calibri"/>
          <w:b/>
          <w:bCs/>
          <w:color w:val="1F5C73"/>
          <w:sz w:val="30"/>
          <w:szCs w:val="30"/>
        </w:rPr>
        <w:t xml:space="preserve">2. The Problem, in Plain Terms</w:t>
      </w:r>
    </w:p>
    <w:p>
      <w:pPr>
        <w:pStyle w:val="Heading2"/>
        <w:spacing w:after="120" w:before="220"/>
      </w:pPr>
      <w:r>
        <w:rPr>
          <w:rFonts w:ascii="Calibri" w:cs="Calibri" w:eastAsia="Calibri" w:hAnsi="Calibri"/>
          <w:b/>
          <w:bCs/>
          <w:color w:val="2E7A96"/>
          <w:sz w:val="24"/>
          <w:szCs w:val="24"/>
        </w:rPr>
        <w:t xml:space="preserve">2.1 What is automated defect detection?</w:t>
      </w:r>
    </w:p>
    <w:p>
      <w:pPr>
        <w:spacing w:after="140" w:line="276"/>
        <w:jc w:val="both"/>
      </w:pPr>
      <w:r>
        <w:rPr>
          <w:rFonts w:ascii="Calibri" w:cs="Calibri" w:eastAsia="Calibri" w:hAnsi="Calibri"/>
          <w:color w:val="222222"/>
          <w:sz w:val="21"/>
          <w:szCs w:val="21"/>
        </w:rPr>
        <w:t xml:space="preserve"/>
      </w:r>
      <w:r>
        <w:rPr>
          <w:rFonts w:ascii="Calibri" w:cs="Calibri" w:eastAsia="Calibri" w:hAnsi="Calibri"/>
          <w:b/>
          <w:bCs/>
          <w:color w:val="222222"/>
          <w:sz w:val="21"/>
          <w:szCs w:val="21"/>
        </w:rPr>
        <w:t xml:space="preserve">Automated visual defect detection</w:t>
      </w:r>
      <w:r>
        <w:rPr>
          <w:rFonts w:ascii="Calibri" w:cs="Calibri" w:eastAsia="Calibri" w:hAnsi="Calibri"/>
          <w:color w:val="222222"/>
          <w:sz w:val="21"/>
          <w:szCs w:val="21"/>
        </w:rPr>
        <w:t xml:space="preserve"> is the task of examining an image of a manufactured item and deciding whether it contains a flaw — a scratch, crack, dent, contamination, misprint, missing component — and, ideally, where the flaw is. In the standard framing the system produces two outputs: an image-level verdict (defective or normal) and a pixel-level </w:t>
      </w:r>
      <w:r>
        <w:rPr>
          <w:rFonts w:ascii="Calibri" w:cs="Calibri" w:eastAsia="Calibri" w:hAnsi="Calibri"/>
          <w:b/>
          <w:bCs/>
          <w:color w:val="222222"/>
          <w:sz w:val="21"/>
          <w:szCs w:val="21"/>
        </w:rPr>
        <w:t xml:space="preserve">anomaly map</w:t>
      </w:r>
      <w:r>
        <w:rPr>
          <w:rFonts w:ascii="Calibri" w:cs="Calibri" w:eastAsia="Calibri" w:hAnsi="Calibri"/>
          <w:color w:val="222222"/>
          <w:sz w:val="21"/>
          <w:szCs w:val="21"/>
        </w:rPr>
        <w:t xml:space="preserve"> highlighting the suspect region. Factories that can afford it use such systems to replace or assist manual inspection, which is slow, fatiguing and inconsistent.</w:t>
      </w:r>
    </w:p>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Definition — few-shot and open-vocabulary detection</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Few-shot</w:t>
      </w:r>
      <w:r>
        <w:rPr>
          <w:rFonts w:ascii="Calibri" w:cs="Calibri" w:eastAsia="Calibri" w:hAnsi="Calibri"/>
          <w:color w:val="222222"/>
          <w:sz w:val="20"/>
          <w:szCs w:val="20"/>
        </w:rPr>
        <w:t xml:space="preserve"> detection means the system learns a new defect class from only a handful of example images (here 1, 5 or 10) rather than the thousands conventional training requires.</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Open-vocabulary</w:t>
      </w:r>
      <w:r>
        <w:rPr>
          <w:rFonts w:ascii="Calibri" w:cs="Calibri" w:eastAsia="Calibri" w:hAnsi="Calibri"/>
          <w:color w:val="222222"/>
          <w:sz w:val="20"/>
          <w:szCs w:val="20"/>
        </w:rPr>
        <w:t xml:space="preserve"> detection means defect classes are specified partly in plain text ("a deep scratch on brushed metal") rather than only through labelled pixels, so the system can name and find defects it was never explicitly trained on.</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The combination is what an MSME actually needs: describe the flaw in words, show a few photos, and inspect immediately.</w:t>
      </w:r>
    </w:p>
    <w:p>
      <w:pPr>
        <w:pStyle w:val="Heading2"/>
        <w:spacing w:after="120" w:before="220"/>
      </w:pPr>
      <w:r>
        <w:rPr>
          <w:rFonts w:ascii="Calibri" w:cs="Calibri" w:eastAsia="Calibri" w:hAnsi="Calibri"/>
          <w:b/>
          <w:bCs/>
          <w:color w:val="2E7A96"/>
          <w:sz w:val="24"/>
          <w:szCs w:val="24"/>
        </w:rPr>
        <w:t xml:space="preserve">2.2 Why it matters: the MSME reality</w:t>
      </w:r>
    </w:p>
    <w:p>
      <w:pPr>
        <w:spacing w:after="140" w:line="276"/>
        <w:jc w:val="both"/>
      </w:pPr>
      <w:r>
        <w:rPr>
          <w:rFonts w:ascii="Calibri" w:cs="Calibri" w:eastAsia="Calibri" w:hAnsi="Calibri"/>
          <w:color w:val="222222"/>
          <w:sz w:val="21"/>
          <w:szCs w:val="21"/>
        </w:rPr>
        <w:t xml:space="preserve">MSMEs form the backbone of Indian manufacturing, yet quality inspection on their shop floors is overwhelmingly manual. Three properties of the setting shape the whole project. </w:t>
      </w:r>
      <w:r>
        <w:rPr>
          <w:rFonts w:ascii="Calibri" w:cs="Calibri" w:eastAsia="Calibri" w:hAnsi="Calibri"/>
          <w:b/>
          <w:bCs/>
          <w:color w:val="222222"/>
          <w:sz w:val="21"/>
          <w:szCs w:val="21"/>
        </w:rPr>
        <w:t xml:space="preserve">First, data scarcity is permanent, not transitional</w:t>
      </w:r>
      <w:r>
        <w:rPr>
          <w:rFonts w:ascii="Calibri" w:cs="Calibri" w:eastAsia="Calibri" w:hAnsi="Calibri"/>
          <w:color w:val="222222"/>
          <w:sz w:val="21"/>
          <w:szCs w:val="21"/>
        </w:rPr>
        <w:t xml:space="preserve">: a small unit producing short runs of varied parts will never accumulate ten thousand labelled images of any one defect. </w:t>
      </w:r>
      <w:r>
        <w:rPr>
          <w:rFonts w:ascii="Calibri" w:cs="Calibri" w:eastAsia="Calibri" w:hAnsi="Calibri"/>
          <w:b/>
          <w:bCs/>
          <w:color w:val="222222"/>
          <w:sz w:val="21"/>
          <w:szCs w:val="21"/>
        </w:rPr>
        <w:t xml:space="preserve">Second, there is no ML team</w:t>
      </w:r>
      <w:r>
        <w:rPr>
          <w:rFonts w:ascii="Calibri" w:cs="Calibri" w:eastAsia="Calibri" w:hAnsi="Calibri"/>
          <w:color w:val="222222"/>
          <w:sz w:val="21"/>
          <w:szCs w:val="21"/>
        </w:rPr>
        <w:t xml:space="preserve">: any system requiring retraining, hyperparameter tuning, or cloud MLOps is dead on arrival. </w:t>
      </w:r>
      <w:r>
        <w:rPr>
          <w:rFonts w:ascii="Calibri" w:cs="Calibri" w:eastAsia="Calibri" w:hAnsi="Calibri"/>
          <w:b/>
          <w:bCs/>
          <w:color w:val="222222"/>
          <w:sz w:val="21"/>
          <w:szCs w:val="21"/>
        </w:rPr>
        <w:t xml:space="preserve">Third — and this is the point the rest of this document develops — there is no GPU</w:t>
      </w:r>
      <w:r>
        <w:rPr>
          <w:rFonts w:ascii="Calibri" w:cs="Calibri" w:eastAsia="Calibri" w:hAnsi="Calibri"/>
          <w:color w:val="222222"/>
          <w:sz w:val="21"/>
          <w:szCs w:val="21"/>
        </w:rPr>
        <w:t xml:space="preserve">: inference must be viable on an ordinary laptop or desktop CPU, and every published accuracy number that silently assumes GPU inference is unusable evidence for this audience.</w:t>
      </w:r>
    </w:p>
    <w:p>
      <w:pPr>
        <w:pStyle w:val="Heading2"/>
        <w:spacing w:after="120" w:before="220"/>
      </w:pPr>
      <w:r>
        <w:rPr>
          <w:rFonts w:ascii="Calibri" w:cs="Calibri" w:eastAsia="Calibri" w:hAnsi="Calibri"/>
          <w:b/>
          <w:bCs/>
          <w:color w:val="2E7A96"/>
          <w:sz w:val="24"/>
          <w:szCs w:val="24"/>
        </w:rPr>
        <w:t xml:space="preserve">2.3 What is a vision–language backbone?</w:t>
      </w:r>
    </w:p>
    <w:p>
      <w:pPr>
        <w:spacing w:after="140" w:line="276"/>
        <w:jc w:val="both"/>
      </w:pPr>
      <w:r>
        <w:rPr>
          <w:rFonts w:ascii="Calibri" w:cs="Calibri" w:eastAsia="Calibri" w:hAnsi="Calibri"/>
          <w:color w:val="222222"/>
          <w:sz w:val="21"/>
          <w:szCs w:val="21"/>
        </w:rPr>
        <w:t xml:space="preserve"/>
      </w:r>
      <w:r>
        <w:rPr>
          <w:rFonts w:ascii="Calibri" w:cs="Calibri" w:eastAsia="Calibri" w:hAnsi="Calibri"/>
          <w:b/>
          <w:bCs/>
          <w:color w:val="222222"/>
          <w:sz w:val="21"/>
          <w:szCs w:val="21"/>
        </w:rPr>
        <w:t xml:space="preserve">CLIP</w:t>
      </w:r>
      <w:r>
        <w:rPr>
          <w:rFonts w:ascii="Calibri" w:cs="Calibri" w:eastAsia="Calibri" w:hAnsi="Calibri"/>
          <w:color w:val="222222"/>
          <w:sz w:val="21"/>
          <w:szCs w:val="21"/>
        </w:rPr>
        <w:t xml:space="preserve"> is a neural network pretrained on hundreds of millions of image–text pairs, learning a shared embedding space in which an image and a text description of that image land close together [1]. Once pretrained, the model converts any image (or any sentence) into a vector, and similarity between vectors is meaningful — no task-specific training required. This single property is what makes text-specified, few-shot defect detection possible: a defect can be represented by the embeddings of a few photos, a typed description, or both, and detection reduces to comparing patch embeddings of a test image against those references.</w:t>
      </w:r>
    </w:p>
    <w:p>
      <w:pPr>
        <w:pStyle w:val="Heading1"/>
        <w:spacing w:after="160" w:before="320"/>
      </w:pPr>
      <w:r>
        <w:rPr>
          <w:rFonts w:ascii="Calibri" w:cs="Calibri" w:eastAsia="Calibri" w:hAnsi="Calibri"/>
          <w:b/>
          <w:bCs/>
          <w:color w:val="1F5C73"/>
          <w:sz w:val="30"/>
          <w:szCs w:val="30"/>
        </w:rPr>
        <w:t xml:space="preserve">3. How Inspection AI Works Today</w:t>
      </w:r>
    </w:p>
    <w:p>
      <w:pPr>
        <w:spacing w:after="140" w:line="276"/>
        <w:jc w:val="both"/>
      </w:pPr>
      <w:r>
        <w:rPr>
          <w:rFonts w:ascii="Calibri" w:cs="Calibri" w:eastAsia="Calibri" w:hAnsi="Calibri"/>
          <w:color w:val="222222"/>
          <w:sz w:val="21"/>
          <w:szCs w:val="21"/>
        </w:rPr>
        <w:t xml:space="preserve">The strongest current approaches to few-shot industrial anomaly detection do not train large models; they build light machinery on top of frozen pretrained encoders.</w:t>
      </w:r>
    </w:p>
    <w:p>
      <w:pPr>
        <w:pStyle w:val="Heading2"/>
        <w:spacing w:after="120" w:before="220"/>
      </w:pPr>
      <w:r>
        <w:rPr>
          <w:rFonts w:ascii="Calibri" w:cs="Calibri" w:eastAsia="Calibri" w:hAnsi="Calibri"/>
          <w:b/>
          <w:bCs/>
          <w:color w:val="2E7A96"/>
          <w:sz w:val="24"/>
          <w:szCs w:val="24"/>
        </w:rPr>
        <w:t xml:space="preserve">3.1 The frozen-backbone recipe</w:t>
      </w:r>
    </w:p>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Definition — the standard detection recipe</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The dominant architecture is: a </w:t>
      </w:r>
      <w:r>
        <w:rPr>
          <w:rFonts w:ascii="Calibri" w:cs="Calibri" w:eastAsia="Calibri" w:hAnsi="Calibri"/>
          <w:b/>
          <w:bCs/>
          <w:color w:val="222222"/>
          <w:sz w:val="20"/>
          <w:szCs w:val="20"/>
        </w:rPr>
        <w:t xml:space="preserve">frozen</w:t>
      </w:r>
      <w:r>
        <w:rPr>
          <w:rFonts w:ascii="Calibri" w:cs="Calibri" w:eastAsia="Calibri" w:hAnsi="Calibri"/>
          <w:color w:val="222222"/>
          <w:sz w:val="20"/>
          <w:szCs w:val="20"/>
        </w:rPr>
        <w:t xml:space="preserve"> pretrained encoder (CLIP or an ImageNet CNN), a </w:t>
      </w:r>
      <w:r>
        <w:rPr>
          <w:rFonts w:ascii="Calibri" w:cs="Calibri" w:eastAsia="Calibri" w:hAnsi="Calibri"/>
          <w:b/>
          <w:bCs/>
          <w:color w:val="222222"/>
          <w:sz w:val="20"/>
          <w:szCs w:val="20"/>
        </w:rPr>
        <w:t xml:space="preserve">memory</w:t>
      </w:r>
      <w:r>
        <w:rPr>
          <w:rFonts w:ascii="Calibri" w:cs="Calibri" w:eastAsia="Calibri" w:hAnsi="Calibri"/>
          <w:color w:val="222222"/>
          <w:sz w:val="20"/>
          <w:szCs w:val="20"/>
        </w:rPr>
        <w:t xml:space="preserve"> of reference embeddings built from the few available normal and defect examples, and a small comparison/scoring layer that turns patch-to-memory similarities into an anomaly map and an image verdict. Almost all of the capability comes from the pretrained encoder; the task-specific part is deliberately tiny. This project adopts exactly this recipe — frozen OpenCLIP backbone, appendable prototype memory, lightweight Tip-Adapter-style adapter — which is what keeps it feasible with zero training budget.</w:t>
      </w:r>
    </w:p>
    <w:p>
      <w:pPr>
        <w:spacing w:after="140" w:line="276"/>
        <w:jc w:val="both"/>
      </w:pPr>
      <w:r>
        <w:rPr>
          <w:rFonts w:ascii="Calibri" w:cs="Calibri" w:eastAsia="Calibri" w:hAnsi="Calibri"/>
          <w:color w:val="222222"/>
          <w:sz w:val="21"/>
          <w:szCs w:val="21"/>
        </w:rPr>
        <w:t xml:space="preserve">Three published systems anchor the landscape. </w:t>
      </w:r>
      <w:r>
        <w:rPr>
          <w:rFonts w:ascii="Calibri" w:cs="Calibri" w:eastAsia="Calibri" w:hAnsi="Calibri"/>
          <w:b/>
          <w:bCs/>
          <w:color w:val="222222"/>
          <w:sz w:val="21"/>
          <w:szCs w:val="21"/>
        </w:rPr>
        <w:t xml:space="preserve">PatchCore</w:t>
      </w:r>
      <w:r>
        <w:rPr>
          <w:rFonts w:ascii="Calibri" w:cs="Calibri" w:eastAsia="Calibri" w:hAnsi="Calibri"/>
          <w:color w:val="222222"/>
          <w:sz w:val="21"/>
          <w:szCs w:val="21"/>
        </w:rPr>
        <w:t xml:space="preserve"> [4] builds a memory bank of normal-image patch features and flags patches far from the bank — the strongest classical few-shot baseline, but with no text pathway and no class naming. </w:t>
      </w:r>
      <w:r>
        <w:rPr>
          <w:rFonts w:ascii="Calibri" w:cs="Calibri" w:eastAsia="Calibri" w:hAnsi="Calibri"/>
          <w:b/>
          <w:bCs/>
          <w:color w:val="222222"/>
          <w:sz w:val="21"/>
          <w:szCs w:val="21"/>
        </w:rPr>
        <w:t xml:space="preserve">WinCLIP</w:t>
      </w:r>
      <w:r>
        <w:rPr>
          <w:rFonts w:ascii="Calibri" w:cs="Calibri" w:eastAsia="Calibri" w:hAnsi="Calibri"/>
          <w:color w:val="222222"/>
          <w:sz w:val="21"/>
          <w:szCs w:val="21"/>
        </w:rPr>
        <w:t xml:space="preserve"> [2] adds CLIP's text side, scoring windows of the image against textual prompt ensembles, achieving state-of-the-art zero- and few-shot results. </w:t>
      </w:r>
      <w:r>
        <w:rPr>
          <w:rFonts w:ascii="Calibri" w:cs="Calibri" w:eastAsia="Calibri" w:hAnsi="Calibri"/>
          <w:b/>
          <w:bCs/>
          <w:color w:val="222222"/>
          <w:sz w:val="21"/>
          <w:szCs w:val="21"/>
        </w:rPr>
        <w:t xml:space="preserve">AnomalyCLIP</w:t>
      </w:r>
      <w:r>
        <w:rPr>
          <w:rFonts w:ascii="Calibri" w:cs="Calibri" w:eastAsia="Calibri" w:hAnsi="Calibri"/>
          <w:color w:val="222222"/>
          <w:sz w:val="21"/>
          <w:szCs w:val="21"/>
        </w:rPr>
        <w:t xml:space="preserve"> [3] learns object-agnostic prompt embeddings for zero-shot transfer. </w:t>
      </w:r>
      <w:r>
        <w:rPr>
          <w:rFonts w:ascii="Calibri" w:cs="Calibri" w:eastAsia="Calibri" w:hAnsi="Calibri"/>
          <w:b/>
          <w:bCs/>
          <w:color w:val="222222"/>
          <w:sz w:val="21"/>
          <w:szCs w:val="21"/>
        </w:rPr>
        <w:t xml:space="preserve">Tip-Adapter</w:t>
      </w:r>
      <w:r>
        <w:rPr>
          <w:rFonts w:ascii="Calibri" w:cs="Calibri" w:eastAsia="Calibri" w:hAnsi="Calibri"/>
          <w:color w:val="222222"/>
          <w:sz w:val="21"/>
          <w:szCs w:val="21"/>
        </w:rPr>
        <w:t xml:space="preserve"> [5] (from the general few-shot classification literature) shows that a small cache-based adapter over frozen CLIP features, optionally fine-tuned for minutes, closes most of the gap to full fine-tuning.</w:t>
      </w:r>
    </w:p>
    <w:p>
      <w:pPr>
        <w:pStyle w:val="Heading2"/>
        <w:spacing w:after="120" w:before="220"/>
      </w:pPr>
      <w:r>
        <w:rPr>
          <w:rFonts w:ascii="Calibri" w:cs="Calibri" w:eastAsia="Calibri" w:hAnsi="Calibri"/>
          <w:b/>
          <w:bCs/>
          <w:color w:val="2E7A96"/>
          <w:sz w:val="24"/>
          <w:szCs w:val="24"/>
        </w:rPr>
        <w:t xml:space="preserve">3.2 The benchmark culture</w:t>
      </w:r>
    </w:p>
    <w:p>
      <w:pPr>
        <w:spacing w:after="140" w:line="276"/>
        <w:jc w:val="both"/>
      </w:pPr>
      <w:r>
        <w:rPr>
          <w:rFonts w:ascii="Calibri" w:cs="Calibri" w:eastAsia="Calibri" w:hAnsi="Calibri"/>
          <w:color w:val="222222"/>
          <w:sz w:val="21"/>
          <w:szCs w:val="21"/>
        </w:rPr>
        <w:t xml:space="preserve">Progress is organised around public benchmarks with pixel-accurate ground truth: </w:t>
      </w:r>
      <w:r>
        <w:rPr>
          <w:rFonts w:ascii="Calibri" w:cs="Calibri" w:eastAsia="Calibri" w:hAnsi="Calibri"/>
          <w:b/>
          <w:bCs/>
          <w:color w:val="222222"/>
          <w:sz w:val="21"/>
          <w:szCs w:val="21"/>
        </w:rPr>
        <w:t xml:space="preserve">MVTec AD</w:t>
      </w:r>
      <w:r>
        <w:rPr>
          <w:rFonts w:ascii="Calibri" w:cs="Calibri" w:eastAsia="Calibri" w:hAnsi="Calibri"/>
          <w:color w:val="222222"/>
          <w:sz w:val="21"/>
          <w:szCs w:val="21"/>
        </w:rPr>
        <w:t xml:space="preserve"> [6] (15 object and texture categories, the field's reference benchmark), </w:t>
      </w:r>
      <w:r>
        <w:rPr>
          <w:rFonts w:ascii="Calibri" w:cs="Calibri" w:eastAsia="Calibri" w:hAnsi="Calibri"/>
          <w:b/>
          <w:bCs/>
          <w:color w:val="222222"/>
          <w:sz w:val="21"/>
          <w:szCs w:val="21"/>
        </w:rPr>
        <w:t xml:space="preserve">VisA</w:t>
      </w:r>
      <w:r>
        <w:rPr>
          <w:rFonts w:ascii="Calibri" w:cs="Calibri" w:eastAsia="Calibri" w:hAnsi="Calibri"/>
          <w:color w:val="222222"/>
          <w:sz w:val="21"/>
          <w:szCs w:val="21"/>
        </w:rPr>
        <w:t xml:space="preserve"> [7] (12 harder categories with complex scenes and multiple instances), </w:t>
      </w:r>
      <w:r>
        <w:rPr>
          <w:rFonts w:ascii="Calibri" w:cs="Calibri" w:eastAsia="Calibri" w:hAnsi="Calibri"/>
          <w:b/>
          <w:bCs/>
          <w:color w:val="222222"/>
          <w:sz w:val="21"/>
          <w:szCs w:val="21"/>
        </w:rPr>
        <w:t xml:space="preserve">NEU-DET</w:t>
      </w:r>
      <w:r>
        <w:rPr>
          <w:rFonts w:ascii="Calibri" w:cs="Calibri" w:eastAsia="Calibri" w:hAnsi="Calibri"/>
          <w:color w:val="222222"/>
          <w:sz w:val="21"/>
          <w:szCs w:val="21"/>
        </w:rPr>
        <w:t xml:space="preserve"> [8] (six steel-surface defect classes, the standard cross-domain transfer target), and </w:t>
      </w:r>
      <w:r>
        <w:rPr>
          <w:rFonts w:ascii="Calibri" w:cs="Calibri" w:eastAsia="Calibri" w:hAnsi="Calibri"/>
          <w:b/>
          <w:bCs/>
          <w:color w:val="222222"/>
          <w:sz w:val="21"/>
          <w:szCs w:val="21"/>
        </w:rPr>
        <w:t xml:space="preserve">MPDD</w:t>
      </w:r>
      <w:r>
        <w:rPr>
          <w:rFonts w:ascii="Calibri" w:cs="Calibri" w:eastAsia="Calibri" w:hAnsi="Calibri"/>
          <w:color w:val="222222"/>
          <w:sz w:val="21"/>
          <w:szCs w:val="21"/>
        </w:rPr>
        <w:t xml:space="preserve"> [9] (metal parts photographed under varied lighting and orientation — the closest public proxy for MSME capture conditions). These benchmarks supply the data, the few-shot subsampling protocol, and the primary metrics — image-level and pixel-level </w:t>
      </w:r>
      <w:r>
        <w:rPr>
          <w:rFonts w:ascii="Calibri" w:cs="Calibri" w:eastAsia="Calibri" w:hAnsi="Calibri"/>
          <w:b/>
          <w:bCs/>
          <w:color w:val="222222"/>
          <w:sz w:val="21"/>
          <w:szCs w:val="21"/>
        </w:rPr>
        <w:t xml:space="preserve">AUROC</w:t>
      </w:r>
      <w:r>
        <w:rPr>
          <w:rFonts w:ascii="Calibri" w:cs="Calibri" w:eastAsia="Calibri" w:hAnsi="Calibri"/>
          <w:color w:val="222222"/>
          <w:sz w:val="21"/>
          <w:szCs w:val="21"/>
        </w:rPr>
        <w:t xml:space="preserve"> and </w:t>
      </w:r>
      <w:r>
        <w:rPr>
          <w:rFonts w:ascii="Calibri" w:cs="Calibri" w:eastAsia="Calibri" w:hAnsi="Calibri"/>
          <w:b/>
          <w:bCs/>
          <w:color w:val="222222"/>
          <w:sz w:val="21"/>
          <w:szCs w:val="21"/>
        </w:rPr>
        <w:t xml:space="preserve">F1-max</w:t>
      </w:r>
      <w:r>
        <w:rPr>
          <w:rFonts w:ascii="Calibri" w:cs="Calibri" w:eastAsia="Calibri" w:hAnsi="Calibri"/>
          <w:color w:val="222222"/>
          <w:sz w:val="21"/>
          <w:szCs w:val="21"/>
        </w:rPr>
        <w:t xml:space="preserve"> — that this project inherits. One fact about the surrounding literature matters above all others: its efficiency numbers, where reported at all, assume GPU inference.</w:t>
      </w:r>
    </w:p>
    <w:p>
      <w:pPr>
        <w:pStyle w:val="Heading1"/>
        <w:spacing w:after="160" w:before="320"/>
      </w:pPr>
      <w:r>
        <w:rPr>
          <w:rFonts w:ascii="Calibri" w:cs="Calibri" w:eastAsia="Calibri" w:hAnsi="Calibri"/>
          <w:b/>
          <w:bCs/>
          <w:color w:val="1F5C73"/>
          <w:sz w:val="30"/>
          <w:szCs w:val="30"/>
        </w:rPr>
        <w:t xml:space="preserve">4. The Failure: The Data-and-Compute Blind Spot</w:t>
      </w:r>
    </w:p>
    <w:p>
      <w:pPr>
        <w:spacing w:after="140" w:line="276"/>
        <w:jc w:val="both"/>
      </w:pPr>
      <w:r>
        <w:rPr>
          <w:rFonts w:ascii="Calibri" w:cs="Calibri" w:eastAsia="Calibri" w:hAnsi="Calibri"/>
          <w:color w:val="222222"/>
          <w:sz w:val="21"/>
          <w:szCs w:val="21"/>
        </w:rPr>
        <w:t xml:space="preserve">The few-shot anomaly detection literature has solved the data-scarcity half of the MSME problem on paper, and left the compute-and-operations half unmeasured. The blind spot has three faces.</w:t>
      </w:r>
    </w:p>
    <w:p>
      <w:pPr>
        <w:pStyle w:val="ListParagraph"/>
        <w:numPr>
          <w:ilvl w:val="0"/>
          <w:numId w:val="2"/>
        </w:numPr>
        <w:spacing w:after="100" w:line="270"/>
        <w:jc w:val="both"/>
      </w:pPr>
      <w:r>
        <w:rPr>
          <w:rFonts w:ascii="Calibri" w:cs="Calibri" w:eastAsia="Calibri" w:hAnsi="Calibri"/>
          <w:color w:val="222222"/>
          <w:sz w:val="21"/>
          <w:szCs w:val="21"/>
        </w:rPr>
        <w:t xml:space="preserve"/>
      </w:r>
      <w:r>
        <w:rPr>
          <w:rFonts w:ascii="Calibri" w:cs="Calibri" w:eastAsia="Calibri" w:hAnsi="Calibri"/>
          <w:b/>
          <w:bCs/>
          <w:color w:val="222222"/>
          <w:sz w:val="21"/>
          <w:szCs w:val="21"/>
        </w:rPr>
        <w:t xml:space="preserve">The GPU assumption.</w:t>
      </w:r>
      <w:r>
        <w:rPr>
          <w:rFonts w:ascii="Calibri" w:cs="Calibri" w:eastAsia="Calibri" w:hAnsi="Calibri"/>
          <w:color w:val="222222"/>
          <w:sz w:val="21"/>
          <w:szCs w:val="21"/>
        </w:rPr>
        <w:t xml:space="preserve"> Published latency figures — where they exist — are GPU milliseconds. No paper reports a systematic CPU-only latency/memory/accuracy comparison across CLIP backbone sizes (ViT-B/32, ViT-B/16, ViT-L/14) and quantization levels for anomaly detection. An MSME evaluating these methods has literally no published number to look at.</w:t>
      </w:r>
    </w:p>
    <w:p>
      <w:pPr>
        <w:pStyle w:val="ListParagraph"/>
        <w:numPr>
          <w:ilvl w:val="0"/>
          <w:numId w:val="2"/>
        </w:numPr>
        <w:spacing w:after="100" w:line="270"/>
        <w:jc w:val="both"/>
      </w:pPr>
      <w:r>
        <w:rPr>
          <w:rFonts w:ascii="Calibri" w:cs="Calibri" w:eastAsia="Calibri" w:hAnsi="Calibri"/>
          <w:color w:val="222222"/>
          <w:sz w:val="21"/>
          <w:szCs w:val="21"/>
        </w:rPr>
        <w:t xml:space="preserve"/>
      </w:r>
      <w:r>
        <w:rPr>
          <w:rFonts w:ascii="Calibri" w:cs="Calibri" w:eastAsia="Calibri" w:hAnsi="Calibri"/>
          <w:b/>
          <w:bCs/>
          <w:color w:val="222222"/>
          <w:sz w:val="21"/>
          <w:szCs w:val="21"/>
        </w:rPr>
        <w:t xml:space="preserve">The fixed-class assumption.</w:t>
      </w:r>
      <w:r>
        <w:rPr>
          <w:rFonts w:ascii="Calibri" w:cs="Calibri" w:eastAsia="Calibri" w:hAnsi="Calibri"/>
          <w:color w:val="222222"/>
          <w:sz w:val="21"/>
          <w:szCs w:val="21"/>
        </w:rPr>
        <w:t xml:space="preserve"> Current methods fix the defect set at adaptation time. Adding a class means re-running adaptation — which reintroduces the ML-staff and compute requirements the few-shot framing was meant to remove. No published mechanism offers append-only class addition (new class in, nothing retrained, old classes untouched) evaluated across multiple benchmarks.</w:t>
      </w:r>
    </w:p>
    <w:p>
      <w:pPr>
        <w:pStyle w:val="ListParagraph"/>
        <w:numPr>
          <w:ilvl w:val="0"/>
          <w:numId w:val="2"/>
        </w:numPr>
        <w:spacing w:after="100" w:line="270"/>
        <w:jc w:val="both"/>
      </w:pPr>
      <w:r>
        <w:rPr>
          <w:rFonts w:ascii="Calibri" w:cs="Calibri" w:eastAsia="Calibri" w:hAnsi="Calibri"/>
          <w:color w:val="222222"/>
          <w:sz w:val="21"/>
          <w:szCs w:val="21"/>
        </w:rPr>
        <w:t xml:space="preserve"/>
      </w:r>
      <w:r>
        <w:rPr>
          <w:rFonts w:ascii="Calibri" w:cs="Calibri" w:eastAsia="Calibri" w:hAnsi="Calibri"/>
          <w:b/>
          <w:bCs/>
          <w:color w:val="222222"/>
          <w:sz w:val="21"/>
          <w:szCs w:val="21"/>
        </w:rPr>
        <w:t xml:space="preserve">The adoption gap.</w:t>
      </w:r>
      <w:r>
        <w:rPr>
          <w:rFonts w:ascii="Calibri" w:cs="Calibri" w:eastAsia="Calibri" w:hAnsi="Calibri"/>
          <w:color w:val="222222"/>
          <w:sz w:val="21"/>
          <w:szCs w:val="21"/>
        </w:rPr>
        <w:t xml:space="preserve"> The SME-digitalisation literature documents why small firms do not adopt AI (cost, skills, integration risk), and the technical literature documents accuracy — but no work connects them with concrete compute-cost and feasibility evidence: what accuracy is achievable at what latency, on what hardware, at what monetary cost. This project's answer is deliberately extreme: ₹0 hardware spend, free-tier cloud only, and every number CPU-measured.</w:t>
      </w:r>
    </w:p>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Definition — the compute-efficiency frontier</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The </w:t>
      </w:r>
      <w:r>
        <w:rPr>
          <w:rFonts w:ascii="Calibri" w:cs="Calibri" w:eastAsia="Calibri" w:hAnsi="Calibri"/>
          <w:b/>
          <w:bCs/>
          <w:color w:val="222222"/>
          <w:sz w:val="20"/>
          <w:szCs w:val="20"/>
        </w:rPr>
        <w:t xml:space="preserve">compute-efficiency frontier</w:t>
      </w:r>
      <w:r>
        <w:rPr>
          <w:rFonts w:ascii="Calibri" w:cs="Calibri" w:eastAsia="Calibri" w:hAnsi="Calibri"/>
          <w:color w:val="222222"/>
          <w:sz w:val="20"/>
          <w:szCs w:val="20"/>
        </w:rPr>
        <w:t xml:space="preserve"> is the trade-off curve of detection accuracy against CPU inference cost (latency, peak RAM, FLOPs, model size) as the backbone size, shot count and numeric precision vary. Its shape for open-vocabulary anomaly detection is currently unknown, because no benchmark measures it. An MSME choosing a deployment point operates precisely inside this unmeasured region.</w:t>
      </w:r>
    </w:p>
    <w:p>
      <w:pPr>
        <w:pStyle w:val="Heading1"/>
        <w:spacing w:after="160" w:before="320"/>
      </w:pPr>
      <w:r>
        <w:rPr>
          <w:rFonts w:ascii="Calibri" w:cs="Calibri" w:eastAsia="Calibri" w:hAnsi="Calibri"/>
          <w:b/>
          <w:bCs/>
          <w:color w:val="1F5C73"/>
          <w:sz w:val="30"/>
          <w:szCs w:val="30"/>
        </w:rPr>
        <w:t xml:space="preserve">5. Measuring Honestly: The GPU Assumption and the Few-Shot Protocol</w:t>
      </w:r>
    </w:p>
    <w:p>
      <w:pPr>
        <w:spacing w:after="140" w:line="276"/>
        <w:jc w:val="both"/>
      </w:pPr>
      <w:r>
        <w:rPr>
          <w:rFonts w:ascii="Calibri" w:cs="Calibri" w:eastAsia="Calibri" w:hAnsi="Calibri"/>
          <w:color w:val="222222"/>
          <w:sz w:val="21"/>
          <w:szCs w:val="21"/>
        </w:rPr>
        <w:t xml:space="preserve">Two methodological traps have weakened prior small-data inspection studies, and avoiding both is a first-class design requirement of this project rather than an afterthought.</w:t>
      </w:r>
    </w:p>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Trap 1 — the cherry-picked shot confound</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If few-shot splits are chosen by hand (or re-rolled until numbers look good), the "few-shot" result measures split luck, not method quality. </w:t>
      </w:r>
      <w:r>
        <w:rPr>
          <w:rFonts w:ascii="Calibri" w:cs="Calibri" w:eastAsia="Calibri" w:hAnsi="Calibri"/>
          <w:b/>
          <w:bCs/>
          <w:color w:val="222222"/>
          <w:sz w:val="20"/>
          <w:szCs w:val="20"/>
        </w:rPr>
        <w:t xml:space="preserve">Remedy:</w:t>
      </w:r>
      <w:r>
        <w:rPr>
          <w:rFonts w:ascii="Calibri" w:cs="Calibri" w:eastAsia="Calibri" w:hAnsi="Calibri"/>
          <w:color w:val="222222"/>
          <w:sz w:val="20"/>
          <w:szCs w:val="20"/>
        </w:rPr>
        <w:t xml:space="preserve"> every 0/1/5/10-shot split is generated once by a seeded script, the seeds and manifests are version-controlled in Git, and every experiment — baseline or proposed — consumes identical splits. This is the standard protocol of the few-shot anomaly literature, so all results stay directly comparable to published baselines.</w:t>
      </w:r>
    </w:p>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Trap 2 — the measurement-environment confound</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CPU latency measured casually (single run, warm caches unknown, background load unrecorded) is noise. </w:t>
      </w:r>
      <w:r>
        <w:rPr>
          <w:rFonts w:ascii="Calibri" w:cs="Calibri" w:eastAsia="Calibri" w:hAnsi="Calibri"/>
          <w:b/>
          <w:bCs/>
          <w:color w:val="222222"/>
          <w:sz w:val="20"/>
          <w:szCs w:val="20"/>
        </w:rPr>
        <w:t xml:space="preserve">Remedy:</w:t>
      </w:r>
      <w:r>
        <w:rPr>
          <w:rFonts w:ascii="Calibri" w:cs="Calibri" w:eastAsia="Calibri" w:hAnsi="Calibri"/>
          <w:color w:val="222222"/>
          <w:sz w:val="20"/>
          <w:szCs w:val="20"/>
        </w:rPr>
        <w:t xml:space="preserve"> a scripted profiling harness reports the median of 20 timed runs after warm-up, on a pinned environment, alongside peak RAM (psutil/tracemalloc), FLOPs and parameter counts (fvcore/thop), and on-disk model size — the same harness applied identically to baselines and to the proposed model, at FP32 and INT8, for every backbone. A 50-image fidelity probe verifies that exported ONNX/INT8 scores match the original PyTorch scores before any efficiency number is trusted.</w:t>
      </w:r>
    </w:p>
    <w:p>
      <w:pPr>
        <w:spacing w:after="140" w:line="276"/>
        <w:jc w:val="both"/>
      </w:pPr>
      <w:r>
        <w:rPr>
          <w:rFonts w:ascii="Calibri" w:cs="Calibri" w:eastAsia="Calibri" w:hAnsi="Calibri"/>
          <w:color w:val="222222"/>
          <w:sz w:val="21"/>
          <w:szCs w:val="21"/>
        </w:rPr>
        <w:t xml:space="preserve">Why this does double duty: the disciplined CPU protocol removes the confounds and increases ecological validity at the same time, because a laptop-class CPU is exactly the deployment condition MSMEs face. The benchmark therefore measures the deployment reality, not a laboratory idealisation.</w:t>
      </w:r>
    </w:p>
    <w:p>
      <w:pPr>
        <w:pStyle w:val="Heading1"/>
        <w:spacing w:after="160" w:before="320"/>
      </w:pPr>
      <w:r>
        <w:rPr>
          <w:rFonts w:ascii="Calibri" w:cs="Calibri" w:eastAsia="Calibri" w:hAnsi="Calibri"/>
          <w:b/>
          <w:bCs/>
          <w:color w:val="1F5C73"/>
          <w:sz w:val="30"/>
          <w:szCs w:val="30"/>
        </w:rPr>
        <w:t xml:space="preserve">6. The Specific Gap: What Is Published, and What Is Not</w:t>
      </w:r>
    </w:p>
    <w:p>
      <w:pPr>
        <w:spacing w:after="140" w:line="276"/>
        <w:jc w:val="both"/>
      </w:pPr>
      <w:r>
        <w:rPr>
          <w:rFonts w:ascii="Calibri" w:cs="Calibri" w:eastAsia="Calibri" w:hAnsi="Calibri"/>
          <w:color w:val="222222"/>
          <w:sz w:val="21"/>
          <w:szCs w:val="21"/>
        </w:rPr>
        <w:t xml:space="preserve">Industrial anomaly detection is an active, fast-moving area, so this project deliberately targets the specific sub-problem that remains open. The table summarises the landscape.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200"/>
      </w:tblGrid>
      <w:tr>
        <w:tc>
          <w:tcPr>
            <w:tcW w:type="dxa" w:w="25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Prior work</w:t>
            </w:r>
          </w:p>
        </w:tc>
        <w:tc>
          <w:tcPr>
            <w:tcW w:type="dxa" w:w="43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What it provides</w:t>
            </w:r>
          </w:p>
        </w:tc>
        <w:tc>
          <w:tcPr>
            <w:tcW w:type="dxa" w:w="22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MSME constraints handled?</w:t>
            </w:r>
          </w:p>
        </w:tc>
      </w:tr>
      <w:tr>
        <w:tc>
          <w:tcPr>
            <w:tcW w:type="dxa" w:w="25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PatchCore [4]</w:t>
            </w:r>
          </w:p>
        </w:tc>
        <w:tc>
          <w:tcPr>
            <w:tcW w:type="dxa" w:w="43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Strongest classical few-shot memory-bank baseline; MVTec AD reference numbers</w:t>
            </w:r>
          </w:p>
        </w:tc>
        <w:tc>
          <w:tcPr>
            <w:tcW w:type="dxa" w:w="22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No — no text pathway, no naming, GPU-reported, fixed classes</w:t>
            </w:r>
          </w:p>
        </w:tc>
      </w:tr>
      <w:tr>
        <w:tc>
          <w:tcPr>
            <w:tcW w:type="dxa" w:w="25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WinCLIP [2]</w:t>
            </w:r>
          </w:p>
        </w:tc>
        <w:tc>
          <w:tcPr>
            <w:tcW w:type="dxa" w:w="43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Zero/few-shot CLIP anomaly detection with prompt ensembles; the recipe's state of the art</w:t>
            </w:r>
          </w:p>
        </w:tc>
        <w:tc>
          <w:tcPr>
            <w:tcW w:type="dxa" w:w="22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No — GPU inference, windowed multi-pass cost, fixed classes</w:t>
            </w:r>
          </w:p>
        </w:tc>
      </w:tr>
      <w:tr>
        <w:tc>
          <w:tcPr>
            <w:tcW w:type="dxa" w:w="25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AnomalyCLIP [3]</w:t>
            </w:r>
          </w:p>
        </w:tc>
        <w:tc>
          <w:tcPr>
            <w:tcW w:type="dxa" w:w="43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Object-agnostic learned prompts for zero-shot transfer</w:t>
            </w:r>
          </w:p>
        </w:tc>
        <w:tc>
          <w:tcPr>
            <w:tcW w:type="dxa" w:w="22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No — GPU-reported; no incremental mechanism</w:t>
            </w:r>
          </w:p>
        </w:tc>
      </w:tr>
      <w:tr>
        <w:tc>
          <w:tcPr>
            <w:tcW w:type="dxa" w:w="25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Tip-Adapter [5]</w:t>
            </w:r>
          </w:p>
        </w:tc>
        <w:tc>
          <w:tcPr>
            <w:tcW w:type="dxa" w:w="43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Cache-based lightweight adaptation over frozen CLIP (general classification)</w:t>
            </w:r>
          </w:p>
        </w:tc>
        <w:tc>
          <w:tcPr>
            <w:tcW w:type="dxa" w:w="22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Untested on anomaly detection under CPU constraints</w:t>
            </w:r>
          </w:p>
        </w:tc>
      </w:tr>
      <w:tr>
        <w:tc>
          <w:tcPr>
            <w:tcW w:type="dxa" w:w="25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MVTec AD / VisA / NEU-DET / MPDD [6–9]</w:t>
            </w:r>
          </w:p>
        </w:tc>
        <w:tc>
          <w:tcPr>
            <w:tcW w:type="dxa" w:w="43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Public pixel-labelled benchmarks and the few-shot subsampling protocol</w:t>
            </w:r>
          </w:p>
        </w:tc>
        <w:tc>
          <w:tcPr>
            <w:tcW w:type="dxa" w:w="22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Benchmarks only — no efficiency protocol attached</w:t>
            </w:r>
          </w:p>
        </w:tc>
      </w:tr>
      <w:tr>
        <w:tc>
          <w:tcPr>
            <w:tcW w:type="dxa" w:w="25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anomalib [10]</w:t>
            </w:r>
          </w:p>
        </w:tc>
        <w:tc>
          <w:tcPr>
            <w:tcW w:type="dxa" w:w="43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Reproducible implementations and auto-download of baselines/datasets</w:t>
            </w:r>
          </w:p>
        </w:tc>
        <w:tc>
          <w:tcPr>
            <w:tcW w:type="dxa" w:w="22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Toolbox only — no CPU efficiency benchmark, no incrementality</w:t>
            </w:r>
          </w:p>
        </w:tc>
      </w:tr>
      <w:tr>
        <w:tc>
          <w:tcPr>
            <w:tcW w:type="dxa" w:w="25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SME AI-adoption literature</w:t>
            </w:r>
          </w:p>
        </w:tc>
        <w:tc>
          <w:tcPr>
            <w:tcW w:type="dxa" w:w="43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Documents cost/skills barriers to adoption</w:t>
            </w:r>
          </w:p>
        </w:tc>
        <w:tc>
          <w:tcPr>
            <w:tcW w:type="dxa" w:w="22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No technical bridge — no accuracy-at-cost evidence</w:t>
            </w:r>
          </w:p>
        </w:tc>
      </w:tr>
      <w:tr>
        <w:tc>
          <w:tcPr>
            <w:tcW w:type="dxa" w:w="25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This project</w:t>
            </w:r>
          </w:p>
        </w:tc>
        <w:tc>
          <w:tcPr>
            <w:tcW w:type="dxa" w:w="43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CPU-only compute-efficiency benchmark; append-only incremental class addition; ₹0 cost/feasibility analysis; open toolkit + demo</w:t>
            </w:r>
          </w:p>
        </w:tc>
        <w:tc>
          <w:tcPr>
            <w:tcW w:type="dxa" w:w="22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Yes — the targeted gap</w:t>
            </w:r>
          </w:p>
        </w:tc>
      </w:tr>
    </w:tbl>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An honest technical point that shapes the whole design</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The three strands triangulate: few-shot/open-vocabulary detection methods are mature but GPU-assuming and fixed-class; the public benchmarks and protocols exist but carry no efficiency dimension; the adoption literature names the cost barrier but offers no measurements. The intersection — frozen-CLIP defect detection quantified on CPU across backbones and quantization levels, with append-only class addition — has, to the team's knowledge (verified against the WinCLIP/AnomalyCLIP/PatchCore literature and the anomalib model zoo during proposal preparation), no published systematic benchmark. The strong published baselines strengthen rather than threaten the claim: they supply the reproduced "before" numbers against which the efficiency and incrementality results are read.</w:t>
      </w:r>
    </w:p>
    <w:p>
      <w:pPr>
        <w:spacing w:after="140" w:line="276"/>
        <w:jc w:val="both"/>
      </w:pPr>
      <w:r>
        <w:rPr>
          <w:rFonts w:ascii="Calibri" w:cs="Calibri" w:eastAsia="Calibri" w:hAnsi="Calibri"/>
          <w:color w:val="222222"/>
          <w:sz w:val="21"/>
          <w:szCs w:val="21"/>
        </w:rPr>
        <w:t xml:space="preserve">The research gaps, stated compactly:</w:t>
      </w:r>
    </w:p>
    <w:p>
      <w:pPr>
        <w:pStyle w:val="ListParagraph"/>
        <w:numPr>
          <w:ilvl w:val="0"/>
          <w:numId w:val="2"/>
        </w:numPr>
        <w:spacing w:after="100" w:line="270"/>
        <w:jc w:val="both"/>
      </w:pPr>
      <w:r>
        <w:rPr>
          <w:rFonts w:ascii="Calibri" w:cs="Calibri" w:eastAsia="Calibri" w:hAnsi="Calibri"/>
          <w:color w:val="222222"/>
          <w:sz w:val="21"/>
          <w:szCs w:val="21"/>
        </w:rPr>
        <w:t xml:space="preserve"/>
      </w:r>
      <w:r>
        <w:rPr>
          <w:rFonts w:ascii="Calibri" w:cs="Calibri" w:eastAsia="Calibri" w:hAnsi="Calibri"/>
          <w:b/>
          <w:bCs/>
          <w:color w:val="222222"/>
          <w:sz w:val="21"/>
          <w:szCs w:val="21"/>
        </w:rPr>
        <w:t xml:space="preserve">G1</w:t>
      </w:r>
      <w:r>
        <w:rPr>
          <w:rFonts w:ascii="Calibri" w:cs="Calibri" w:eastAsia="Calibri" w:hAnsi="Calibri"/>
          <w:color w:val="222222"/>
          <w:sz w:val="21"/>
          <w:szCs w:val="21"/>
        </w:rPr>
        <w:t xml:space="preserve"> — No existing work combines few-shot + open-vocabulary anomaly detection with an append-only (no-retraining) incremental class mechanism evaluated across multiple public benchmarks.</w:t>
      </w:r>
    </w:p>
    <w:p>
      <w:pPr>
        <w:pStyle w:val="ListParagraph"/>
        <w:numPr>
          <w:ilvl w:val="0"/>
          <w:numId w:val="2"/>
        </w:numPr>
        <w:spacing w:after="100" w:line="270"/>
        <w:jc w:val="both"/>
      </w:pPr>
      <w:r>
        <w:rPr>
          <w:rFonts w:ascii="Calibri" w:cs="Calibri" w:eastAsia="Calibri" w:hAnsi="Calibri"/>
          <w:color w:val="222222"/>
          <w:sz w:val="21"/>
          <w:szCs w:val="21"/>
        </w:rPr>
        <w:t xml:space="preserve"/>
      </w:r>
      <w:r>
        <w:rPr>
          <w:rFonts w:ascii="Calibri" w:cs="Calibri" w:eastAsia="Calibri" w:hAnsi="Calibri"/>
          <w:b/>
          <w:bCs/>
          <w:color w:val="222222"/>
          <w:sz w:val="21"/>
          <w:szCs w:val="21"/>
        </w:rPr>
        <w:t xml:space="preserve">G2</w:t>
      </w:r>
      <w:r>
        <w:rPr>
          <w:rFonts w:ascii="Calibri" w:cs="Calibri" w:eastAsia="Calibri" w:hAnsi="Calibri"/>
          <w:color w:val="222222"/>
          <w:sz w:val="21"/>
          <w:szCs w:val="21"/>
        </w:rPr>
        <w:t xml:space="preserve"> — No published systematic CPU-only latency/memory/accuracy comparison across CLIP backbone sizes (ViT-B/32, ViT-B/16, ViT-L/14) and quantization levels for anomaly detection; reported numbers assume GPU inference.</w:t>
      </w:r>
    </w:p>
    <w:p>
      <w:pPr>
        <w:pStyle w:val="ListParagraph"/>
        <w:numPr>
          <w:ilvl w:val="0"/>
          <w:numId w:val="2"/>
        </w:numPr>
        <w:spacing w:after="100" w:line="270"/>
        <w:jc w:val="both"/>
      </w:pPr>
      <w:r>
        <w:rPr>
          <w:rFonts w:ascii="Calibri" w:cs="Calibri" w:eastAsia="Calibri" w:hAnsi="Calibri"/>
          <w:color w:val="222222"/>
          <w:sz w:val="21"/>
          <w:szCs w:val="21"/>
        </w:rPr>
        <w:t xml:space="preserve"/>
      </w:r>
      <w:r>
        <w:rPr>
          <w:rFonts w:ascii="Calibri" w:cs="Calibri" w:eastAsia="Calibri" w:hAnsi="Calibri"/>
          <w:b/>
          <w:bCs/>
          <w:color w:val="222222"/>
          <w:sz w:val="21"/>
          <w:szCs w:val="21"/>
        </w:rPr>
        <w:t xml:space="preserve">G3</w:t>
      </w:r>
      <w:r>
        <w:rPr>
          <w:rFonts w:ascii="Calibri" w:cs="Calibri" w:eastAsia="Calibri" w:hAnsi="Calibri"/>
          <w:color w:val="222222"/>
          <w:sz w:val="21"/>
          <w:szCs w:val="21"/>
        </w:rPr>
        <w:t xml:space="preserve"> — No incremental capability: current methods fix the defect set at adaptation time, while MSMEs need class addition without retraining or GPU access.</w:t>
      </w:r>
    </w:p>
    <w:p>
      <w:pPr>
        <w:pStyle w:val="ListParagraph"/>
        <w:numPr>
          <w:ilvl w:val="0"/>
          <w:numId w:val="2"/>
        </w:numPr>
        <w:spacing w:after="100" w:line="270"/>
        <w:jc w:val="both"/>
      </w:pPr>
      <w:r>
        <w:rPr>
          <w:rFonts w:ascii="Calibri" w:cs="Calibri" w:eastAsia="Calibri" w:hAnsi="Calibri"/>
          <w:color w:val="222222"/>
          <w:sz w:val="21"/>
          <w:szCs w:val="21"/>
        </w:rPr>
        <w:t xml:space="preserve"/>
      </w:r>
      <w:r>
        <w:rPr>
          <w:rFonts w:ascii="Calibri" w:cs="Calibri" w:eastAsia="Calibri" w:hAnsi="Calibri"/>
          <w:b/>
          <w:bCs/>
          <w:color w:val="222222"/>
          <w:sz w:val="21"/>
          <w:szCs w:val="21"/>
        </w:rPr>
        <w:t xml:space="preserve">G4 (stretch)</w:t>
      </w:r>
      <w:r>
        <w:rPr>
          <w:rFonts w:ascii="Calibri" w:cs="Calibri" w:eastAsia="Calibri" w:hAnsi="Calibri"/>
          <w:color w:val="222222"/>
          <w:sz w:val="21"/>
          <w:szCs w:val="21"/>
        </w:rPr>
        <w:t xml:space="preserve"> — No usability layer converting plain worker descriptions into effective open-vocabulary prompts.</w:t>
      </w:r>
    </w:p>
    <w:p>
      <w:pPr>
        <w:pStyle w:val="ListParagraph"/>
        <w:numPr>
          <w:ilvl w:val="0"/>
          <w:numId w:val="2"/>
        </w:numPr>
        <w:spacing w:after="100" w:line="270"/>
        <w:jc w:val="both"/>
      </w:pPr>
      <w:r>
        <w:rPr>
          <w:rFonts w:ascii="Calibri" w:cs="Calibri" w:eastAsia="Calibri" w:hAnsi="Calibri"/>
          <w:color w:val="222222"/>
          <w:sz w:val="21"/>
          <w:szCs w:val="21"/>
        </w:rPr>
        <w:t xml:space="preserve"/>
      </w:r>
      <w:r>
        <w:rPr>
          <w:rFonts w:ascii="Calibri" w:cs="Calibri" w:eastAsia="Calibri" w:hAnsi="Calibri"/>
          <w:b/>
          <w:bCs/>
          <w:color w:val="222222"/>
          <w:sz w:val="21"/>
          <w:szCs w:val="21"/>
        </w:rPr>
        <w:t xml:space="preserve">G5</w:t>
      </w:r>
      <w:r>
        <w:rPr>
          <w:rFonts w:ascii="Calibri" w:cs="Calibri" w:eastAsia="Calibri" w:hAnsi="Calibri"/>
          <w:color w:val="222222"/>
          <w:sz w:val="21"/>
          <w:szCs w:val="21"/>
        </w:rPr>
        <w:t xml:space="preserve"> — No compute-cost / feasibility evidence connecting the technical literature to the SME adoption literature under a ₹0, free-tier-only constraint.</w:t>
      </w:r>
    </w:p>
    <w:p>
      <w:pPr>
        <w:pStyle w:val="Heading1"/>
        <w:spacing w:after="160" w:before="320"/>
      </w:pPr>
      <w:r>
        <w:rPr>
          <w:rFonts w:ascii="Calibri" w:cs="Calibri" w:eastAsia="Calibri" w:hAnsi="Calibri"/>
          <w:b/>
          <w:bCs/>
          <w:color w:val="1F5C73"/>
          <w:sz w:val="30"/>
          <w:szCs w:val="30"/>
        </w:rPr>
        <w:t xml:space="preserve">7. Problem Statement and Objectives</w:t>
      </w:r>
    </w:p>
    <w:p>
      <w:pPr>
        <w:pStyle w:val="Heading2"/>
        <w:spacing w:after="120" w:before="220"/>
      </w:pPr>
      <w:r>
        <w:rPr>
          <w:rFonts w:ascii="Calibri" w:cs="Calibri" w:eastAsia="Calibri" w:hAnsi="Calibri"/>
          <w:b/>
          <w:bCs/>
          <w:color w:val="2E7A96"/>
          <w:sz w:val="24"/>
          <w:szCs w:val="24"/>
        </w:rPr>
        <w:t xml:space="preserve">7.1 Problem statement</w:t>
      </w:r>
    </w:p>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Problem statement</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Assumption in prior work</w:t>
      </w:r>
      <w:r>
        <w:rPr>
          <w:rFonts w:ascii="Calibri" w:cs="Calibri" w:eastAsia="Calibri" w:hAnsi="Calibri"/>
          <w:color w:val="222222"/>
          <w:sz w:val="20"/>
          <w:szCs w:val="20"/>
        </w:rPr>
        <w:t xml:space="preserve"> — existing few-shot and open-vocabulary anomaly detectors (WinCLIP, AnomalyCLIP, PatchCore, and adapter-style methods) are designed, evaluated and reported under GPU inference, fixed defect vocabularies, and research-lab operating conditions.</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Observed blind spot</w:t>
      </w:r>
      <w:r>
        <w:rPr>
          <w:rFonts w:ascii="Calibri" w:cs="Calibri" w:eastAsia="Calibri" w:hAnsi="Calibri"/>
          <w:color w:val="222222"/>
          <w:sz w:val="20"/>
          <w:szCs w:val="20"/>
        </w:rPr>
        <w:t xml:space="preserve"> — their behaviour under MSME constraints (CPU-only inference, 1–10 labelled examples per class, no retraining capability, defect sets that grow over time, zero hardware budget) is unquantified — precisely the operating point at which Indian small manufacturers would deploy them.</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Proposed remedy</w:t>
      </w:r>
      <w:r>
        <w:rPr>
          <w:rFonts w:ascii="Calibri" w:cs="Calibri" w:eastAsia="Calibri" w:hAnsi="Calibri"/>
          <w:color w:val="222222"/>
          <w:sz w:val="20"/>
          <w:szCs w:val="20"/>
        </w:rPr>
        <w:t xml:space="preserve"> — build a frozen-CLIP detector with a lightweight adapter and an appendable prototype memory; reproduce published baselines to anchor accuracy; measure the full accuracy × CPU-latency × RAM × FLOPs frontier across backbone sizes, shot counts and INT8/FP32 precision; quantify append-only class addition against from-scratch adaptation; and translate the results into a ₹0 cost/feasibility analysis for MSME adoption.</w:t>
      </w:r>
    </w:p>
    <w:p>
      <w:pPr>
        <w:pStyle w:val="Heading2"/>
        <w:spacing w:after="120" w:before="220"/>
      </w:pPr>
      <w:r>
        <w:rPr>
          <w:rFonts w:ascii="Calibri" w:cs="Calibri" w:eastAsia="Calibri" w:hAnsi="Calibri"/>
          <w:b/>
          <w:bCs/>
          <w:color w:val="2E7A96"/>
          <w:sz w:val="24"/>
          <w:szCs w:val="24"/>
        </w:rPr>
        <w:t xml:space="preserve">7.2 Objectives</w:t>
      </w:r>
    </w:p>
    <w:p>
      <w:pPr>
        <w:pStyle w:val="ListParagraph"/>
        <w:numPr>
          <w:ilvl w:val="0"/>
          <w:numId w:val="2"/>
        </w:numPr>
        <w:spacing w:after="100" w:line="270"/>
        <w:jc w:val="both"/>
      </w:pPr>
      <w:r>
        <w:rPr>
          <w:rFonts w:ascii="Calibri" w:cs="Calibri" w:eastAsia="Calibri" w:hAnsi="Calibri"/>
          <w:color w:val="222222"/>
          <w:sz w:val="21"/>
          <w:szCs w:val="21"/>
        </w:rPr>
        <w:t xml:space="preserve"/>
      </w:r>
      <w:r>
        <w:rPr>
          <w:rFonts w:ascii="Calibri" w:cs="Calibri" w:eastAsia="Calibri" w:hAnsi="Calibri"/>
          <w:b/>
          <w:bCs/>
          <w:color w:val="222222"/>
          <w:sz w:val="21"/>
          <w:szCs w:val="21"/>
        </w:rPr>
        <w:t xml:space="preserve">O1</w:t>
      </w:r>
      <w:r>
        <w:rPr>
          <w:rFonts w:ascii="Calibri" w:cs="Calibri" w:eastAsia="Calibri" w:hAnsi="Calibri"/>
          <w:color w:val="222222"/>
          <w:sz w:val="21"/>
          <w:szCs w:val="21"/>
        </w:rPr>
        <w:t xml:space="preserve"> Reproduce published baselines — WinCLIP (zero/1/5/10-shot) and AnomalyCLIP (zero-shot) on MVTec AD and VisA, and PatchCore via anomalib — within documented margins, before any novel number is trusted.</w:t>
      </w:r>
    </w:p>
    <w:p>
      <w:pPr>
        <w:pStyle w:val="ListParagraph"/>
        <w:numPr>
          <w:ilvl w:val="0"/>
          <w:numId w:val="2"/>
        </w:numPr>
        <w:spacing w:after="100" w:line="270"/>
        <w:jc w:val="both"/>
      </w:pPr>
      <w:r>
        <w:rPr>
          <w:rFonts w:ascii="Calibri" w:cs="Calibri" w:eastAsia="Calibri" w:hAnsi="Calibri"/>
          <w:color w:val="222222"/>
          <w:sz w:val="21"/>
          <w:szCs w:val="21"/>
        </w:rPr>
        <w:t xml:space="preserve"/>
      </w:r>
      <w:r>
        <w:rPr>
          <w:rFonts w:ascii="Calibri" w:cs="Calibri" w:eastAsia="Calibri" w:hAnsi="Calibri"/>
          <w:b/>
          <w:bCs/>
          <w:color w:val="222222"/>
          <w:sz w:val="21"/>
          <w:szCs w:val="21"/>
        </w:rPr>
        <w:t xml:space="preserve">O2</w:t>
      </w:r>
      <w:r>
        <w:rPr>
          <w:rFonts w:ascii="Calibri" w:cs="Calibri" w:eastAsia="Calibri" w:hAnsi="Calibri"/>
          <w:color w:val="222222"/>
          <w:sz w:val="21"/>
          <w:szCs w:val="21"/>
        </w:rPr>
        <w:t xml:space="preserve"> Build the detector: frozen OpenCLIP backbone, prototype memory over normal and defect references (image and text prototypes), and a lightweight Tip-Adapter-style trainable adapter over cached features; single-pass patch-token anomaly maps.</w:t>
      </w:r>
    </w:p>
    <w:p>
      <w:pPr>
        <w:pStyle w:val="ListParagraph"/>
        <w:numPr>
          <w:ilvl w:val="0"/>
          <w:numId w:val="2"/>
        </w:numPr>
        <w:spacing w:after="100" w:line="270"/>
        <w:jc w:val="both"/>
      </w:pPr>
      <w:r>
        <w:rPr>
          <w:rFonts w:ascii="Calibri" w:cs="Calibri" w:eastAsia="Calibri" w:hAnsi="Calibri"/>
          <w:color w:val="222222"/>
          <w:sz w:val="21"/>
          <w:szCs w:val="21"/>
        </w:rPr>
        <w:t xml:space="preserve"/>
      </w:r>
      <w:r>
        <w:rPr>
          <w:rFonts w:ascii="Calibri" w:cs="Calibri" w:eastAsia="Calibri" w:hAnsi="Calibri"/>
          <w:b/>
          <w:bCs/>
          <w:color w:val="222222"/>
          <w:sz w:val="21"/>
          <w:szCs w:val="21"/>
        </w:rPr>
        <w:t xml:space="preserve">O3</w:t>
      </w:r>
      <w:r>
        <w:rPr>
          <w:rFonts w:ascii="Calibri" w:cs="Calibri" w:eastAsia="Calibri" w:hAnsi="Calibri"/>
          <w:color w:val="222222"/>
          <w:sz w:val="21"/>
          <w:szCs w:val="21"/>
        </w:rPr>
        <w:t xml:space="preserve"> Freeze a seeded few-shot protocol (0/1/5/10-shot splits with recorded seeds and manifests) applied identically to baselines and the proposed model across MVTec AD, VisA and NEU-DET.</w:t>
      </w:r>
    </w:p>
    <w:p>
      <w:pPr>
        <w:pStyle w:val="ListParagraph"/>
        <w:numPr>
          <w:ilvl w:val="0"/>
          <w:numId w:val="2"/>
        </w:numPr>
        <w:spacing w:after="100" w:line="270"/>
        <w:jc w:val="both"/>
      </w:pPr>
      <w:r>
        <w:rPr>
          <w:rFonts w:ascii="Calibri" w:cs="Calibri" w:eastAsia="Calibri" w:hAnsi="Calibri"/>
          <w:color w:val="222222"/>
          <w:sz w:val="21"/>
          <w:szCs w:val="21"/>
        </w:rPr>
        <w:t xml:space="preserve"/>
      </w:r>
      <w:r>
        <w:rPr>
          <w:rFonts w:ascii="Calibri" w:cs="Calibri" w:eastAsia="Calibri" w:hAnsi="Calibri"/>
          <w:b/>
          <w:bCs/>
          <w:color w:val="222222"/>
          <w:sz w:val="21"/>
          <w:szCs w:val="21"/>
        </w:rPr>
        <w:t xml:space="preserve">O4</w:t>
      </w:r>
      <w:r>
        <w:rPr>
          <w:rFonts w:ascii="Calibri" w:cs="Calibri" w:eastAsia="Calibri" w:hAnsi="Calibri"/>
          <w:color w:val="222222"/>
          <w:sz w:val="21"/>
          <w:szCs w:val="21"/>
        </w:rPr>
        <w:t xml:space="preserve"> Quantify the compute-efficiency frontier: accuracy (image/pixel AUROC, F1-max) × CPU latency (median of 20) × peak RAM × FLOPs × model size, across ViT-B/32, ViT-B/16, ViT-L/14 and FP32 vs INT8 (ONNX Runtime), on a laptop-class CPU. This is the empirical core of the contribution.</w:t>
      </w:r>
    </w:p>
    <w:p>
      <w:pPr>
        <w:pStyle w:val="ListParagraph"/>
        <w:numPr>
          <w:ilvl w:val="0"/>
          <w:numId w:val="2"/>
        </w:numPr>
        <w:spacing w:after="100" w:line="270"/>
        <w:jc w:val="both"/>
      </w:pPr>
      <w:r>
        <w:rPr>
          <w:rFonts w:ascii="Calibri" w:cs="Calibri" w:eastAsia="Calibri" w:hAnsi="Calibri"/>
          <w:color w:val="222222"/>
          <w:sz w:val="21"/>
          <w:szCs w:val="21"/>
        </w:rPr>
        <w:t xml:space="preserve"/>
      </w:r>
      <w:r>
        <w:rPr>
          <w:rFonts w:ascii="Calibri" w:cs="Calibri" w:eastAsia="Calibri" w:hAnsi="Calibri"/>
          <w:b/>
          <w:bCs/>
          <w:color w:val="222222"/>
          <w:sz w:val="21"/>
          <w:szCs w:val="21"/>
        </w:rPr>
        <w:t xml:space="preserve">O5</w:t>
      </w:r>
      <w:r>
        <w:rPr>
          <w:rFonts w:ascii="Calibri" w:cs="Calibri" w:eastAsia="Calibri" w:hAnsi="Calibri"/>
          <w:color w:val="222222"/>
          <w:sz w:val="21"/>
          <w:szCs w:val="21"/>
        </w:rPr>
        <w:t xml:space="preserve"> Demonstrate and measure incrementality: hold out 2–3 defect classes; append each via prototype memory from 5–10 images plus a typed description with no retraining; report accuracy versus from-scratch adaptation and the wall-clock cost of the append operation on CPU.</w:t>
      </w:r>
    </w:p>
    <w:p>
      <w:pPr>
        <w:pStyle w:val="ListParagraph"/>
        <w:numPr>
          <w:ilvl w:val="0"/>
          <w:numId w:val="2"/>
        </w:numPr>
        <w:spacing w:after="100" w:line="270"/>
        <w:jc w:val="both"/>
      </w:pPr>
      <w:r>
        <w:rPr>
          <w:rFonts w:ascii="Calibri" w:cs="Calibri" w:eastAsia="Calibri" w:hAnsi="Calibri"/>
          <w:color w:val="222222"/>
          <w:sz w:val="21"/>
          <w:szCs w:val="21"/>
        </w:rPr>
        <w:t xml:space="preserve"/>
      </w:r>
      <w:r>
        <w:rPr>
          <w:rFonts w:ascii="Calibri" w:cs="Calibri" w:eastAsia="Calibri" w:hAnsi="Calibri"/>
          <w:b/>
          <w:bCs/>
          <w:color w:val="222222"/>
          <w:sz w:val="21"/>
          <w:szCs w:val="21"/>
        </w:rPr>
        <w:t xml:space="preserve">O6</w:t>
      </w:r>
      <w:r>
        <w:rPr>
          <w:rFonts w:ascii="Calibri" w:cs="Calibri" w:eastAsia="Calibri" w:hAnsi="Calibri"/>
          <w:color w:val="222222"/>
          <w:sz w:val="21"/>
          <w:szCs w:val="21"/>
        </w:rPr>
        <w:t xml:space="preserve"> Analyse where accuracy and efficiency trade off — by backbone, shot count, precision, dataset domain (MVTec → VisA → NEU-DET cross-domain), and optionally MPDD hard-mode — so the benchmark explains as well as measures.</w:t>
      </w:r>
    </w:p>
    <w:p>
      <w:pPr>
        <w:pStyle w:val="ListParagraph"/>
        <w:numPr>
          <w:ilvl w:val="0"/>
          <w:numId w:val="2"/>
        </w:numPr>
        <w:spacing w:after="100" w:line="270"/>
        <w:jc w:val="both"/>
      </w:pPr>
      <w:r>
        <w:rPr>
          <w:rFonts w:ascii="Calibri" w:cs="Calibri" w:eastAsia="Calibri" w:hAnsi="Calibri"/>
          <w:color w:val="222222"/>
          <w:sz w:val="21"/>
          <w:szCs w:val="21"/>
        </w:rPr>
        <w:t xml:space="preserve"/>
      </w:r>
      <w:r>
        <w:rPr>
          <w:rFonts w:ascii="Calibri" w:cs="Calibri" w:eastAsia="Calibri" w:hAnsi="Calibri"/>
          <w:b/>
          <w:bCs/>
          <w:color w:val="222222"/>
          <w:sz w:val="21"/>
          <w:szCs w:val="21"/>
        </w:rPr>
        <w:t xml:space="preserve">O7</w:t>
      </w:r>
      <w:r>
        <w:rPr>
          <w:rFonts w:ascii="Calibri" w:cs="Calibri" w:eastAsia="Calibri" w:hAnsi="Calibri"/>
          <w:color w:val="222222"/>
          <w:sz w:val="21"/>
          <w:szCs w:val="21"/>
        </w:rPr>
        <w:t xml:space="preserve"> Release an open-source toolkit and local upload-and-inspect demo (Streamlit/FastAPI), publish the compute-cost/feasibility table, and disseminate via a preprint submitted within the 8-week window plus the institutional report and viva demo.</w:t>
      </w:r>
    </w:p>
    <w:p>
      <w:pPr>
        <w:pStyle w:val="Heading1"/>
        <w:spacing w:after="160" w:before="320"/>
      </w:pPr>
      <w:r>
        <w:rPr>
          <w:rFonts w:ascii="Calibri" w:cs="Calibri" w:eastAsia="Calibri" w:hAnsi="Calibri"/>
          <w:b/>
          <w:bCs/>
          <w:color w:val="1F5C73"/>
          <w:sz w:val="30"/>
          <w:szCs w:val="30"/>
        </w:rPr>
        <w:t xml:space="preserve">8. Scope of the Investigation</w:t>
      </w:r>
    </w:p>
    <w:p>
      <w:pPr>
        <w:spacing w:after="140" w:line="276"/>
        <w:jc w:val="both"/>
      </w:pPr>
      <w:r>
        <w:rPr>
          <w:rFonts w:ascii="Calibri" w:cs="Calibri" w:eastAsia="Calibri" w:hAnsi="Calibri"/>
          <w:color w:val="222222"/>
          <w:sz w:val="21"/>
          <w:szCs w:val="21"/>
        </w:rPr>
        <w:t xml:space="preserve">The investigation is deliberately structured as one central claim supported on three fronts, rather than three separate problems. Each front tests or strengthens the same statement; none can be removed without weakening the others.</w:t>
      </w:r>
    </w:p>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Front I — Empirical core (the compute-efficiency benchmark)</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Question</w:t>
      </w:r>
      <w:r>
        <w:rPr>
          <w:rFonts w:ascii="Calibri" w:cs="Calibri" w:eastAsia="Calibri" w:hAnsi="Calibri"/>
          <w:color w:val="222222"/>
          <w:sz w:val="20"/>
          <w:szCs w:val="20"/>
        </w:rPr>
        <w:t xml:space="preserve"> — what accuracy does frozen-CLIP defect detection actually deliver at what CPU latency, memory and model size, as backbone, shot count and precision vary?</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Role</w:t>
      </w:r>
      <w:r>
        <w:rPr>
          <w:rFonts w:ascii="Calibri" w:cs="Calibri" w:eastAsia="Calibri" w:hAnsi="Calibri"/>
          <w:color w:val="222222"/>
          <w:sz w:val="20"/>
          <w:szCs w:val="20"/>
        </w:rPr>
        <w:t xml:space="preserve"> — establishes the phenomenon; produces the accuracy-vs-compute frontier that is the paper's central empirical claim and headline figure.</w:t>
      </w:r>
    </w:p>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Front II — Model construction (the MSME-shaped detector)</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Question</w:t>
      </w:r>
      <w:r>
        <w:rPr>
          <w:rFonts w:ascii="Calibri" w:cs="Calibri" w:eastAsia="Calibri" w:hAnsi="Calibri"/>
          <w:color w:val="222222"/>
          <w:sz w:val="20"/>
          <w:szCs w:val="20"/>
        </w:rPr>
        <w:t xml:space="preserve"> — can a frozen backbone + prototype memory + lightweight adapter reach competitive few-shot accuracy with a design whose every component respects the no-retraining, no-GPU constraint?</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Role</w:t>
      </w:r>
      <w:r>
        <w:rPr>
          <w:rFonts w:ascii="Calibri" w:cs="Calibri" w:eastAsia="Calibri" w:hAnsi="Calibri"/>
          <w:color w:val="222222"/>
          <w:sz w:val="20"/>
          <w:szCs w:val="20"/>
        </w:rPr>
        <w:t xml:space="preserve"> — creates the system Front I profiles; the toolkit and demo are themselves releasable contributions.</w:t>
      </w:r>
    </w:p>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Front III — Incrementality (the append-only study)</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Question</w:t>
      </w:r>
      <w:r>
        <w:rPr>
          <w:rFonts w:ascii="Calibri" w:cs="Calibri" w:eastAsia="Calibri" w:hAnsi="Calibri"/>
          <w:color w:val="222222"/>
          <w:sz w:val="20"/>
          <w:szCs w:val="20"/>
        </w:rPr>
        <w:t xml:space="preserve"> — how much accuracy does append-only class addition sacrifice relative to from-scratch adaptation, and what does the append operation cost in CPU seconds?</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Role</w:t>
      </w:r>
      <w:r>
        <w:rPr>
          <w:rFonts w:ascii="Calibri" w:cs="Calibri" w:eastAsia="Calibri" w:hAnsi="Calibri"/>
          <w:color w:val="222222"/>
          <w:sz w:val="20"/>
          <w:szCs w:val="20"/>
        </w:rPr>
        <w:t xml:space="preserve"> — converts the benchmark into deployment-relevant guidance: it answers the question that decides whether an MSME can operate the system after the researchers leave.</w:t>
      </w:r>
    </w:p>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Why the three fronts form one result</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The model front produces the system; the empirical core measures its cost–accuracy behaviour; the incrementality front shows it can grow in the field. Together they answer one question — can a small manufacturer with a laptop, a few photos and no ML staff run credible visual inspection, and at what measured cost — rather than three unrelated ones.</w:t>
      </w:r>
    </w:p>
    <w:p>
      <w:pPr>
        <w:pStyle w:val="Heading2"/>
        <w:spacing w:after="120" w:before="220"/>
      </w:pPr>
      <w:r>
        <w:rPr>
          <w:rFonts w:ascii="Calibri" w:cs="Calibri" w:eastAsia="Calibri" w:hAnsi="Calibri"/>
          <w:b/>
          <w:bCs/>
          <w:color w:val="2E7A96"/>
          <w:sz w:val="24"/>
          <w:szCs w:val="24"/>
        </w:rPr>
        <w:t xml:space="preserve">8.1 In and out of scope</w:t>
      </w:r>
    </w:p>
    <w:p>
      <w:pPr>
        <w:spacing w:after="140" w:line="276"/>
        <w:jc w:val="both"/>
      </w:pPr>
      <w:r>
        <w:rPr>
          <w:rFonts w:ascii="Calibri" w:cs="Calibri" w:eastAsia="Calibri" w:hAnsi="Calibri"/>
          <w:color w:val="222222"/>
          <w:sz w:val="21"/>
          <w:szCs w:val="21"/>
        </w:rPr>
        <w:t xml:space="preserve"/>
      </w:r>
      <w:r>
        <w:rPr>
          <w:rFonts w:ascii="Calibri" w:cs="Calibri" w:eastAsia="Calibri" w:hAnsi="Calibri"/>
          <w:b/>
          <w:bCs/>
          <w:color w:val="222222"/>
          <w:sz w:val="21"/>
          <w:szCs w:val="21"/>
        </w:rPr>
        <w:t xml:space="preserve">In scope:</w:t>
      </w:r>
      <w:r>
        <w:rPr>
          <w:rFonts w:ascii="Calibri" w:cs="Calibri" w:eastAsia="Calibri" w:hAnsi="Calibri"/>
          <w:color w:val="222222"/>
          <w:sz w:val="21"/>
          <w:szCs w:val="21"/>
        </w:rPr>
        <w:t xml:space="preserve"> image-level and pixel-level anomaly detection on public benchmarks; few-shot regimes of 0/1/5/10 shots with frozen seeded splits; plain-language defect descriptions as text prototypes; MVTec AD and VisA as primary benchmarks, NEU-DET as the cross-domain transfer track, MPDD as an optional hard-mode run; ONNX export, INT8 post-training quantization, and CPU-only profiling; a local software demo. </w:t>
      </w:r>
      <w:r>
        <w:rPr>
          <w:rFonts w:ascii="Calibri" w:cs="Calibri" w:eastAsia="Calibri" w:hAnsi="Calibri"/>
          <w:b/>
          <w:bCs/>
          <w:color w:val="222222"/>
          <w:sz w:val="21"/>
          <w:szCs w:val="21"/>
        </w:rPr>
        <w:t xml:space="preserve">Out of scope for 8 weeks:</w:t>
      </w:r>
      <w:r>
        <w:rPr>
          <w:rFonts w:ascii="Calibri" w:cs="Calibri" w:eastAsia="Calibri" w:hAnsi="Calibri"/>
          <w:color w:val="222222"/>
          <w:sz w:val="21"/>
          <w:szCs w:val="21"/>
        </w:rPr>
        <w:t xml:space="preserve"> physical cameras, edge devices or shop-floor deployment of any kind; real-time video streams; training any backbone from scratch or full fine-tuning; federated or on-device learning; patent filing — all named as future work in the report.</w:t>
      </w:r>
    </w:p>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A scoping decision made on evidence, not convenience</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The original concept included a physical edge-deployment track (camera + single-board computer on a shop floor). A feasibility check during proposal preparation found the hardware path added purchase cost, shipping lead-time risk, and site-access dependencies while contributing no additional *research* novelty — the learning-side contributions (few-shot adaptation, open vocabulary, incrementality, prototype memory) are untouched by its removal. The software-only scope is therefore a deliberate, evidence-based decision, not a downgrade: the physical contribution is replaced by a rigorous compute-efficiency study (backbone ablation, CPU profiling, INT8 quantization) that is *more* reproducible — anyone with a laptop and a free account can verify every number — and carries zero equipment and zero shipping-dependency risk.</w:t>
      </w:r>
    </w:p>
    <w:p>
      <w:r>
        <w:br w:type="page"/>
      </w:r>
    </w:p>
    <w:p>
      <w:pPr>
        <w:pStyle w:val="Heading1"/>
        <w:spacing w:after="160" w:before="320"/>
      </w:pPr>
      <w:r>
        <w:rPr>
          <w:rFonts w:ascii="Calibri" w:cs="Calibri" w:eastAsia="Calibri" w:hAnsi="Calibri"/>
          <w:b/>
          <w:bCs/>
          <w:color w:val="1F5C73"/>
          <w:sz w:val="30"/>
          <w:szCs w:val="30"/>
        </w:rPr>
        <w:t xml:space="preserve">9. Solution Strategy</w:t>
      </w:r>
    </w:p>
    <w:p>
      <w:pPr>
        <w:spacing w:after="140" w:line="276"/>
        <w:jc w:val="both"/>
      </w:pPr>
      <w:r>
        <w:rPr>
          <w:rFonts w:ascii="Calibri" w:cs="Calibri" w:eastAsia="Calibri" w:hAnsi="Calibri"/>
          <w:color w:val="222222"/>
          <w:sz w:val="21"/>
          <w:szCs w:val="21"/>
        </w:rPr>
        <w:t xml:space="preserve">Measuring a compute-efficiency frontier credibly requires three things: a trusted baseline, an uncontaminated measurement, and a controlled intervention. The strategy supplies each in turn, in increasing order of ambition.</w:t>
      </w:r>
    </w:p>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Tool 1 — Baseline reproduction · trusted foundation</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What it does</w:t>
      </w:r>
      <w:r>
        <w:rPr>
          <w:rFonts w:ascii="Calibri" w:cs="Calibri" w:eastAsia="Calibri" w:hAnsi="Calibri"/>
          <w:color w:val="222222"/>
          <w:sz w:val="20"/>
          <w:szCs w:val="20"/>
        </w:rPr>
        <w:t xml:space="preserve"> — runs WinCLIP (zero/1/5/10-shot) and AnomalyCLIP (zero-shot) on MVTec AD and VisA, and PatchCore via anomalib, reconciling against published numbers within documented margins before any novel result is trusted; profiles baseline CPU cost as the "before" number for the efficiency claim.</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Why it is safe</w:t>
      </w:r>
      <w:r>
        <w:rPr>
          <w:rFonts w:ascii="Calibri" w:cs="Calibri" w:eastAsia="Calibri" w:hAnsi="Calibri"/>
          <w:color w:val="222222"/>
          <w:sz w:val="20"/>
          <w:szCs w:val="20"/>
        </w:rPr>
        <w:t xml:space="preserve"> — it anchors every later measurement to the community's reference points; if the baselines are wrong, everything downstream is meaningless, so they are validated first.</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Trade-off</w:t>
      </w:r>
      <w:r>
        <w:rPr>
          <w:rFonts w:ascii="Calibri" w:cs="Calibri" w:eastAsia="Calibri" w:hAnsi="Calibri"/>
          <w:color w:val="222222"/>
          <w:sz w:val="20"/>
          <w:szCs w:val="20"/>
        </w:rPr>
        <w:t xml:space="preserve"> — consumes the first two weeks of compute and schedule before any novel result exists.</w:t>
      </w:r>
    </w:p>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Tool 2 — Frozen backbone + prototype memory + lightweight adapter · primary contribution</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What it does</w:t>
      </w:r>
      <w:r>
        <w:rPr>
          <w:rFonts w:ascii="Calibri" w:cs="Calibri" w:eastAsia="Calibri" w:hAnsi="Calibri"/>
          <w:color w:val="222222"/>
          <w:sz w:val="20"/>
          <w:szCs w:val="20"/>
        </w:rPr>
        <w:t xml:space="preserve"> — represents each defect class as prototypes built from K example-image embeddings and a text-description embedding, held in an appendable memory; scores test-image patch tokens against the memory in a single forward pass; a small residual adapter (Tip-Adapter-style initialisation, trained for minutes on cached features) sharpens the frozen features without touching the backbone.</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Why it fits here</w:t>
      </w:r>
      <w:r>
        <w:rPr>
          <w:rFonts w:ascii="Calibri" w:cs="Calibri" w:eastAsia="Calibri" w:hAnsi="Calibri"/>
          <w:color w:val="222222"/>
          <w:sz w:val="20"/>
          <w:szCs w:val="20"/>
        </w:rPr>
        <w:t xml:space="preserve"> — every design choice maps to an MSME constraint: frozen backbone → no training budget; prototype memory → append-only class addition; text prototypes → open vocabulary from plain descriptions; single-pass maps → CPU-viable latency versus WinCLIP's windowed multi-pass.</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Trade-off</w:t>
      </w:r>
      <w:r>
        <w:rPr>
          <w:rFonts w:ascii="Calibri" w:cs="Calibri" w:eastAsia="Calibri" w:hAnsi="Calibri"/>
          <w:color w:val="222222"/>
          <w:sz w:val="20"/>
          <w:szCs w:val="20"/>
        </w:rPr>
        <w:t xml:space="preserve"> — a lightweight adapter may trail heavyweight methods on raw accuracy; the frontier framing makes that an informative data point rather than a failure, and the prototype-only configuration doubles as the adapter ablation control.</w:t>
      </w:r>
    </w:p>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Tool 3 — ONNX export, INT8 quantization and the profiling harness · the frontier result</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What it does</w:t>
      </w:r>
      <w:r>
        <w:rPr>
          <w:rFonts w:ascii="Calibri" w:cs="Calibri" w:eastAsia="Calibri" w:hAnsi="Calibri"/>
          <w:color w:val="222222"/>
          <w:sz w:val="20"/>
          <w:szCs w:val="20"/>
        </w:rPr>
        <w:t xml:space="preserve"> — exports the frozen model to ONNX; verifies score fidelity on a 50-image probe; applies dynamic and static INT8 post-training quantization; then runs the scripted profiling harness (latency median-of-20, peak RAM, FLOPs, params, disk size → CSV) across every backbone × precision × shot-count cell.</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Why it is the standout</w:t>
      </w:r>
      <w:r>
        <w:rPr>
          <w:rFonts w:ascii="Calibri" w:cs="Calibri" w:eastAsia="Calibri" w:hAnsi="Calibri"/>
          <w:color w:val="222222"/>
          <w:sz w:val="20"/>
          <w:szCs w:val="20"/>
        </w:rPr>
        <w:t xml:space="preserve"> — it answers the deployment question — what does accuracy cost on the hardware MSMEs actually own — and its output (the frontier figure and the cost/feasibility table) is exactly what no prior work provides.</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Trade-off</w:t>
      </w:r>
      <w:r>
        <w:rPr>
          <w:rFonts w:ascii="Calibri" w:cs="Calibri" w:eastAsia="Calibri" w:hAnsi="Calibri"/>
          <w:color w:val="222222"/>
          <w:sz w:val="20"/>
          <w:szCs w:val="20"/>
        </w:rPr>
        <w:t xml:space="preserve"> — INT8 may degrade CLIP accuracy noticeably; if so, the degradation is itself a documented finding and FP32/FP16 becomes the recommended operating point.</w:t>
      </w:r>
    </w:p>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Fallbacks held in reserve</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Training-free track</w:t>
      </w:r>
      <w:r>
        <w:rPr>
          <w:rFonts w:ascii="Calibri" w:cs="Calibri" w:eastAsia="Calibri" w:hAnsi="Calibri"/>
          <w:color w:val="222222"/>
          <w:sz w:val="20"/>
          <w:szCs w:val="20"/>
        </w:rPr>
        <w:t xml:space="preserve"> — if adapter training proves unstable, the training-free Tip-Adapter configuration (cache only, no gradient steps) is one config flag away and is validated in the literature.</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Quota exhaustion</w:t>
      </w:r>
      <w:r>
        <w:rPr>
          <w:rFonts w:ascii="Calibri" w:cs="Calibri" w:eastAsia="Calibri" w:hAnsi="Calibri"/>
          <w:color w:val="222222"/>
          <w:sz w:val="20"/>
          <w:szCs w:val="20"/>
        </w:rPr>
        <w:t xml:space="preserve"> — if Colab/Kaggle free-tier GPU quota runs out, all post-Week-2 experiments run on cached features on the laptop CPU; sessions are staggered across both platforms to double effective quota.</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Reduced grid</w:t>
      </w:r>
      <w:r>
        <w:rPr>
          <w:rFonts w:ascii="Calibri" w:cs="Calibri" w:eastAsia="Calibri" w:hAnsi="Calibri"/>
          <w:color w:val="222222"/>
          <w:sz w:val="20"/>
          <w:szCs w:val="20"/>
        </w:rPr>
        <w:t xml:space="preserve"> — if the schedule slips, the grid is cut in a pre-declared order (prompt layer → MPDD → backbone sweep to ViT-B/16 only → remaining ablations); the efficiency grid, incrementality result and cost table are never cut.</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Null-result framing</w:t>
      </w:r>
      <w:r>
        <w:rPr>
          <w:rFonts w:ascii="Calibri" w:cs="Calibri" w:eastAsia="Calibri" w:hAnsi="Calibri"/>
          <w:color w:val="222222"/>
          <w:sz w:val="20"/>
          <w:szCs w:val="20"/>
        </w:rPr>
        <w:t xml:space="preserve"> — if CPU latency proves poor across the board, the rigorously measured feasibility map (what accuracy at what latency at what size) still answers the MSME question and is publishable as such.</w:t>
      </w:r>
    </w:p>
    <w:p>
      <w:pPr>
        <w:pStyle w:val="Heading1"/>
        <w:spacing w:after="160" w:before="320"/>
      </w:pPr>
      <w:r>
        <w:rPr>
          <w:rFonts w:ascii="Calibri" w:cs="Calibri" w:eastAsia="Calibri" w:hAnsi="Calibri"/>
          <w:b/>
          <w:bCs/>
          <w:color w:val="1F5C73"/>
          <w:sz w:val="30"/>
          <w:szCs w:val="30"/>
        </w:rPr>
        <w:t xml:space="preserve">10. Method Pipeline</w:t>
      </w:r>
    </w:p>
    <w:p>
      <w:pPr>
        <w:spacing w:after="140" w:line="276"/>
        <w:jc w:val="both"/>
      </w:pPr>
      <w:r>
        <w:rPr>
          <w:rFonts w:ascii="Calibri" w:cs="Calibri" w:eastAsia="Calibri" w:hAnsi="Calibri"/>
          <w:color w:val="222222"/>
          <w:sz w:val="21"/>
          <w:szCs w:val="21"/>
        </w:rPr>
        <w:t xml:space="preserve">The framework is an evaluation and adaptation layer built around a frozen pretrained vision–language encoder. It runs in five stages; every image, from any dataset, passes through the same stages.</w:t>
      </w:r>
    </w:p>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Stage 1 — Corpus assembly and frozen few-shot splits</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Download MVTec AD, VisA and NEU-DET programmatically (anomalib auto-download where available); generate 0/1/5/10-shot splits with a seeded script; record seeds and manifests in Git so every experiment consumes identical data.</w:t>
      </w:r>
    </w:p>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Stage 2 — Feature extraction and the feature bank</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Pass every image once through each frozen OpenCLIP backbone (ViT-B/32, ViT-B/16, ViT-L/14) and cache patch-token and CLS embeddings to disk. This is the strategy that makes the scope affordable: after caching, nearly every experiment runs on a laptop CPU in minutes.</w:t>
      </w:r>
    </w:p>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Stage 3 — Prototype memory and adapter</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Build the normal-appearance memory from K normal shots; build defect prototypes from K defect-image embeddings and the CLIP-encoded text description; train the lightweight residual adapter on cached features (minutes per run), sweeping rank, residual ratio and temperature.</w:t>
      </w:r>
    </w:p>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Stage 4 — Detection and scoring</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Score each test image's patch tokens against the memory in a single forward pass to produce the anomaly map and the image-level verdict; compute image/pixel AUROC and F1-max per category with the harness validated against anomalib's PatchCore in Week 1.</w:t>
      </w:r>
    </w:p>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Stage 5 — Export, quantization and profiling</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Export the frozen model to ONNX; verify fidelity on the 50-image probe; quantize to INT8 (dynamic and static); run the profiling harness across the full backbone × precision × shot grid; assemble the frontier figures and the cost/feasibility table; run the incrementality experiment on held-out classes.</w:t>
      </w:r>
    </w:p>
    <w:p>
      <w:pPr>
        <w:pStyle w:val="Heading1"/>
        <w:spacing w:after="160" w:before="320"/>
      </w:pPr>
      <w:r>
        <w:rPr>
          <w:rFonts w:ascii="Calibri" w:cs="Calibri" w:eastAsia="Calibri" w:hAnsi="Calibri"/>
          <w:b/>
          <w:bCs/>
          <w:color w:val="1F5C73"/>
          <w:sz w:val="30"/>
          <w:szCs w:val="30"/>
        </w:rPr>
        <w:t xml:space="preserve">11. The Compute-Efficiency Evaluation Matrix</w:t>
      </w:r>
    </w:p>
    <w:p>
      <w:pPr>
        <w:spacing w:after="140" w:line="276"/>
        <w:jc w:val="both"/>
      </w:pPr>
      <w:r>
        <w:rPr>
          <w:rFonts w:ascii="Calibri" w:cs="Calibri" w:eastAsia="Calibri" w:hAnsi="Calibri"/>
          <w:color w:val="222222"/>
          <w:sz w:val="21"/>
          <w:szCs w:val="21"/>
        </w:rPr>
        <w:t xml:space="preserve">A single accuracy number cannot express a deployment trade-off. The project's central artefact is a matrix whose axes are chosen to answer the MSME question directly, and whose cells are filled by one shared harness.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000"/>
      </w:tblGrid>
      <w:tr>
        <w:tc>
          <w:tcPr>
            <w:tcW w:type="dxa" w:w="23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Axis</w:t>
            </w:r>
          </w:p>
        </w:tc>
        <w:tc>
          <w:tcPr>
            <w:tcW w:type="dxa" w:w="37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Levels</w:t>
            </w:r>
          </w:p>
        </w:tc>
        <w:tc>
          <w:tcPr>
            <w:tcW w:type="dxa" w:w="30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Role in the matrix</w:t>
            </w:r>
          </w:p>
        </w:tc>
      </w:tr>
      <w:tr>
        <w:tc>
          <w:tcPr>
            <w:tcW w:type="dxa" w:w="23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Benchmark</w:t>
            </w:r>
          </w:p>
        </w:tc>
        <w:tc>
          <w:tcPr>
            <w:tcW w:type="dxa" w:w="37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MVTec AD · VisA · NEU-DET (cross-domain) · MPDD (optional hard mode)</w:t>
            </w:r>
          </w:p>
        </w:tc>
        <w:tc>
          <w:tcPr>
            <w:tcW w:type="dxa" w:w="30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From reference conditions to MSME-like capture conditions</w:t>
            </w:r>
          </w:p>
        </w:tc>
      </w:tr>
      <w:tr>
        <w:tc>
          <w:tcPr>
            <w:tcW w:type="dxa" w:w="23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Shot count</w:t>
            </w:r>
          </w:p>
        </w:tc>
        <w:tc>
          <w:tcPr>
            <w:tcW w:type="dxa" w:w="37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0 · 1 · 5 · 10 (frozen seeded splits)</w:t>
            </w:r>
          </w:p>
        </w:tc>
        <w:tc>
          <w:tcPr>
            <w:tcW w:type="dxa" w:w="30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The data-scarcity axis; simulates the MSME regime</w:t>
            </w:r>
          </w:p>
        </w:tc>
      </w:tr>
      <w:tr>
        <w:tc>
          <w:tcPr>
            <w:tcW w:type="dxa" w:w="23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Backbone</w:t>
            </w:r>
          </w:p>
        </w:tc>
        <w:tc>
          <w:tcPr>
            <w:tcW w:type="dxa" w:w="37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ViT-B/32 · ViT-B/16 · ViT-L/14 (frozen OpenCLIP)</w:t>
            </w:r>
          </w:p>
        </w:tc>
        <w:tc>
          <w:tcPr>
            <w:tcW w:type="dxa" w:w="30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The model-size axis of the frontier</w:t>
            </w:r>
          </w:p>
        </w:tc>
      </w:tr>
      <w:tr>
        <w:tc>
          <w:tcPr>
            <w:tcW w:type="dxa" w:w="23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Precision</w:t>
            </w:r>
          </w:p>
        </w:tc>
        <w:tc>
          <w:tcPr>
            <w:tcW w:type="dxa" w:w="37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FP32 · INT8-dynamic · INT8-static (ONNX Runtime, CPU)</w:t>
            </w:r>
          </w:p>
        </w:tc>
        <w:tc>
          <w:tcPr>
            <w:tcW w:type="dxa" w:w="30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The compression axis; fidelity-checked before use</w:t>
            </w:r>
          </w:p>
        </w:tc>
      </w:tr>
      <w:tr>
        <w:tc>
          <w:tcPr>
            <w:tcW w:type="dxa" w:w="23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Method</w:t>
            </w:r>
          </w:p>
        </w:tc>
        <w:tc>
          <w:tcPr>
            <w:tcW w:type="dxa" w:w="37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PatchCore · WinCLIP · AnomalyCLIP · prototype-only · prototype+adapter</w:t>
            </w:r>
          </w:p>
        </w:tc>
        <w:tc>
          <w:tcPr>
            <w:tcW w:type="dxa" w:w="30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Baselines and ablation controls beside the proposed model</w:t>
            </w:r>
          </w:p>
        </w:tc>
      </w:tr>
      <w:tr>
        <w:tc>
          <w:tcPr>
            <w:tcW w:type="dxa" w:w="23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Reported per cell</w:t>
            </w:r>
          </w:p>
        </w:tc>
        <w:tc>
          <w:tcPr>
            <w:tcW w:type="dxa" w:w="37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Image/pixel AUROC, F1-max · CPU latency (median of 20) · peak RAM · FLOPs · params · disk size</w:t>
            </w:r>
          </w:p>
        </w:tc>
        <w:tc>
          <w:tcPr>
            <w:tcW w:type="dxa" w:w="30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Accuracy and cost, always together</w:t>
            </w:r>
          </w:p>
        </w:tc>
      </w:tr>
    </w:tbl>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The frontier result</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For each backbone × precision setting, accuracy is plotted against CPU cost, producing the accuracy-vs-compute frontier per shot count. The claims under test are (a) that a single-pass prototype+adapter design reaches near-WinCLIP few-shot accuracy at a fraction of the CPU cost, and (b) that the frontier makes at least one operating point defensible for laptop-class deployment. Because baselines are profiled with the identical harness on the identical splits, neither claim can be dismissed as a measurement artefact.</w:t>
      </w:r>
    </w:p>
    <w:p>
      <w:pPr>
        <w:pStyle w:val="Heading1"/>
        <w:spacing w:after="160" w:before="320"/>
      </w:pPr>
      <w:r>
        <w:rPr>
          <w:rFonts w:ascii="Calibri" w:cs="Calibri" w:eastAsia="Calibri" w:hAnsi="Calibri"/>
          <w:b/>
          <w:bCs/>
          <w:color w:val="1F5C73"/>
          <w:sz w:val="30"/>
          <w:szCs w:val="30"/>
        </w:rPr>
        <w:t xml:space="preserve">12. The Incrementality Programme</w:t>
      </w:r>
    </w:p>
    <w:p>
      <w:pPr>
        <w:spacing w:after="140" w:line="276"/>
        <w:jc w:val="both"/>
      </w:pPr>
      <w:r>
        <w:rPr>
          <w:rFonts w:ascii="Calibri" w:cs="Calibri" w:eastAsia="Calibri" w:hAnsi="Calibri"/>
          <w:color w:val="222222"/>
          <w:sz w:val="21"/>
          <w:szCs w:val="21"/>
        </w:rPr>
        <w:t xml:space="preserve">The incrementality front converts the design promise — append-only class addition — into a measured answer. It is staged as a ladder, so that early rungs stand alone if later ones prove out of reach in the timeframe.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5600"/>
        <w:gridCol w:w="2500"/>
      </w:tblGrid>
      <w:tr>
        <w:tc>
          <w:tcPr>
            <w:tcW w:type="dxa" w:w="9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Stage</w:t>
            </w:r>
          </w:p>
        </w:tc>
        <w:tc>
          <w:tcPr>
            <w:tcW w:type="dxa" w:w="56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Target result</w:t>
            </w:r>
          </w:p>
        </w:tc>
        <w:tc>
          <w:tcPr>
            <w:tcW w:type="dxa" w:w="25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Character</w:t>
            </w:r>
          </w:p>
        </w:tc>
      </w:tr>
      <w:tr>
        <w:tc>
          <w:tcPr>
            <w:tcW w:type="dxa" w:w="9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I1</w:t>
            </w:r>
          </w:p>
        </w:tc>
        <w:tc>
          <w:tcPr>
            <w:tcW w:type="dxa" w:w="56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Prototype memory populated at adaptation time; full-grid accuracy on all benchmarks — the non-incremental reference</w:t>
            </w:r>
          </w:p>
        </w:tc>
        <w:tc>
          <w:tcPr>
            <w:tcW w:type="dxa" w:w="25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Foundational; establishes the reference</w:t>
            </w:r>
          </w:p>
        </w:tc>
      </w:tr>
      <w:tr>
        <w:tc>
          <w:tcPr>
            <w:tcW w:type="dxa" w:w="9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I2</w:t>
            </w:r>
          </w:p>
        </w:tc>
        <w:tc>
          <w:tcPr>
            <w:tcW w:type="dxa" w:w="56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Hold out 2–3 defect classes; append each from 5–10 images + a typed description with no retraining; measure accuracy on the appended classes and verify no regression on existing classes</w:t>
            </w:r>
          </w:p>
        </w:tc>
        <w:tc>
          <w:tcPr>
            <w:tcW w:type="dxa" w:w="25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Substantive; the headline incrementality number</w:t>
            </w:r>
          </w:p>
        </w:tc>
      </w:tr>
      <w:tr>
        <w:tc>
          <w:tcPr>
            <w:tcW w:type="dxa" w:w="9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I3</w:t>
            </w:r>
          </w:p>
        </w:tc>
        <w:tc>
          <w:tcPr>
            <w:tcW w:type="dxa" w:w="56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Time the append operation end-to-end on the laptop CPU; compare appended-class accuracy against from-scratch adaptation that included the class</w:t>
            </w:r>
          </w:p>
        </w:tc>
        <w:tc>
          <w:tcPr>
            <w:tcW w:type="dxa" w:w="25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Sharpening; quantifies the cost of growing in the field</w:t>
            </w:r>
          </w:p>
        </w:tc>
      </w:tr>
      <w:tr>
        <w:tc>
          <w:tcPr>
            <w:tcW w:type="dxa" w:w="9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I4</w:t>
            </w:r>
          </w:p>
        </w:tc>
        <w:tc>
          <w:tcPr>
            <w:tcW w:type="dxa" w:w="56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Plain-language prompt template layer: 20–30 informal worker-style descriptions mapped to effective prompts; measure effect on text-prototype quality</w:t>
            </w:r>
          </w:p>
        </w:tc>
        <w:tc>
          <w:tcPr>
            <w:tcW w:type="dxa" w:w="25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Stretch (G4); executed only if the schedule allows</w:t>
            </w:r>
          </w:p>
        </w:tc>
      </w:tr>
    </w:tbl>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A boundary that must be respected</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Incrementality is evaluated only on classes held out from all adapter training and hyperparameter selection. Reporting append accuracy on classes the adapter has already seen would manufacture a capability that does not exist in deployment. The held-out classes are never used for tuning under any circumstances.</w:t>
      </w:r>
    </w:p>
    <w:p>
      <w:pPr>
        <w:pStyle w:val="Heading1"/>
        <w:spacing w:after="160" w:before="320"/>
      </w:pPr>
      <w:r>
        <w:rPr>
          <w:rFonts w:ascii="Calibri" w:cs="Calibri" w:eastAsia="Calibri" w:hAnsi="Calibri"/>
          <w:b/>
          <w:bCs/>
          <w:color w:val="1F5C73"/>
          <w:sz w:val="30"/>
          <w:szCs w:val="30"/>
        </w:rPr>
        <w:t xml:space="preserve">13. Assumptions and Honest Scope</w:t>
      </w:r>
    </w:p>
    <w:p>
      <w:pPr>
        <w:spacing w:after="140" w:line="276"/>
        <w:jc w:val="both"/>
      </w:pPr>
      <w:r>
        <w:rPr>
          <w:rFonts w:ascii="Calibri" w:cs="Calibri" w:eastAsia="Calibri" w:hAnsi="Calibri"/>
          <w:color w:val="222222"/>
          <w:sz w:val="21"/>
          <w:szCs w:val="21"/>
        </w:rPr>
        <w:t xml:space="preserve">Stating the scope precisely is part of the contribution. Reviewers in this area reward explicit assumptions and penalise over-claiming.</w:t>
      </w:r>
    </w:p>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What is and is not claimed</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Benchmark and toolkit, not product</w:t>
      </w:r>
      <w:r>
        <w:rPr>
          <w:rFonts w:ascii="Calibri" w:cs="Calibri" w:eastAsia="Calibri" w:hAnsi="Calibri"/>
          <w:color w:val="222222"/>
          <w:sz w:val="20"/>
          <w:szCs w:val="20"/>
        </w:rPr>
        <w:t xml:space="preserve"> — the project delivers a measured benchmark, a research toolkit and a local demo, framed as a feasibility probe — not a production inspection system or a claim of deployment-grade reliability.</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Simulated data regime</w:t>
      </w:r>
      <w:r>
        <w:rPr>
          <w:rFonts w:ascii="Calibri" w:cs="Calibri" w:eastAsia="Calibri" w:hAnsi="Calibri"/>
          <w:color w:val="222222"/>
          <w:sz w:val="20"/>
          <w:szCs w:val="20"/>
        </w:rPr>
        <w:t xml:space="preserve"> — the MSME few-shot regime is simulated by seeded subsampling of public benchmarks, the standard protocol of the literature; no proprietary factory data is collected, so domain shift to any specific shop floor is future work.</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Software-only</w:t>
      </w:r>
      <w:r>
        <w:rPr>
          <w:rFonts w:ascii="Calibri" w:cs="Calibri" w:eastAsia="Calibri" w:hAnsi="Calibri"/>
          <w:color w:val="222222"/>
          <w:sz w:val="20"/>
          <w:szCs w:val="20"/>
        </w:rPr>
        <w:t xml:space="preserve"> — all deployment claims are about laptop-class CPUs and free cloud tiers; no camera, edge device, or physical line integration is built or claimed.</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Moderate model scope</w:t>
      </w:r>
      <w:r>
        <w:rPr>
          <w:rFonts w:ascii="Calibri" w:cs="Calibri" w:eastAsia="Calibri" w:hAnsi="Calibri"/>
          <w:color w:val="222222"/>
          <w:sz w:val="20"/>
          <w:szCs w:val="20"/>
        </w:rPr>
        <w:t xml:space="preserve"> — backbones are used frozen; full fine-tuning and backbone training are out of scope, so the results bound what frozen-feature methods achieve, not what unlimited compute achieves.</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Statistical care</w:t>
      </w:r>
      <w:r>
        <w:rPr>
          <w:rFonts w:ascii="Calibri" w:cs="Calibri" w:eastAsia="Calibri" w:hAnsi="Calibri"/>
          <w:color w:val="222222"/>
          <w:sz w:val="20"/>
          <w:szCs w:val="20"/>
        </w:rPr>
        <w:t xml:space="preserve"> — few-shot results vary with split choice, so headline numbers are reported over the frozen seeded splits with per-category breakdowns, and every figure is regenerable from a manifest by a one-command script.</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₹0 means ₹0</w:t>
      </w:r>
      <w:r>
        <w:rPr>
          <w:rFonts w:ascii="Calibri" w:cs="Calibri" w:eastAsia="Calibri" w:hAnsi="Calibri"/>
          <w:color w:val="222222"/>
          <w:sz w:val="20"/>
          <w:szCs w:val="20"/>
        </w:rPr>
        <w:t xml:space="preserve"> — the feasibility analysis counts free-tier hours and laptop inference only; commercial machine-vision pricing appears solely as a comparison line, not as a dependency.</w:t>
      </w:r>
    </w:p>
    <w:p>
      <w:r>
        <w:br w:type="page"/>
      </w:r>
    </w:p>
    <w:p>
      <w:pPr>
        <w:pStyle w:val="Heading1"/>
        <w:spacing w:after="160" w:before="320"/>
      </w:pPr>
      <w:r>
        <w:rPr>
          <w:rFonts w:ascii="Calibri" w:cs="Calibri" w:eastAsia="Calibri" w:hAnsi="Calibri"/>
          <w:b/>
          <w:bCs/>
          <w:color w:val="1F5C73"/>
          <w:sz w:val="30"/>
          <w:szCs w:val="30"/>
        </w:rPr>
        <w:t xml:space="preserve">14. Datasets and Pretrained Models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1900"/>
        <w:gridCol w:w="1900"/>
      </w:tblGrid>
      <w:tr>
        <w:tc>
          <w:tcPr>
            <w:tcW w:type="dxa" w:w="19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Resource</w:t>
            </w:r>
          </w:p>
        </w:tc>
        <w:tc>
          <w:tcPr>
            <w:tcW w:type="dxa" w:w="33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Content and size</w:t>
            </w:r>
          </w:p>
        </w:tc>
        <w:tc>
          <w:tcPr>
            <w:tcW w:type="dxa" w:w="19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Access</w:t>
            </w:r>
          </w:p>
        </w:tc>
        <w:tc>
          <w:tcPr>
            <w:tcW w:type="dxa" w:w="19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Role in the study</w:t>
            </w:r>
          </w:p>
        </w:tc>
      </w:tr>
      <w:tr>
        <w:tc>
          <w:tcPr>
            <w:tcW w:type="dxa" w:w="19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MVTec AD [6]</w:t>
            </w:r>
          </w:p>
        </w:tc>
        <w:tc>
          <w:tcPr>
            <w:tcW w:type="dxa" w:w="33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15 object/texture categories, ~5,300 images, pixel-accurate masks</w:t>
            </w:r>
          </w:p>
        </w:tc>
        <w:tc>
          <w:tcPr>
            <w:tcW w:type="dxa" w:w="19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Free registration (mvtec.com) or anomalib auto-download</w:t>
            </w:r>
          </w:p>
        </w:tc>
        <w:tc>
          <w:tcPr>
            <w:tcW w:type="dxa" w:w="19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Primary benchmark</w:t>
            </w:r>
          </w:p>
        </w:tc>
      </w:tr>
      <w:tr>
        <w:tc>
          <w:tcPr>
            <w:tcW w:type="dxa" w:w="19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VisA [7]</w:t>
            </w:r>
          </w:p>
        </w:tc>
        <w:tc>
          <w:tcPr>
            <w:tcW w:type="dxa" w:w="33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12 categories, ~10,800 images, complex scenes, multiple instances</w:t>
            </w:r>
          </w:p>
        </w:tc>
        <w:tc>
          <w:tcPr>
            <w:tcW w:type="dxa" w:w="19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Free (amazon-science/spot-diff) or anomalib auto-download</w:t>
            </w:r>
          </w:p>
        </w:tc>
        <w:tc>
          <w:tcPr>
            <w:tcW w:type="dxa" w:w="19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Generalisation benchmark</w:t>
            </w:r>
          </w:p>
        </w:tc>
      </w:tr>
      <w:tr>
        <w:tc>
          <w:tcPr>
            <w:tcW w:type="dxa" w:w="19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NEU-DET [8]</w:t>
            </w:r>
          </w:p>
        </w:tc>
        <w:tc>
          <w:tcPr>
            <w:tcW w:type="dxa" w:w="33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6 steel-surface defect classes, 1,800 images</w:t>
            </w:r>
          </w:p>
        </w:tc>
        <w:tc>
          <w:tcPr>
            <w:tcW w:type="dxa" w:w="19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Free, Kaggle mirror</w:t>
            </w:r>
          </w:p>
        </w:tc>
        <w:tc>
          <w:tcPr>
            <w:tcW w:type="dxa" w:w="19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Cross-domain transfer track</w:t>
            </w:r>
          </w:p>
        </w:tc>
      </w:tr>
      <w:tr>
        <w:tc>
          <w:tcPr>
            <w:tcW w:type="dxa" w:w="19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MPDD [9]</w:t>
            </w:r>
          </w:p>
        </w:tc>
        <w:tc>
          <w:tcPr>
            <w:tcW w:type="dxa" w:w="33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Metal parts under varied lighting/orientation</w:t>
            </w:r>
          </w:p>
        </w:tc>
        <w:tc>
          <w:tcPr>
            <w:tcW w:type="dxa" w:w="19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Free, GitHub (stepanje/MPDD)</w:t>
            </w:r>
          </w:p>
        </w:tc>
        <w:tc>
          <w:tcPr>
            <w:tcW w:type="dxa" w:w="19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Optional hard mode; closest to MSME capture conditions</w:t>
            </w:r>
          </w:p>
        </w:tc>
      </w:tr>
      <w:tr>
        <w:tc>
          <w:tcPr>
            <w:tcW w:type="dxa" w:w="19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Few-shot splits</w:t>
            </w:r>
          </w:p>
        </w:tc>
        <w:tc>
          <w:tcPr>
            <w:tcW w:type="dxa" w:w="33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0/1/5/10-shot subsamples, seeded, manifested in Git</w:t>
            </w:r>
          </w:p>
        </w:tc>
        <w:tc>
          <w:tcPr>
            <w:tcW w:type="dxa" w:w="19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Generated Week 1</w:t>
            </w:r>
          </w:p>
        </w:tc>
        <w:tc>
          <w:tcPr>
            <w:tcW w:type="dxa" w:w="19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The frozen protocol every experiment consumes</w:t>
            </w:r>
          </w:p>
        </w:tc>
      </w:tr>
      <w:tr>
        <w:tc>
          <w:tcPr>
            <w:tcW w:type="dxa" w:w="19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Pretrained encoders</w:t>
            </w:r>
          </w:p>
        </w:tc>
        <w:tc>
          <w:tcPr>
            <w:tcW w:type="dxa" w:w="33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OpenCLIP ViT-B/32, ViT-B/16 (primary), ViT-L/14</w:t>
            </w:r>
          </w:p>
        </w:tc>
        <w:tc>
          <w:tcPr>
            <w:tcW w:type="dxa" w:w="19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Free, open_clip / Hugging Face</w:t>
            </w:r>
          </w:p>
        </w:tc>
        <w:tc>
          <w:tcPr>
            <w:tcW w:type="dxa" w:w="19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Frozen detection backbones, used as pretrained black boxes</w:t>
            </w:r>
          </w:p>
        </w:tc>
      </w:tr>
      <w:tr>
        <w:tc>
          <w:tcPr>
            <w:tcW w:type="dxa" w:w="19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Baseline checkpoints</w:t>
            </w:r>
          </w:p>
        </w:tc>
        <w:tc>
          <w:tcPr>
            <w:tcW w:type="dxa" w:w="33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WinCLIP &amp; AnomalyCLIP official/community repos; PatchCore via anomalib</w:t>
            </w:r>
          </w:p>
        </w:tc>
        <w:tc>
          <w:tcPr>
            <w:tcW w:type="dxa" w:w="19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Free, GitHub / PyPI</w:t>
            </w:r>
          </w:p>
        </w:tc>
        <w:tc>
          <w:tcPr>
            <w:tcW w:type="dxa" w:w="19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Reproduced reference systems</w:t>
            </w:r>
          </w:p>
        </w:tc>
      </w:tr>
    </w:tbl>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Why these substrates</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Every dataset is public, free, and downloadable programmatically — nothing requires physical acquisition, registration fees, or private agreements. MVTec AD and VisA carry the pixel masks that make localisation claims checkable; NEU-DET tests whether the method survives a domain change (steel surfaces) without re-engineering; MPDD's varied lighting and orientation is the closest public proxy for how an MSME would actually photograph parts. The seeded subsampling protocol keeps every number directly comparable to the published few-shot literature.</w:t>
      </w:r>
    </w:p>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Ethics and licence position</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All datasets are used within their research licences, which is documented per dataset in a licence log. No human-subjects data, no personal data, and no proprietary factory imagery is collected or processed. The toolkit release ships dataset download scripts, not redistributed data, so no licence is violated by the release.</w:t>
      </w:r>
    </w:p>
    <w:p>
      <w:pPr>
        <w:pStyle w:val="Heading1"/>
        <w:spacing w:after="160" w:before="320"/>
      </w:pPr>
      <w:r>
        <w:rPr>
          <w:rFonts w:ascii="Calibri" w:cs="Calibri" w:eastAsia="Calibri" w:hAnsi="Calibri"/>
          <w:b/>
          <w:bCs/>
          <w:color w:val="1F5C73"/>
          <w:sz w:val="30"/>
          <w:szCs w:val="30"/>
        </w:rPr>
        <w:t xml:space="preserve">15. Baselines and Evaluation Metrics</w:t>
      </w:r>
    </w:p>
    <w:p>
      <w:pPr>
        <w:pStyle w:val="Heading2"/>
        <w:spacing w:after="120" w:before="220"/>
      </w:pPr>
      <w:r>
        <w:rPr>
          <w:rFonts w:ascii="Calibri" w:cs="Calibri" w:eastAsia="Calibri" w:hAnsi="Calibri"/>
          <w:b/>
          <w:bCs/>
          <w:color w:val="2E7A96"/>
          <w:sz w:val="24"/>
          <w:szCs w:val="24"/>
        </w:rPr>
        <w:t xml:space="preserve">15.1 Baselines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Baseline</w:t>
            </w:r>
          </w:p>
        </w:tc>
        <w:tc>
          <w:tcPr>
            <w:tcW w:type="dxa" w:w="54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Purpose</w:t>
            </w:r>
          </w:p>
        </w:tc>
      </w:tr>
      <w:tr>
        <w:tc>
          <w:tcPr>
            <w:tcW w:type="dxa" w:w="36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Published WinCLIP zero/1/5/10-shot numbers (MVTec AD, VisA)</w:t>
            </w:r>
          </w:p>
        </w:tc>
        <w:tc>
          <w:tcPr>
            <w:tcW w:type="dxa" w:w="54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Validates the reproduction pipeline before any novel number is trusted</w:t>
            </w:r>
          </w:p>
        </w:tc>
      </w:tr>
      <w:tr>
        <w:tc>
          <w:tcPr>
            <w:tcW w:type="dxa" w:w="36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AnomalyCLIP zero-shot</w:t>
            </w:r>
          </w:p>
        </w:tc>
        <w:tc>
          <w:tcPr>
            <w:tcW w:type="dxa" w:w="54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Second independent CLIP-based reference point</w:t>
            </w:r>
          </w:p>
        </w:tc>
      </w:tr>
      <w:tr>
        <w:tc>
          <w:tcPr>
            <w:tcW w:type="dxa" w:w="36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PatchCore via anomalib</w:t>
            </w:r>
          </w:p>
        </w:tc>
        <w:tc>
          <w:tcPr>
            <w:tcW w:type="dxa" w:w="54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Strongest classical few-shot baseline; also validates the evaluation harness in Week 1</w:t>
            </w:r>
          </w:p>
        </w:tc>
      </w:tr>
      <w:tr>
        <w:tc>
          <w:tcPr>
            <w:tcW w:type="dxa" w:w="36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Prototype-only configuration (no adapter)</w:t>
            </w:r>
          </w:p>
        </w:tc>
        <w:tc>
          <w:tcPr>
            <w:tcW w:type="dxa" w:w="54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Ablation control isolating what the adapter contributes</w:t>
            </w:r>
          </w:p>
        </w:tc>
      </w:tr>
      <w:tr>
        <w:tc>
          <w:tcPr>
            <w:tcW w:type="dxa" w:w="36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Prototype + adapter (proposed)</w:t>
            </w:r>
          </w:p>
        </w:tc>
        <w:tc>
          <w:tcPr>
            <w:tcW w:type="dxa" w:w="54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The primary system, profiled across the full grid</w:t>
            </w:r>
          </w:p>
        </w:tc>
      </w:tr>
      <w:tr>
        <w:tc>
          <w:tcPr>
            <w:tcW w:type="dxa" w:w="36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Baseline CPU-cost profiles</w:t>
            </w:r>
          </w:p>
        </w:tc>
        <w:tc>
          <w:tcPr>
            <w:tcW w:type="dxa" w:w="54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The "before" numbers for the efficiency claim — encoder calls, FLOPs, latency under the shared harness</w:t>
            </w:r>
          </w:p>
        </w:tc>
      </w:tr>
    </w:tbl>
    <w:p>
      <w:pPr>
        <w:pStyle w:val="Heading2"/>
        <w:spacing w:after="120" w:before="220"/>
      </w:pPr>
      <w:r>
        <w:rPr>
          <w:rFonts w:ascii="Calibri" w:cs="Calibri" w:eastAsia="Calibri" w:hAnsi="Calibri"/>
          <w:b/>
          <w:bCs/>
          <w:color w:val="2E7A96"/>
          <w:sz w:val="24"/>
          <w:szCs w:val="24"/>
        </w:rPr>
        <w:t xml:space="preserve">15.2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Metric</w:t>
            </w:r>
          </w:p>
        </w:tc>
        <w:tc>
          <w:tcPr>
            <w:tcW w:type="dxa" w:w="58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What it measures</w:t>
            </w:r>
          </w:p>
        </w:tc>
      </w:tr>
      <w:tr>
        <w:tc>
          <w:tcPr>
            <w:tcW w:type="dxa" w:w="32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Image-level AUROC</w:t>
            </w:r>
          </w:p>
        </w:tc>
        <w:tc>
          <w:tcPr>
            <w:tcW w:type="dxa" w:w="58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Primary detection quality per category, standard in the field</w:t>
            </w:r>
          </w:p>
        </w:tc>
      </w:tr>
      <w:tr>
        <w:tc>
          <w:tcPr>
            <w:tcW w:type="dxa" w:w="32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Pixel-level AUROC and F1-max</w:t>
            </w:r>
          </w:p>
        </w:tc>
        <w:tc>
          <w:tcPr>
            <w:tcW w:type="dxa" w:w="58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Localisation quality against ground-truth masks</w:t>
            </w:r>
          </w:p>
        </w:tc>
      </w:tr>
      <w:tr>
        <w:tc>
          <w:tcPr>
            <w:tcW w:type="dxa" w:w="32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CPU latency (ms)</w:t>
            </w:r>
          </w:p>
        </w:tc>
        <w:tc>
          <w:tcPr>
            <w:tcW w:type="dxa" w:w="58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Median of 20 timed runs after warm-up, per image, laptop CPU, per backbone × precision</w:t>
            </w:r>
          </w:p>
        </w:tc>
      </w:tr>
      <w:tr>
        <w:tc>
          <w:tcPr>
            <w:tcW w:type="dxa" w:w="32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Peak RAM (MB)</w:t>
            </w:r>
          </w:p>
        </w:tc>
        <w:tc>
          <w:tcPr>
            <w:tcW w:type="dxa" w:w="58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psutil/tracemalloc during inference</w:t>
            </w:r>
          </w:p>
        </w:tc>
      </w:tr>
      <w:tr>
        <w:tc>
          <w:tcPr>
            <w:tcW w:type="dxa" w:w="32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FLOPs and parameter count</w:t>
            </w:r>
          </w:p>
        </w:tc>
        <w:tc>
          <w:tcPr>
            <w:tcW w:type="dxa" w:w="58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fvcore/thop; the hardware-independent cost axes</w:t>
            </w:r>
          </w:p>
        </w:tc>
      </w:tr>
      <w:tr>
        <w:tc>
          <w:tcPr>
            <w:tcW w:type="dxa" w:w="32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Model size on disk (MB)</w:t>
            </w:r>
          </w:p>
        </w:tc>
        <w:tc>
          <w:tcPr>
            <w:tcW w:type="dxa" w:w="58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FP32 vs INT8 artefact sizes</w:t>
            </w:r>
          </w:p>
        </w:tc>
      </w:tr>
      <w:tr>
        <w:tc>
          <w:tcPr>
            <w:tcW w:type="dxa" w:w="32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FP32→INT8 accuracy delta</w:t>
            </w:r>
          </w:p>
        </w:tc>
        <w:tc>
          <w:tcPr>
            <w:tcW w:type="dxa" w:w="58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The quantization cost, reported per backbone and dataset</w:t>
            </w:r>
          </w:p>
        </w:tc>
      </w:tr>
      <w:tr>
        <w:tc>
          <w:tcPr>
            <w:tcW w:type="dxa" w:w="32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Append cost and delta</w:t>
            </w:r>
          </w:p>
        </w:tc>
        <w:tc>
          <w:tcPr>
            <w:tcW w:type="dxa" w:w="58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Wall-clock CPU seconds to append a class; accuracy vs from-scratch adaptation</w:t>
            </w:r>
          </w:p>
        </w:tc>
      </w:tr>
      <w:tr>
        <w:tc>
          <w:tcPr>
            <w:tcW w:type="dxa" w:w="32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Cost/feasibility table</w:t>
            </w:r>
          </w:p>
        </w:tc>
        <w:tc>
          <w:tcPr>
            <w:tcW w:type="dxa" w:w="58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Free-tier hours consumed, per-image laptop inference cost, comparison line against commercial machine-vision pricing</w:t>
            </w:r>
          </w:p>
        </w:tc>
      </w:tr>
    </w:tbl>
    <w:p>
      <w:pPr>
        <w:pStyle w:val="Heading1"/>
        <w:spacing w:after="160" w:before="320"/>
      </w:pPr>
      <w:r>
        <w:rPr>
          <w:rFonts w:ascii="Calibri" w:cs="Calibri" w:eastAsia="Calibri" w:hAnsi="Calibri"/>
          <w:b/>
          <w:bCs/>
          <w:color w:val="1F5C73"/>
          <w:sz w:val="30"/>
          <w:szCs w:val="30"/>
        </w:rPr>
        <w:t xml:space="preserve">16. Experimental Protocol</w:t>
      </w:r>
    </w:p>
    <w:p>
      <w:pPr>
        <w:pStyle w:val="ListParagraph"/>
        <w:numPr>
          <w:ilvl w:val="0"/>
          <w:numId w:val="2"/>
        </w:numPr>
        <w:spacing w:after="100" w:line="270"/>
        <w:jc w:val="both"/>
      </w:pPr>
      <w:r>
        <w:rPr>
          <w:rFonts w:ascii="Calibri" w:cs="Calibri" w:eastAsia="Calibri" w:hAnsi="Calibri"/>
          <w:color w:val="222222"/>
          <w:sz w:val="21"/>
          <w:szCs w:val="21"/>
        </w:rPr>
        <w:t xml:space="preserve"/>
      </w:r>
      <w:r>
        <w:rPr>
          <w:rFonts w:ascii="Calibri" w:cs="Calibri" w:eastAsia="Calibri" w:hAnsi="Calibri"/>
          <w:b/>
          <w:bCs/>
          <w:color w:val="222222"/>
          <w:sz w:val="21"/>
          <w:szCs w:val="21"/>
        </w:rPr>
        <w:t xml:space="preserve">Reproduce the baselines</w:t>
      </w:r>
      <w:r>
        <w:rPr>
          <w:rFonts w:ascii="Calibri" w:cs="Calibri" w:eastAsia="Calibri" w:hAnsi="Calibri"/>
          <w:color w:val="222222"/>
          <w:sz w:val="21"/>
          <w:szCs w:val="21"/>
        </w:rPr>
        <w:t xml:space="preserve"> — run WinCLIP, AnomalyCLIP and PatchCore on the frozen splits and reconcile against published numbers within documented margins before anything else is trusted.</w:t>
      </w:r>
    </w:p>
    <w:p>
      <w:pPr>
        <w:pStyle w:val="ListParagraph"/>
        <w:numPr>
          <w:ilvl w:val="0"/>
          <w:numId w:val="2"/>
        </w:numPr>
        <w:spacing w:after="100" w:line="270"/>
        <w:jc w:val="both"/>
      </w:pPr>
      <w:r>
        <w:rPr>
          <w:rFonts w:ascii="Calibri" w:cs="Calibri" w:eastAsia="Calibri" w:hAnsi="Calibri"/>
          <w:color w:val="222222"/>
          <w:sz w:val="21"/>
          <w:szCs w:val="21"/>
        </w:rPr>
        <w:t xml:space="preserve"/>
      </w:r>
      <w:r>
        <w:rPr>
          <w:rFonts w:ascii="Calibri" w:cs="Calibri" w:eastAsia="Calibri" w:hAnsi="Calibri"/>
          <w:b/>
          <w:bCs/>
          <w:color w:val="222222"/>
          <w:sz w:val="21"/>
          <w:szCs w:val="21"/>
        </w:rPr>
        <w:t xml:space="preserve">Establish the reference</w:t>
      </w:r>
      <w:r>
        <w:rPr>
          <w:rFonts w:ascii="Calibri" w:cs="Calibri" w:eastAsia="Calibri" w:hAnsi="Calibri"/>
          <w:color w:val="222222"/>
          <w:sz w:val="21"/>
          <w:szCs w:val="21"/>
        </w:rPr>
        <w:t xml:space="preserve"> — evaluate the prototype-only and prototype+adapter configurations on MVTec AD, then VisA, at all shot counts, producing accuracy results v1.</w:t>
      </w:r>
    </w:p>
    <w:p>
      <w:pPr>
        <w:pStyle w:val="ListParagraph"/>
        <w:numPr>
          <w:ilvl w:val="0"/>
          <w:numId w:val="2"/>
        </w:numPr>
        <w:spacing w:after="100" w:line="270"/>
        <w:jc w:val="both"/>
      </w:pPr>
      <w:r>
        <w:rPr>
          <w:rFonts w:ascii="Calibri" w:cs="Calibri" w:eastAsia="Calibri" w:hAnsi="Calibri"/>
          <w:color w:val="222222"/>
          <w:sz w:val="21"/>
          <w:szCs w:val="21"/>
        </w:rPr>
        <w:t xml:space="preserve"/>
      </w:r>
      <w:r>
        <w:rPr>
          <w:rFonts w:ascii="Calibri" w:cs="Calibri" w:eastAsia="Calibri" w:hAnsi="Calibri"/>
          <w:b/>
          <w:bCs/>
          <w:color w:val="222222"/>
          <w:sz w:val="21"/>
          <w:szCs w:val="21"/>
        </w:rPr>
        <w:t xml:space="preserve">Freeze the architecture</w:t>
      </w:r>
      <w:r>
        <w:rPr>
          <w:rFonts w:ascii="Calibri" w:cs="Calibri" w:eastAsia="Calibri" w:hAnsi="Calibri"/>
          <w:color w:val="222222"/>
          <w:sz w:val="21"/>
          <w:szCs w:val="21"/>
        </w:rPr>
        <w:t xml:space="preserve"> — after the Week-4 midpoint gate, no architectural change is permitted; all later work measures the frozen system.</w:t>
      </w:r>
    </w:p>
    <w:p>
      <w:pPr>
        <w:pStyle w:val="ListParagraph"/>
        <w:numPr>
          <w:ilvl w:val="0"/>
          <w:numId w:val="2"/>
        </w:numPr>
        <w:spacing w:after="100" w:line="270"/>
        <w:jc w:val="both"/>
      </w:pPr>
      <w:r>
        <w:rPr>
          <w:rFonts w:ascii="Calibri" w:cs="Calibri" w:eastAsia="Calibri" w:hAnsi="Calibri"/>
          <w:color w:val="222222"/>
          <w:sz w:val="21"/>
          <w:szCs w:val="21"/>
        </w:rPr>
        <w:t xml:space="preserve"/>
      </w:r>
      <w:r>
        <w:rPr>
          <w:rFonts w:ascii="Calibri" w:cs="Calibri" w:eastAsia="Calibri" w:hAnsi="Calibri"/>
          <w:b/>
          <w:bCs/>
          <w:color w:val="222222"/>
          <w:sz w:val="21"/>
          <w:szCs w:val="21"/>
        </w:rPr>
        <w:t xml:space="preserve">Traverse the cost axes</w:t>
      </w:r>
      <w:r>
        <w:rPr>
          <w:rFonts w:ascii="Calibri" w:cs="Calibri" w:eastAsia="Calibri" w:hAnsi="Calibri"/>
          <w:color w:val="222222"/>
          <w:sz w:val="21"/>
          <w:szCs w:val="21"/>
        </w:rPr>
        <w:t xml:space="preserve"> — export to ONNX, verify fidelity on the 50-image probe, quantize to INT8, and run the profiling harness across the full backbone × precision × shot grid.</w:t>
      </w:r>
    </w:p>
    <w:p>
      <w:pPr>
        <w:pStyle w:val="ListParagraph"/>
        <w:numPr>
          <w:ilvl w:val="0"/>
          <w:numId w:val="2"/>
        </w:numPr>
        <w:spacing w:after="100" w:line="270"/>
        <w:jc w:val="both"/>
      </w:pPr>
      <w:r>
        <w:rPr>
          <w:rFonts w:ascii="Calibri" w:cs="Calibri" w:eastAsia="Calibri" w:hAnsi="Calibri"/>
          <w:color w:val="222222"/>
          <w:sz w:val="21"/>
          <w:szCs w:val="21"/>
        </w:rPr>
        <w:t xml:space="preserve"/>
      </w:r>
      <w:r>
        <w:rPr>
          <w:rFonts w:ascii="Calibri" w:cs="Calibri" w:eastAsia="Calibri" w:hAnsi="Calibri"/>
          <w:b/>
          <w:bCs/>
          <w:color w:val="222222"/>
          <w:sz w:val="21"/>
          <w:szCs w:val="21"/>
        </w:rPr>
        <w:t xml:space="preserve">Test incrementality</w:t>
      </w:r>
      <w:r>
        <w:rPr>
          <w:rFonts w:ascii="Calibri" w:cs="Calibri" w:eastAsia="Calibri" w:hAnsi="Calibri"/>
          <w:color w:val="222222"/>
          <w:sz w:val="21"/>
          <w:szCs w:val="21"/>
        </w:rPr>
        <w:t xml:space="preserve"> — hold out 2–3 classes, append via prototype memory with no retraining, and measure accuracy, regression, and CPU append time against from-scratch adaptation.</w:t>
      </w:r>
    </w:p>
    <w:p>
      <w:pPr>
        <w:pStyle w:val="ListParagraph"/>
        <w:numPr>
          <w:ilvl w:val="0"/>
          <w:numId w:val="2"/>
        </w:numPr>
        <w:spacing w:after="100" w:line="270"/>
        <w:jc w:val="both"/>
      </w:pPr>
      <w:r>
        <w:rPr>
          <w:rFonts w:ascii="Calibri" w:cs="Calibri" w:eastAsia="Calibri" w:hAnsi="Calibri"/>
          <w:color w:val="222222"/>
          <w:sz w:val="21"/>
          <w:szCs w:val="21"/>
        </w:rPr>
        <w:t xml:space="preserve"/>
      </w:r>
      <w:r>
        <w:rPr>
          <w:rFonts w:ascii="Calibri" w:cs="Calibri" w:eastAsia="Calibri" w:hAnsi="Calibri"/>
          <w:b/>
          <w:bCs/>
          <w:color w:val="222222"/>
          <w:sz w:val="21"/>
          <w:szCs w:val="21"/>
        </w:rPr>
        <w:t xml:space="preserve">Cross the domain</w:t>
      </w:r>
      <w:r>
        <w:rPr>
          <w:rFonts w:ascii="Calibri" w:cs="Calibri" w:eastAsia="Calibri" w:hAnsi="Calibri"/>
          <w:color w:val="222222"/>
          <w:sz w:val="21"/>
          <w:szCs w:val="21"/>
        </w:rPr>
        <w:t xml:space="preserve"> — run the frozen system on NEU-DET (and MPDD if on schedule) to measure transfer beyond the tuning benchmarks.</w:t>
      </w:r>
    </w:p>
    <w:p>
      <w:pPr>
        <w:pStyle w:val="ListParagraph"/>
        <w:numPr>
          <w:ilvl w:val="0"/>
          <w:numId w:val="2"/>
        </w:numPr>
        <w:spacing w:after="100" w:line="270"/>
        <w:jc w:val="both"/>
      </w:pPr>
      <w:r>
        <w:rPr>
          <w:rFonts w:ascii="Calibri" w:cs="Calibri" w:eastAsia="Calibri" w:hAnsi="Calibri"/>
          <w:color w:val="222222"/>
          <w:sz w:val="21"/>
          <w:szCs w:val="21"/>
        </w:rPr>
        <w:t xml:space="preserve"/>
      </w:r>
      <w:r>
        <w:rPr>
          <w:rFonts w:ascii="Calibri" w:cs="Calibri" w:eastAsia="Calibri" w:hAnsi="Calibri"/>
          <w:b/>
          <w:bCs/>
          <w:color w:val="222222"/>
          <w:sz w:val="21"/>
          <w:szCs w:val="21"/>
        </w:rPr>
        <w:t xml:space="preserve">Ablate</w:t>
      </w:r>
      <w:r>
        <w:rPr>
          <w:rFonts w:ascii="Calibri" w:cs="Calibri" w:eastAsia="Calibri" w:hAnsi="Calibri"/>
          <w:color w:val="222222"/>
          <w:sz w:val="21"/>
          <w:szCs w:val="21"/>
        </w:rPr>
        <w:t xml:space="preserve"> — prototype-only vs adapter; image-vs-text-vs-fused prototypes; single-pass vs windowed scoring; backbone-size sweep — each on cached features, each regenerable by a one-command script.</w:t>
      </w:r>
    </w:p>
    <w:p>
      <w:pPr>
        <w:pStyle w:val="ListParagraph"/>
        <w:numPr>
          <w:ilvl w:val="0"/>
          <w:numId w:val="2"/>
        </w:numPr>
        <w:spacing w:after="100" w:line="270"/>
        <w:jc w:val="both"/>
      </w:pPr>
      <w:r>
        <w:rPr>
          <w:rFonts w:ascii="Calibri" w:cs="Calibri" w:eastAsia="Calibri" w:hAnsi="Calibri"/>
          <w:color w:val="222222"/>
          <w:sz w:val="21"/>
          <w:szCs w:val="21"/>
        </w:rPr>
        <w:t xml:space="preserve"/>
      </w:r>
      <w:r>
        <w:rPr>
          <w:rFonts w:ascii="Calibri" w:cs="Calibri" w:eastAsia="Calibri" w:hAnsi="Calibri"/>
          <w:b/>
          <w:bCs/>
          <w:color w:val="222222"/>
          <w:sz w:val="21"/>
          <w:szCs w:val="21"/>
        </w:rPr>
        <w:t xml:space="preserve">Freeze and manifest</w:t>
      </w:r>
      <w:r>
        <w:rPr>
          <w:rFonts w:ascii="Calibri" w:cs="Calibri" w:eastAsia="Calibri" w:hAnsi="Calibri"/>
          <w:color w:val="222222"/>
          <w:sz w:val="21"/>
          <w:szCs w:val="21"/>
        </w:rPr>
        <w:t xml:space="preserve"> — all results freeze against a figure-by-figure manifest at the end of Week 7; no new experiments after the freeze.</w:t>
      </w:r>
    </w:p>
    <w:p>
      <w:pPr>
        <w:pStyle w:val="Heading1"/>
        <w:spacing w:after="160" w:before="320"/>
      </w:pPr>
      <w:r>
        <w:rPr>
          <w:rFonts w:ascii="Calibri" w:cs="Calibri" w:eastAsia="Calibri" w:hAnsi="Calibri"/>
          <w:b/>
          <w:bCs/>
          <w:color w:val="1F5C73"/>
          <w:sz w:val="30"/>
          <w:szCs w:val="30"/>
        </w:rPr>
        <w:t xml:space="preserve">17. Implementation and Compute Strategy</w:t>
      </w:r>
    </w:p>
    <w:p>
      <w:pPr>
        <w:spacing w:after="140" w:line="276"/>
        <w:jc w:val="both"/>
      </w:pPr>
      <w:r>
        <w:rPr>
          <w:rFonts w:ascii="Calibri" w:cs="Calibri" w:eastAsia="Calibri" w:hAnsi="Calibri"/>
          <w:color w:val="222222"/>
          <w:sz w:val="21"/>
          <w:szCs w:val="21"/>
        </w:rPr>
        <w:t xml:space="preserve">The implementation is a modular Python and PyTorch package built on open_clip_torch, anomalib, ONNX Runtime and standard scientific tooling. Because it uses frozen encoders with cached features rather than training models, it runs within a personal laptop and free-tier cloud sessions, and all experiments are driven by version-controlled configuration files.</w:t>
      </w:r>
    </w:p>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The strategy that makes the scope affordable</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Expensive artefacts are computed once and cached. Each backbone's features are extracted once into a </w:t>
      </w:r>
      <w:r>
        <w:rPr>
          <w:rFonts w:ascii="Calibri" w:cs="Calibri" w:eastAsia="Calibri" w:hAnsi="Calibri"/>
          <w:b/>
          <w:bCs/>
          <w:color w:val="222222"/>
          <w:sz w:val="20"/>
          <w:szCs w:val="20"/>
        </w:rPr>
        <w:t xml:space="preserve">feature bank</w:t>
      </w:r>
      <w:r>
        <w:rPr>
          <w:rFonts w:ascii="Calibri" w:cs="Calibri" w:eastAsia="Calibri" w:hAnsi="Calibri"/>
          <w:color w:val="222222"/>
          <w:sz w:val="20"/>
          <w:szCs w:val="20"/>
        </w:rPr>
        <w:t xml:space="preserve">; every subsequent adapter sweep, evaluation, ablation and analysis run operates on cached features and needs little or no GPU — adapter training takes minutes on a CPU. Free Colab/Kaggle GPU sessions are used opportunistically in Weeks 1–3 to speed feature extraction and sweeps, but are never a hard dependency: if quota vanishes, everything after Week 2 still runs on the laptop.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Component</w:t>
            </w:r>
          </w:p>
        </w:tc>
        <w:tc>
          <w:tcPr>
            <w:tcW w:type="dxa" w:w="64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Description</w:t>
            </w:r>
          </w:p>
        </w:tc>
      </w:tr>
      <w:tr>
        <w:tc>
          <w:tcPr>
            <w:tcW w:type="dxa" w:w="26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Language and framework</w:t>
            </w:r>
          </w:p>
        </w:tc>
        <w:tc>
          <w:tcPr>
            <w:tcW w:type="dxa" w:w="64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Python 3.10+, PyTorch (adapter training only), open_clip_torch / Hugging Face</w:t>
            </w:r>
          </w:p>
        </w:tc>
      </w:tr>
      <w:tr>
        <w:tc>
          <w:tcPr>
            <w:tcW w:type="dxa" w:w="26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Detection backbone</w:t>
            </w:r>
          </w:p>
        </w:tc>
        <w:tc>
          <w:tcPr>
            <w:tcW w:type="dxa" w:w="64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OpenCLIP ViT-B/16 (primary, frozen); ViT-B/32 and ViT-L/14 as ablation variants</w:t>
            </w:r>
          </w:p>
        </w:tc>
      </w:tr>
      <w:tr>
        <w:tc>
          <w:tcPr>
            <w:tcW w:type="dxa" w:w="26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Few-shot / adapter</w:t>
            </w:r>
          </w:p>
        </w:tc>
        <w:tc>
          <w:tcPr>
            <w:tcW w:type="dxa" w:w="64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Prototype memory (NumPy/PyTorch); lightweight linear/bottleneck adapter with Tip-Adapter-style initialisation</w:t>
            </w:r>
          </w:p>
        </w:tc>
      </w:tr>
      <w:tr>
        <w:tc>
          <w:tcPr>
            <w:tcW w:type="dxa" w:w="26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Baseline references</w:t>
            </w:r>
          </w:p>
        </w:tc>
        <w:tc>
          <w:tcPr>
            <w:tcW w:type="dxa" w:w="64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WinCLIP and AnomalyCLIP official/community repos; PatchCore via anomalib</w:t>
            </w:r>
          </w:p>
        </w:tc>
      </w:tr>
      <w:tr>
        <w:tc>
          <w:tcPr>
            <w:tcW w:type="dxa" w:w="26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Data handling</w:t>
            </w:r>
          </w:p>
        </w:tc>
        <w:tc>
          <w:tcPr>
            <w:tcW w:type="dxa" w:w="64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anomalib (auto-download + eval), pandas, opencv-python, Pillow, albumentations</w:t>
            </w:r>
          </w:p>
        </w:tc>
      </w:tr>
      <w:tr>
        <w:tc>
          <w:tcPr>
            <w:tcW w:type="dxa" w:w="26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Export / compression</w:t>
            </w:r>
          </w:p>
        </w:tc>
        <w:tc>
          <w:tcPr>
            <w:tcW w:type="dxa" w:w="64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ONNX export; INT8 post-training quantization (dynamic + static) via ONNX Runtime CPU execution provider</w:t>
            </w:r>
          </w:p>
        </w:tc>
      </w:tr>
      <w:tr>
        <w:tc>
          <w:tcPr>
            <w:tcW w:type="dxa" w:w="26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Profiling harness</w:t>
            </w:r>
          </w:p>
        </w:tc>
        <w:tc>
          <w:tcPr>
            <w:tcW w:type="dxa" w:w="64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Scripted CPU latency (median of 20), peak RAM (psutil/tracemalloc), FLOPs/params (fvcore/thop), disk size → CSV</w:t>
            </w:r>
          </w:p>
        </w:tc>
      </w:tr>
      <w:tr>
        <w:tc>
          <w:tcPr>
            <w:tcW w:type="dxa" w:w="26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Experiment tracking</w:t>
            </w:r>
          </w:p>
        </w:tc>
        <w:tc>
          <w:tcPr>
            <w:tcW w:type="dxa" w:w="64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Weights &amp; Biases or MLflow (free tier); fixed seeds and split manifests in Git</w:t>
            </w:r>
          </w:p>
        </w:tc>
      </w:tr>
      <w:tr>
        <w:tc>
          <w:tcPr>
            <w:tcW w:type="dxa" w:w="26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Compute profile</w:t>
            </w:r>
          </w:p>
        </w:tc>
        <w:tc>
          <w:tcPr>
            <w:tcW w:type="dxa" w:w="64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Personal laptop (CPU); Google Colab free tier; Kaggle Notebooks (30 GPU-hrs/week) — no paid instances, no purchased hardware</w:t>
            </w:r>
          </w:p>
        </w:tc>
      </w:tr>
      <w:tr>
        <w:tc>
          <w:tcPr>
            <w:tcW w:type="dxa" w:w="26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Demo</w:t>
            </w:r>
          </w:p>
        </w:tc>
        <w:tc>
          <w:tcPr>
            <w:tcW w:type="dxa" w:w="64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Streamlit or FastAPI + simple HTML front-end, run locally: upload an image → verdict + heat-map; live class-append from images + description</w:t>
            </w:r>
          </w:p>
        </w:tc>
      </w:tr>
      <w:tr>
        <w:tc>
          <w:tcPr>
            <w:tcW w:type="dxa" w:w="26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Reproducibility</w:t>
            </w:r>
          </w:p>
        </w:tc>
        <w:tc>
          <w:tcPr>
            <w:tcW w:type="dxa" w:w="64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Configuration-driven runs, pinned environment, one-command scripts per figure, tagged release, zero-setup Colab notebook</w:t>
            </w:r>
          </w:p>
        </w:tc>
      </w:tr>
    </w:tbl>
    <w:p>
      <w:r>
        <w:br w:type="page"/>
      </w:r>
    </w:p>
    <w:p>
      <w:pPr>
        <w:pStyle w:val="Heading1"/>
        <w:spacing w:after="160" w:before="320"/>
      </w:pPr>
      <w:r>
        <w:rPr>
          <w:rFonts w:ascii="Calibri" w:cs="Calibri" w:eastAsia="Calibri" w:hAnsi="Calibri"/>
          <w:b/>
          <w:bCs/>
          <w:color w:val="1F5C73"/>
          <w:sz w:val="30"/>
          <w:szCs w:val="30"/>
        </w:rPr>
        <w:t xml:space="preserve">18. Work Plan and Task Allocation</w:t>
      </w:r>
    </w:p>
    <w:p>
      <w:pPr>
        <w:spacing w:after="140" w:line="276"/>
        <w:jc w:val="both"/>
      </w:pPr>
      <w:r>
        <w:rPr>
          <w:rFonts w:ascii="Calibri" w:cs="Calibri" w:eastAsia="Calibri" w:hAnsi="Calibri"/>
          <w:color w:val="222222"/>
          <w:sz w:val="21"/>
          <w:szCs w:val="21"/>
        </w:rPr>
        <w:t xml:space="preserve">The project is executed by a </w:t>
      </w:r>
      <w:r>
        <w:rPr>
          <w:rFonts w:ascii="Calibri" w:cs="Calibri" w:eastAsia="Calibri" w:hAnsi="Calibri"/>
          <w:b/>
          <w:bCs/>
          <w:color w:val="222222"/>
          <w:sz w:val="21"/>
          <w:szCs w:val="21"/>
        </w:rPr>
        <w:t xml:space="preserve">two-member team over 8 weeks</w:t>
      </w:r>
      <w:r>
        <w:rPr>
          <w:rFonts w:ascii="Calibri" w:cs="Calibri" w:eastAsia="Calibri" w:hAnsi="Calibri"/>
          <w:color w:val="222222"/>
          <w:sz w:val="21"/>
          <w:szCs w:val="21"/>
        </w:rPr>
        <w:t xml:space="preserve">. Responsibility is divided along the natural seam of the system: </w:t>
      </w:r>
      <w:r>
        <w:rPr>
          <w:rFonts w:ascii="Calibri" w:cs="Calibri" w:eastAsia="Calibri" w:hAnsi="Calibri"/>
          <w:b/>
          <w:bCs/>
          <w:color w:val="222222"/>
          <w:sz w:val="21"/>
          <w:szCs w:val="21"/>
        </w:rPr>
        <w:t xml:space="preserve">Member A — Modelling &amp; Efficiency Lead</w:t>
      </w:r>
      <w:r>
        <w:rPr>
          <w:rFonts w:ascii="Calibri" w:cs="Calibri" w:eastAsia="Calibri" w:hAnsi="Calibri"/>
          <w:color w:val="222222"/>
          <w:sz w:val="21"/>
          <w:szCs w:val="21"/>
        </w:rPr>
        <w:t xml:space="preserve"> owns everything that decides what the model is and what it costs (baselines, detector architecture, adapter, ONNX export, quantization, method authoring); </w:t>
      </w:r>
      <w:r>
        <w:rPr>
          <w:rFonts w:ascii="Calibri" w:cs="Calibri" w:eastAsia="Calibri" w:hAnsi="Calibri"/>
          <w:b/>
          <w:bCs/>
          <w:color w:val="222222"/>
          <w:sz w:val="21"/>
          <w:szCs w:val="21"/>
        </w:rPr>
        <w:t xml:space="preserve">Member B — Data, Evaluation &amp; Dissemination Lead</w:t>
      </w:r>
      <w:r>
        <w:rPr>
          <w:rFonts w:ascii="Calibri" w:cs="Calibri" w:eastAsia="Calibri" w:hAnsi="Calibri"/>
          <w:color w:val="222222"/>
          <w:sz w:val="21"/>
          <w:szCs w:val="21"/>
        </w:rPr>
        <w:t xml:space="preserve"> owns everything the model runs on and is judged by (datasets, frozen splits, feature banks, evaluation and profiling harnesses, incrementality experiment, demo, release, manuscript logistics). Both members share the writing, and every headline number is cross-verified by the member who did not produce it.</w:t>
      </w:r>
    </w:p>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Division principle</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Member A</w:t>
      </w:r>
      <w:r>
        <w:rPr>
          <w:rFonts w:ascii="Calibri" w:cs="Calibri" w:eastAsia="Calibri" w:hAnsi="Calibri"/>
          <w:color w:val="222222"/>
          <w:sz w:val="20"/>
          <w:szCs w:val="20"/>
        </w:rPr>
        <w:t xml:space="preserve"> answers: does the model work, and what does it cost? (Workstream 1 + export/quantization from Workstream 2)</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Member B</w:t>
      </w:r>
      <w:r>
        <w:rPr>
          <w:rFonts w:ascii="Calibri" w:cs="Calibri" w:eastAsia="Calibri" w:hAnsi="Calibri"/>
          <w:color w:val="222222"/>
          <w:sz w:val="20"/>
          <w:szCs w:val="20"/>
        </w:rPr>
        <w:t xml:space="preserve"> answers: is the measurement trustworthy, and can the world use it? (Workstreams 2 and 3)</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Shared</w:t>
      </w:r>
      <w:r>
        <w:rPr>
          <w:rFonts w:ascii="Calibri" w:cs="Calibri" w:eastAsia="Calibri" w:hAnsi="Calibri"/>
          <w:color w:val="222222"/>
          <w:sz w:val="20"/>
          <w:szCs w:val="20"/>
        </w:rPr>
        <w:t xml:space="preserve"> — weekly integration, cross-verification of headline numbers, manuscript and report authoring, viva preparation.</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The interfaces between the two are the manifest format, the feature bank, and the split registry (Section 19): Member B produces them, Member A consumes them, and neither changes them unilaterally.</w:t>
      </w:r>
    </w:p>
    <w:p>
      <w:pPr>
        <w:pStyle w:val="Heading2"/>
        <w:spacing w:after="120" w:before="220"/>
      </w:pPr>
      <w:r>
        <w:rPr>
          <w:rFonts w:ascii="Calibri" w:cs="Calibri" w:eastAsia="Calibri" w:hAnsi="Calibri"/>
          <w:b/>
          <w:bCs/>
          <w:color w:val="2E7A96"/>
          <w:sz w:val="24"/>
          <w:szCs w:val="24"/>
        </w:rPr>
        <w:t xml:space="preserve">Workstream 1 — Methodology, Modelling and Scientific Direction (Member 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6100"/>
      </w:tblGrid>
      <w:tr>
        <w:tc>
          <w:tcPr>
            <w:tcW w:type="dxa" w:w="29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Task</w:t>
            </w:r>
          </w:p>
        </w:tc>
        <w:tc>
          <w:tcPr>
            <w:tcW w:type="dxa" w:w="61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Deliverable</w:t>
            </w:r>
          </w:p>
        </w:tc>
      </w:tr>
      <w:tr>
        <w:tc>
          <w:tcPr>
            <w:tcW w:type="dxa" w:w="29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T1.1 Baseline reproduction</w:t>
            </w:r>
          </w:p>
        </w:tc>
        <w:tc>
          <w:tcPr>
            <w:tcW w:type="dxa" w:w="61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WinCLIP / AnomalyCLIP / PatchCore runs reconciled against published numbers; validated pipeline</w:t>
            </w:r>
          </w:p>
        </w:tc>
      </w:tr>
      <w:tr>
        <w:tc>
          <w:tcPr>
            <w:tcW w:type="dxa" w:w="29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T1.2 Detector architecture</w:t>
            </w:r>
          </w:p>
        </w:tc>
        <w:tc>
          <w:tcPr>
            <w:tcW w:type="dxa" w:w="61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Frozen backbone + prototype memory + adapter behind one configuration interface; single-pass anomaly maps</w:t>
            </w:r>
          </w:p>
        </w:tc>
      </w:tr>
      <w:tr>
        <w:tc>
          <w:tcPr>
            <w:tcW w:type="dxa" w:w="29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T1.3 Adapter design</w:t>
            </w:r>
          </w:p>
        </w:tc>
        <w:tc>
          <w:tcPr>
            <w:tcW w:type="dxa" w:w="61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Tip-Adapter-style initialisation; rank/residual/temperature sweep on cached features; training-free fallback flag</w:t>
            </w:r>
          </w:p>
        </w:tc>
      </w:tr>
      <w:tr>
        <w:tc>
          <w:tcPr>
            <w:tcW w:type="dxa" w:w="29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T1.4 Export and quantization</w:t>
            </w:r>
          </w:p>
        </w:tc>
        <w:tc>
          <w:tcPr>
            <w:tcW w:type="dxa" w:w="61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ONNX export; 50-image fidelity probe; INT8 dynamic + static artefacts per backbone</w:t>
            </w:r>
          </w:p>
        </w:tc>
      </w:tr>
      <w:tr>
        <w:tc>
          <w:tcPr>
            <w:tcW w:type="dxa" w:w="29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T1.5 Freeze discipline</w:t>
            </w:r>
          </w:p>
        </w:tc>
        <w:tc>
          <w:tcPr>
            <w:tcW w:type="dxa" w:w="61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Architecture freeze at Week 4; results freeze against figure manifests at Week 7 (jointly with Member B)</w:t>
            </w:r>
          </w:p>
        </w:tc>
      </w:tr>
      <w:tr>
        <w:tc>
          <w:tcPr>
            <w:tcW w:type="dxa" w:w="29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T1.6 Technical authoring</w:t>
            </w:r>
          </w:p>
        </w:tc>
        <w:tc>
          <w:tcPr>
            <w:tcW w:type="dxa" w:w="61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Method and results sections of the preprint and the institutional report</w:t>
            </w:r>
          </w:p>
        </w:tc>
      </w:tr>
    </w:tbl>
    <w:p>
      <w:pPr>
        <w:pStyle w:val="Heading2"/>
        <w:spacing w:after="120" w:before="220"/>
      </w:pPr>
      <w:r>
        <w:rPr>
          <w:rFonts w:ascii="Calibri" w:cs="Calibri" w:eastAsia="Calibri" w:hAnsi="Calibri"/>
          <w:b/>
          <w:bCs/>
          <w:color w:val="2E7A96"/>
          <w:sz w:val="24"/>
          <w:szCs w:val="24"/>
        </w:rPr>
        <w:t xml:space="preserve">Workstream 2 — Data Engineering and Feature Infrastructure (Member 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6100"/>
      </w:tblGrid>
      <w:tr>
        <w:tc>
          <w:tcPr>
            <w:tcW w:type="dxa" w:w="29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Task</w:t>
            </w:r>
          </w:p>
        </w:tc>
        <w:tc>
          <w:tcPr>
            <w:tcW w:type="dxa" w:w="61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Deliverable</w:t>
            </w:r>
          </w:p>
        </w:tc>
      </w:tr>
      <w:tr>
        <w:tc>
          <w:tcPr>
            <w:tcW w:type="dxa" w:w="29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T2.1 Corpus acquisition</w:t>
            </w:r>
          </w:p>
        </w:tc>
        <w:tc>
          <w:tcPr>
            <w:tcW w:type="dxa" w:w="61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MVTec AD, VisA, NEU-DET downloaded programmatically; licence log; loaders written</w:t>
            </w:r>
          </w:p>
        </w:tc>
      </w:tr>
      <w:tr>
        <w:tc>
          <w:tcPr>
            <w:tcW w:type="dxa" w:w="29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T2.2 Frozen split generator</w:t>
            </w:r>
          </w:p>
        </w:tc>
        <w:tc>
          <w:tcPr>
            <w:tcW w:type="dxa" w:w="61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Seeded 0/1/5/10-shot splits with manifests version-controlled in Git</w:t>
            </w:r>
          </w:p>
        </w:tc>
      </w:tr>
      <w:tr>
        <w:tc>
          <w:tcPr>
            <w:tcW w:type="dxa" w:w="29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T2.3 Feature banks</w:t>
            </w:r>
          </w:p>
        </w:tc>
        <w:tc>
          <w:tcPr>
            <w:tcW w:type="dxa" w:w="61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Cached patch/CLS features per backbone (MVTec first, then VisA, NEU-DET) reused by every later run</w:t>
            </w:r>
          </w:p>
        </w:tc>
      </w:tr>
      <w:tr>
        <w:tc>
          <w:tcPr>
            <w:tcW w:type="dxa" w:w="29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T2.4 Split/class registry</w:t>
            </w:r>
          </w:p>
        </w:tc>
        <w:tc>
          <w:tcPr>
            <w:tcW w:type="dxa" w:w="61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One definition of every split and held-out class, disjointness checked by script</w:t>
            </w:r>
          </w:p>
        </w:tc>
      </w:tr>
    </w:tbl>
    <w:p>
      <w:pPr>
        <w:pStyle w:val="Heading2"/>
        <w:spacing w:after="120" w:before="220"/>
      </w:pPr>
      <w:r>
        <w:rPr>
          <w:rFonts w:ascii="Calibri" w:cs="Calibri" w:eastAsia="Calibri" w:hAnsi="Calibri"/>
          <w:b/>
          <w:bCs/>
          <w:color w:val="2E7A96"/>
          <w:sz w:val="24"/>
          <w:szCs w:val="24"/>
        </w:rPr>
        <w:t xml:space="preserve">Workstream 3 — Evaluation, Analysis and Dissemination (Member B, results adjudicated with Member 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6100"/>
      </w:tblGrid>
      <w:tr>
        <w:tc>
          <w:tcPr>
            <w:tcW w:type="dxa" w:w="29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Task</w:t>
            </w:r>
          </w:p>
        </w:tc>
        <w:tc>
          <w:tcPr>
            <w:tcW w:type="dxa" w:w="61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Deliverable</w:t>
            </w:r>
          </w:p>
        </w:tc>
      </w:tr>
      <w:tr>
        <w:tc>
          <w:tcPr>
            <w:tcW w:type="dxa" w:w="29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T3.1 Evaluation harness</w:t>
            </w:r>
          </w:p>
        </w:tc>
        <w:tc>
          <w:tcPr>
            <w:tcW w:type="dxa" w:w="61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Image/pixel AUROC and F1-max per category, validated against anomalib PatchCore in Week 1</w:t>
            </w:r>
          </w:p>
        </w:tc>
      </w:tr>
      <w:tr>
        <w:tc>
          <w:tcPr>
            <w:tcW w:type="dxa" w:w="29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T3.2 Profiling harness</w:t>
            </w:r>
          </w:p>
        </w:tc>
        <w:tc>
          <w:tcPr>
            <w:tcW w:type="dxa" w:w="61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Latency/RAM/FLOPs/size CSVs, scripted and unattended, identical for baselines and proposed model</w:t>
            </w:r>
          </w:p>
        </w:tc>
      </w:tr>
      <w:tr>
        <w:tc>
          <w:tcPr>
            <w:tcW w:type="dxa" w:w="29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T3.3 Frontier production</w:t>
            </w:r>
          </w:p>
        </w:tc>
        <w:tc>
          <w:tcPr>
            <w:tcW w:type="dxa" w:w="61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Accuracy-vs-compute frontier figures across the full grid; cost/feasibility table</w:t>
            </w:r>
          </w:p>
        </w:tc>
      </w:tr>
      <w:tr>
        <w:tc>
          <w:tcPr>
            <w:tcW w:type="dxa" w:w="29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T3.4 Incrementality experiment</w:t>
            </w:r>
          </w:p>
        </w:tc>
        <w:tc>
          <w:tcPr>
            <w:tcW w:type="dxa" w:w="61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Append-only class addition measured against from-scratch adaptation, with CPU timing</w:t>
            </w:r>
          </w:p>
        </w:tc>
      </w:tr>
      <w:tr>
        <w:tc>
          <w:tcPr>
            <w:tcW w:type="dxa" w:w="29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T3.5 Demo</w:t>
            </w:r>
          </w:p>
        </w:tc>
        <w:tc>
          <w:tcPr>
            <w:tcW w:type="dxa" w:w="61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Local Streamlit/FastAPI app: upload → verdict + heat-map; live class append rehearsed twice</w:t>
            </w:r>
          </w:p>
        </w:tc>
      </w:tr>
      <w:tr>
        <w:tc>
          <w:tcPr>
            <w:tcW w:type="dxa" w:w="29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T3.6 Release and manuscript logistics</w:t>
            </w:r>
          </w:p>
        </w:tc>
        <w:tc>
          <w:tcPr>
            <w:tcW w:type="dxa" w:w="61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Clean repo, one-command per-figure scripts, tagged release, Colab notebook, preprint formatting and submission, report and slides</w:t>
            </w:r>
          </w:p>
        </w:tc>
      </w:tr>
    </w:tbl>
    <w:p>
      <w:pPr>
        <w:pStyle w:val="Heading2"/>
        <w:spacing w:after="120" w:before="220"/>
      </w:pPr>
      <w:r>
        <w:rPr>
          <w:rFonts w:ascii="Calibri" w:cs="Calibri" w:eastAsia="Calibri" w:hAnsi="Calibri"/>
          <w:b/>
          <w:bCs/>
          <w:color w:val="2E7A96"/>
          <w:sz w:val="24"/>
          <w:szCs w:val="24"/>
        </w:rPr>
        <w:t xml:space="preserve">18.1 Week-wise division of work</w:t>
      </w:r>
    </w:p>
    <w:p>
      <w:pPr>
        <w:spacing w:after="140" w:line="276"/>
        <w:jc w:val="both"/>
      </w:pPr>
      <w:r>
        <w:rPr>
          <w:rFonts w:ascii="Calibri" w:cs="Calibri" w:eastAsia="Calibri" w:hAnsi="Calibri"/>
          <w:color w:val="222222"/>
          <w:sz w:val="21"/>
          <w:szCs w:val="21"/>
        </w:rPr>
        <w:t xml:space="preserve">The two members work in parallel every week; the table states what each member owns per week and the joint deliverable at week end. Sequencing follows the same rule as the phases: a defensible result exists by Week 4, and every later week adds rather than gates.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300"/>
        <w:gridCol w:w="1700"/>
      </w:tblGrid>
      <w:tr>
        <w:tc>
          <w:tcPr>
            <w:tcW w:type="dxa" w:w="7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Wk</w:t>
            </w:r>
          </w:p>
        </w:tc>
        <w:tc>
          <w:tcPr>
            <w:tcW w:type="dxa" w:w="33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Member A — Modelling &amp; Efficiency</w:t>
            </w:r>
          </w:p>
        </w:tc>
        <w:tc>
          <w:tcPr>
            <w:tcW w:type="dxa" w:w="33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Member B — Data, Evaluation &amp; Dissemination</w:t>
            </w:r>
          </w:p>
        </w:tc>
        <w:tc>
          <w:tcPr>
            <w:tcW w:type="dxa" w:w="17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Joint deliverable at week end</w:t>
            </w:r>
          </w:p>
        </w:tc>
      </w:tr>
      <w:tr>
        <w:tc>
          <w:tcPr>
            <w:tcW w:type="dxa" w:w="7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1</w:t>
            </w:r>
          </w:p>
        </w:tc>
        <w:tc>
          <w:tcPr>
            <w:tcW w:type="dxa" w:w="33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Repo skeleton + environment (PyTorch, open_clip, anomalib) on both laptops; mirror Colab/Kaggle notebooks for GPU bursts; validate one PatchCore category run against anomalib as the harness cross-check</w:t>
            </w:r>
          </w:p>
        </w:tc>
        <w:tc>
          <w:tcPr>
            <w:tcW w:type="dxa" w:w="33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Download MVTec AD, VisA, NEU-DET and write loaders; build the seeded 0/1/5/10-shot split generator (seeds recorded in Git); start the feature-bank extractor — MVTec ViT-B/16 cached, VisA started; draft the evaluation harness (image/pixel AUROC, F1-max)</w:t>
            </w:r>
          </w:p>
        </w:tc>
        <w:tc>
          <w:tcPr>
            <w:tcW w:type="dxa" w:w="17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Frozen few-shot protocol + MVTec feature bank + validated eval harness</w:t>
            </w:r>
          </w:p>
        </w:tc>
      </w:tr>
      <w:tr>
        <w:tc>
          <w:tcPr>
            <w:tcW w:type="dxa" w:w="7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2</w:t>
            </w:r>
          </w:p>
        </w:tc>
        <w:tc>
          <w:tcPr>
            <w:tcW w:type="dxa" w:w="33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Run WinCLIP zero/1/5/10-shot on MVTec AD and reconcile vs published numbers; run AnomalyCLIP zero-shot; run PatchCore on both datasets; begin drafting related-work section</w:t>
            </w:r>
          </w:p>
        </w:tc>
        <w:tc>
          <w:tcPr>
            <w:tcW w:type="dxa" w:w="33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Finish the VisA feature bank; run the baseline sweep on VisA using A's configs; profile baseline CPU cost (encoder calls / FLOPs) — the "before" number for the efficiency claim; draft the protocol section</w:t>
            </w:r>
          </w:p>
        </w:tc>
        <w:tc>
          <w:tcPr>
            <w:tcW w:type="dxa" w:w="17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G1 · Baseline results table across 2 datasets, all shot counts · Topic approval / feasibility review</w:t>
            </w:r>
          </w:p>
        </w:tc>
      </w:tr>
      <w:tr>
        <w:tc>
          <w:tcPr>
            <w:tcW w:type="dxa" w:w="7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3</w:t>
            </w:r>
          </w:p>
        </w:tc>
        <w:tc>
          <w:tcPr>
            <w:tcW w:type="dxa" w:w="33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Build prototype memory (normal memory from K shots + defect prototypes from images AND text); evaluate prototype-only (the adapter ablation control); train the lightweight adapter on cached features, sweeping rank, residual ratio, temperature</w:t>
            </w:r>
          </w:p>
        </w:tc>
        <w:tc>
          <w:tcPr>
            <w:tcW w:type="dxa" w:w="33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Build single-pass patch-token anomaly-map scoring and compare vs windowed on 3 categories; integrate A's components into one model class behind the config interface; run the full MVTec AD evaluation</w:t>
            </w:r>
          </w:p>
        </w:tc>
        <w:tc>
          <w:tcPr>
            <w:tcW w:type="dxa" w:w="17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Complete model evaluated on MVTec AD, near/at WinCLIP few-shot level</w:t>
            </w:r>
          </w:p>
        </w:tc>
      </w:tr>
      <w:tr>
        <w:tc>
          <w:tcPr>
            <w:tcW w:type="dxa" w:w="7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4</w:t>
            </w:r>
          </w:p>
        </w:tc>
        <w:tc>
          <w:tcPr>
            <w:tcW w:type="dxa" w:w="33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Adapter iteration to close any accuracy gap, then freeze the architecture (no changes after this); verify ONNX export works on CPU; draft the method section</w:t>
            </w:r>
          </w:p>
        </w:tc>
        <w:tc>
          <w:tcPr>
            <w:tcW w:type="dxa" w:w="33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Full VisA evaluation; build the NEU-DET feature bank and run the first cross-domain transfer; run the image-vs-text-vs-fused prototype ablation; freeze Accuracy Results v1 (tables, configs, manifests); draft results-section skeleton</w:t>
            </w:r>
          </w:p>
        </w:tc>
        <w:tc>
          <w:tcPr>
            <w:tcW w:type="dxa" w:w="17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G2 · MIDPOINT: model competitive on 2 benchmarks; ONNX export working · Midterm review</w:t>
            </w:r>
          </w:p>
        </w:tc>
      </w:tr>
      <w:tr>
        <w:tc>
          <w:tcPr>
            <w:tcW w:type="dxa" w:w="7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5</w:t>
            </w:r>
          </w:p>
        </w:tc>
        <w:tc>
          <w:tcPr>
            <w:tcW w:type="dxa" w:w="33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Export the frozen model to ONNX and run inference through ONNX Runtime CPU on the laptop; run the 50-image fidelity probe (ONNX vs PyTorch scores); INT8 post-training quantization (dynamic + static) and re-check; record the FP32→INT8 accuracy delta</w:t>
            </w:r>
          </w:p>
        </w:tc>
        <w:tc>
          <w:tcPr>
            <w:tcW w:type="dxa" w:w="33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Build the efficiency-benchmark harness (CPU latency median-of-20, peak RAM, FLOPs, params, model size → CSV), fully scripted and unattended; first full pass across backbone variants (ViT-B/32, ViT-B/16, ViT-L/14); assemble the local Streamlit/FastAPI demo (upload → verdict + heat-map)</w:t>
            </w:r>
          </w:p>
        </w:tc>
        <w:tc>
          <w:tcPr>
            <w:tcW w:type="dxa" w:w="17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Software system running end-to-end on CPU with verified ONNX/INT8 fidelity + working local demo</w:t>
            </w:r>
          </w:p>
        </w:tc>
      </w:tr>
      <w:tr>
        <w:tc>
          <w:tcPr>
            <w:tcW w:type="dxa" w:w="7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6</w:t>
            </w:r>
          </w:p>
        </w:tc>
        <w:tc>
          <w:tcPr>
            <w:tcW w:type="dxa" w:w="33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Run the full grid: accuracy × CPU latency × RAM × shot count × FP32/INT8 × backbone size; produce the headline accuracy-vs-compute frontier figures per backbone/quantization setting</w:t>
            </w:r>
          </w:p>
        </w:tc>
        <w:tc>
          <w:tcPr>
            <w:tcW w:type="dxa" w:w="33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Run the incremental test: hold out 2–3 classes, append via prototype memory (images + typed description) with no retraining; measure accuracy vs from-scratch and time the append on CPU; optional MPDD hard-mode run if on schedule</w:t>
            </w:r>
          </w:p>
        </w:tc>
        <w:tc>
          <w:tcPr>
            <w:tcW w:type="dxa" w:w="17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G3 · The compute-efficiency benchmark (headline result) + measured incremental class addition · Interim results</w:t>
            </w:r>
          </w:p>
        </w:tc>
      </w:tr>
      <w:tr>
        <w:tc>
          <w:tcPr>
            <w:tcW w:type="dxa" w:w="7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7</w:t>
            </w:r>
          </w:p>
        </w:tc>
        <w:tc>
          <w:tcPr>
            <w:tcW w:type="dxa" w:w="33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Remaining ablations: single-pass vs windowed (full), prototype-fusion (full), backbone-size sweep (full); stretch only if all above frozen — the plain-language prompt template layer (20–30 informal descriptions → prompts)</w:t>
            </w:r>
          </w:p>
        </w:tc>
        <w:tc>
          <w:tcPr>
            <w:tcW w:type="dxa" w:w="33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Compute-cost / feasibility table: free-tier hours used, laptop-CPU inference cost per image, comparison against commercial machine-vision pricing; full results freeze against a figure-by-figure manifest — no new experiments after this week; cross-verify every headline number A produced (and vice versa)</w:t>
            </w:r>
          </w:p>
        </w:tc>
        <w:tc>
          <w:tcPr>
            <w:tcW w:type="dxa" w:w="17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All numbers for paper + report frozen; cost/feasibility table done</w:t>
            </w:r>
          </w:p>
        </w:tc>
      </w:tr>
      <w:tr>
        <w:tc>
          <w:tcPr>
            <w:tcW w:type="dxa" w:w="7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8</w:t>
            </w:r>
          </w:p>
        </w:tc>
        <w:tc>
          <w:tcPr>
            <w:tcW w:type="dxa" w:w="33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Finish the manuscript's method/results/discussion onto the Week-4 skeleton; format for the target venue; submit the preprint (arXiv or equivalent); prepare the technical half of the viva Q&amp;A</w:t>
            </w:r>
          </w:p>
        </w:tc>
        <w:tc>
          <w:tcPr>
            <w:tcW w:type="dxa" w:w="33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Reproducibility release: clean repo, one-command scripts per figure, tagged release, zero-setup Colab notebook; final institutional report + slides; rehearse the demo twice — enrol a product, run detection, add a NEW class live from 3 images + a description</w:t>
            </w:r>
          </w:p>
        </w:tc>
        <w:tc>
          <w:tcPr>
            <w:tcW w:type="dxa" w:w="17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G4 · Submitted preprint, tagged release, final report, rehearsed defence · Final presentation / viva</w:t>
            </w:r>
          </w:p>
        </w:tc>
      </w:tr>
    </w:tbl>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Load-balancing rule</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If either member's track slips more than two days, the other absorbs the most parallelisable task from the slipping track (feature extraction, harness runs, and ablation sweeps are all cache-driven and transferable; adapter design and manuscript sections are not). The pre-declared cut order of Section 21 applies before any deliverable is descoped, and the efficiency grid, incrementality result and cost table are never cut regardless of whose track slipped.</w:t>
      </w:r>
    </w:p>
    <w:p>
      <w:pPr>
        <w:pStyle w:val="Heading1"/>
        <w:spacing w:after="160" w:before="320"/>
      </w:pPr>
      <w:r>
        <w:rPr>
          <w:rFonts w:ascii="Calibri" w:cs="Calibri" w:eastAsia="Calibri" w:hAnsi="Calibri"/>
          <w:b/>
          <w:bCs/>
          <w:color w:val="1F5C73"/>
          <w:sz w:val="30"/>
          <w:szCs w:val="30"/>
        </w:rPr>
        <w:t xml:space="preserve">19. Integration and Coordination</w:t>
      </w:r>
    </w:p>
    <w:p>
      <w:pPr>
        <w:spacing w:after="140" w:line="276"/>
        <w:jc w:val="both"/>
      </w:pPr>
      <w:r>
        <w:rPr>
          <w:rFonts w:ascii="Calibri" w:cs="Calibri" w:eastAsia="Calibri" w:hAnsi="Calibri"/>
          <w:color w:val="222222"/>
          <w:sz w:val="21"/>
          <w:szCs w:val="21"/>
        </w:rPr>
        <w:t xml:space="preserve">Because the two tracks share a single claim, coordination is engineered into the artefacts rather than relied on as goodwill. Three mechanisms keep the members aligned.</w:t>
      </w:r>
    </w:p>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Shared interfaces</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Manifest and feature bank</w:t>
      </w:r>
      <w:r>
        <w:rPr>
          <w:rFonts w:ascii="Calibri" w:cs="Calibri" w:eastAsia="Calibri" w:hAnsi="Calibri"/>
          <w:color w:val="222222"/>
          <w:sz w:val="20"/>
          <w:szCs w:val="20"/>
        </w:rPr>
        <w:t xml:space="preserve"> — a single manifest format for every image (dataset, category, split, shot count) and one cached feature bank per backbone, produced once by Member B and consumed by both members, so modelling and analysis never duplicate preprocessing or silently diverge.</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Split and held-out-class registry</w:t>
      </w:r>
      <w:r>
        <w:rPr>
          <w:rFonts w:ascii="Calibri" w:cs="Calibri" w:eastAsia="Calibri" w:hAnsi="Calibri"/>
          <w:color w:val="222222"/>
          <w:sz w:val="20"/>
          <w:szCs w:val="20"/>
        </w:rPr>
        <w:t xml:space="preserve"> — one script-checked definition of every split and every held-out incrementality class, used identically by every run of either member; neither member changes an interface unilaterally.</w:t>
      </w:r>
    </w:p>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Checkpoints</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Weekly integration meeting with a maintained log</w:t>
      </w:r>
      <w:r>
        <w:rPr>
          <w:rFonts w:ascii="Calibri" w:cs="Calibri" w:eastAsia="Calibri" w:hAnsi="Calibri"/>
          <w:color w:val="222222"/>
          <w:sz w:val="20"/>
          <w:szCs w:val="20"/>
        </w:rPr>
        <w:t xml:space="preserve"> — both members reconcile progress against the week plan every week, recording decisions, aligned to the department's review schedule (Reviews at Weeks 2, 4, 6 and 8).</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Phase gates</w:t>
      </w:r>
      <w:r>
        <w:rPr>
          <w:rFonts w:ascii="Calibri" w:cs="Calibri" w:eastAsia="Calibri" w:hAnsi="Calibri"/>
          <w:color w:val="222222"/>
          <w:sz w:val="20"/>
          <w:szCs w:val="20"/>
        </w:rPr>
        <w:t xml:space="preserve"> — at each gate (Section 20) results from both tracks are compared against the central claim and scope is adjusted; the pre-declared cut order (prompt layer → MPDD → backbone sweep → remaining ablations) is applied first, and the efficiency grid, incrementality result and cost table are never cut.</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Load-balancing</w:t>
      </w:r>
      <w:r>
        <w:rPr>
          <w:rFonts w:ascii="Calibri" w:cs="Calibri" w:eastAsia="Calibri" w:hAnsi="Calibri"/>
          <w:color w:val="222222"/>
          <w:sz w:val="20"/>
          <w:szCs w:val="20"/>
        </w:rPr>
        <w:t xml:space="preserve"> — the Section 18 rule: a track slipping more than two days hands its most parallelisable task to the other member.</w:t>
      </w:r>
    </w:p>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Quality control</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Fidelity gates</w:t>
      </w:r>
      <w:r>
        <w:rPr>
          <w:rFonts w:ascii="Calibri" w:cs="Calibri" w:eastAsia="Calibri" w:hAnsi="Calibri"/>
          <w:color w:val="222222"/>
          <w:sz w:val="20"/>
          <w:szCs w:val="20"/>
        </w:rPr>
        <w:t xml:space="preserve"> — no efficiency number is reported before the ONNX/INT8 fidelity probe passes; no baseline comparison before the Week-2 reconciliation.</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Cross-verification</w:t>
      </w:r>
      <w:r>
        <w:rPr>
          <w:rFonts w:ascii="Calibri" w:cs="Calibri" w:eastAsia="Calibri" w:hAnsi="Calibri"/>
          <w:color w:val="222222"/>
          <w:sz w:val="20"/>
          <w:szCs w:val="20"/>
        </w:rPr>
        <w:t xml:space="preserve"> — every headline number is recomputed from cached artefacts, via the one-command figure scripts, by the member who did not produce it, before any review or submission; unexpected results are referred back for error analysis before being claimed.</w:t>
      </w:r>
    </w:p>
    <w:p>
      <w:pPr>
        <w:pBdr>
          <w:top w:val="none" w:color="FFFFFF" w:sz="0"/>
          <w:bottom w:val="none" w:color="FFFFFF" w:sz="0"/>
          <w:left w:val="single" w:color="1F5C73" w:sz="24"/>
          <w:right w:val="none" w:color="FFFFFF" w:sz="0"/>
        </w:pBdr>
        <w:shd w:fill="E8F1F4" w:val="clear"/>
        <w:spacing w:after="6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Joint code review</w:t>
      </w:r>
      <w:r>
        <w:rPr>
          <w:rFonts w:ascii="Calibri" w:cs="Calibri" w:eastAsia="Calibri" w:hAnsi="Calibri"/>
          <w:color w:val="222222"/>
          <w:sz w:val="20"/>
          <w:szCs w:val="20"/>
        </w:rPr>
        <w:t xml:space="preserve"> — the data pipeline (Member B) and the model/config interface (Member A) are reviewed by the other member at each phase gate, keeping the manifest and split interfaces stable.</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
      </w:r>
      <w:r>
        <w:rPr>
          <w:rFonts w:ascii="Calibri" w:cs="Calibri" w:eastAsia="Calibri" w:hAnsi="Calibri"/>
          <w:b/>
          <w:bCs/>
          <w:color w:val="222222"/>
          <w:sz w:val="20"/>
          <w:szCs w:val="20"/>
        </w:rPr>
        <w:t xml:space="preserve">Collaborative authoring</w:t>
      </w:r>
      <w:r>
        <w:rPr>
          <w:rFonts w:ascii="Calibri" w:cs="Calibri" w:eastAsia="Calibri" w:hAnsi="Calibri"/>
          <w:color w:val="222222"/>
          <w:sz w:val="20"/>
          <w:szCs w:val="20"/>
        </w:rPr>
        <w:t xml:space="preserve"> — manuscript, report, slides and demo are co-authored; the Week-7 results freeze applies to both members, after which every figure regenerates from its manifest.</w:t>
      </w:r>
    </w:p>
    <w:p>
      <w:pPr>
        <w:pStyle w:val="Heading1"/>
        <w:spacing w:after="160" w:before="320"/>
      </w:pPr>
      <w:r>
        <w:rPr>
          <w:rFonts w:ascii="Calibri" w:cs="Calibri" w:eastAsia="Calibri" w:hAnsi="Calibri"/>
          <w:b/>
          <w:bCs/>
          <w:color w:val="1F5C73"/>
          <w:sz w:val="30"/>
          <w:szCs w:val="30"/>
        </w:rPr>
        <w:t xml:space="preserve">20. Timeline and Milestones</w:t>
      </w:r>
    </w:p>
    <w:p>
      <w:pPr>
        <w:spacing w:after="140" w:line="276"/>
        <w:jc w:val="both"/>
      </w:pPr>
      <w:r>
        <w:rPr>
          <w:rFonts w:ascii="Calibri" w:cs="Calibri" w:eastAsia="Calibri" w:hAnsi="Calibri"/>
          <w:color w:val="222222"/>
          <w:sz w:val="21"/>
          <w:szCs w:val="21"/>
        </w:rPr>
        <w:t xml:space="preserve">The 8-week working period is sequenced so that a defensible result exists by Week 4 and every later week adds rather than gates. Phases align with the department's review checkpoints.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3900"/>
        <w:gridCol w:w="3200"/>
      </w:tblGrid>
      <w:tr>
        <w:tc>
          <w:tcPr>
            <w:tcW w:type="dxa" w:w="10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Phase</w:t>
            </w:r>
          </w:p>
        </w:tc>
        <w:tc>
          <w:tcPr>
            <w:tcW w:type="dxa" w:w="9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Weeks</w:t>
            </w:r>
          </w:p>
        </w:tc>
        <w:tc>
          <w:tcPr>
            <w:tcW w:type="dxa" w:w="39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Focus and key artefacts</w:t>
            </w:r>
          </w:p>
        </w:tc>
        <w:tc>
          <w:tcPr>
            <w:tcW w:type="dxa" w:w="32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Checkpoint / gate</w:t>
            </w:r>
          </w:p>
        </w:tc>
      </w:tr>
      <w:tr>
        <w:tc>
          <w:tcPr>
            <w:tcW w:type="dxa" w:w="10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Phase 1</w:t>
            </w:r>
          </w:p>
        </w:tc>
        <w:tc>
          <w:tcPr>
            <w:tcW w:type="dxa" w:w="9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1–2</w:t>
            </w:r>
          </w:p>
        </w:tc>
        <w:tc>
          <w:tcPr>
            <w:tcW w:type="dxa" w:w="39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Setup, data, protocol: repo + environment; datasets downloaded; frozen seeded splits; MVTec + VisA feature banks; evaluation harness validated vs PatchCore; WinCLIP/AnomalyCLIP baselines reproduced and reconciled; baseline CPU cost profiled; related-work and protocol sections drafted</w:t>
            </w:r>
          </w:p>
        </w:tc>
        <w:tc>
          <w:tcPr>
            <w:tcW w:type="dxa" w:w="32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G1 (end of Week 2) — protocol frozen, feature banks built, baselines reproduced · Topic approval / feasibility review</w:t>
            </w:r>
          </w:p>
        </w:tc>
      </w:tr>
      <w:tr>
        <w:tc>
          <w:tcPr>
            <w:tcW w:type="dxa" w:w="10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Phase 2</w:t>
            </w:r>
          </w:p>
        </w:tc>
        <w:tc>
          <w:tcPr>
            <w:tcW w:type="dxa" w:w="9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3–4</w:t>
            </w:r>
          </w:p>
        </w:tc>
        <w:tc>
          <w:tcPr>
            <w:tcW w:type="dxa" w:w="39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Build the model: prototype memory (image + text prototypes); adapter trained on cached features; single-pass anomaly maps; full MVTec and VisA evaluation; NEU-DET first transfer run; image-vs-text-vs-fused ablation; architecture frozen; ONNX export verified; accuracy results v1 frozen</w:t>
            </w:r>
          </w:p>
        </w:tc>
        <w:tc>
          <w:tcPr>
            <w:tcW w:type="dxa" w:w="32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G2 (end of Week 4) — MIDPOINT: model competitive on 2 benchmarks; ONNX working · Midterm review</w:t>
            </w:r>
          </w:p>
        </w:tc>
      </w:tr>
      <w:tr>
        <w:tc>
          <w:tcPr>
            <w:tcW w:type="dxa" w:w="10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Phase 3</w:t>
            </w:r>
          </w:p>
        </w:tc>
        <w:tc>
          <w:tcPr>
            <w:tcW w:type="dxa" w:w="9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5–6</w:t>
            </w:r>
          </w:p>
        </w:tc>
        <w:tc>
          <w:tcPr>
            <w:tcW w:type="dxa" w:w="39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Efficiency and incrementality: INT8 quantization + fidelity checks; profiling harness across backbones and precisions; the full grid (accuracy × latency × RAM × shots × precision × backbone); frontier figures; held-out-class append experiment with CPU timing; local demo assembled; optional MPDD run</w:t>
            </w:r>
          </w:p>
        </w:tc>
        <w:tc>
          <w:tcPr>
            <w:tcW w:type="dxa" w:w="32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G3 (end of Week 6) — compute-efficiency benchmark figures done; incrementality demonstrated · Interim results</w:t>
            </w:r>
          </w:p>
        </w:tc>
      </w:tr>
      <w:tr>
        <w:tc>
          <w:tcPr>
            <w:tcW w:type="dxa" w:w="10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Phase 4</w:t>
            </w:r>
          </w:p>
        </w:tc>
        <w:tc>
          <w:tcPr>
            <w:tcW w:type="dxa" w:w="9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7–8</w:t>
            </w:r>
          </w:p>
        </w:tc>
        <w:tc>
          <w:tcPr>
            <w:tcW w:type="dxa" w:w="39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Consolidation and dissemination: remaining ablations; cost/feasibility table; results freeze against figure manifests (Week 7); manuscript finished on the Week-4 skeleton; preprint submitted; reproducibility release tagged with Colab notebook; institutional report + slides; demo rehearsed twice including live class append</w:t>
            </w:r>
          </w:p>
        </w:tc>
        <w:tc>
          <w:tcPr>
            <w:tcW w:type="dxa" w:w="32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G4 (end of Week 8) — preprint submitted; release tagged; report and demo ready · Final presentation / viva</w:t>
            </w:r>
          </w:p>
        </w:tc>
      </w:tr>
    </w:tbl>
    <w:p>
      <w:pPr>
        <w:pStyle w:val="Heading1"/>
        <w:spacing w:after="160" w:before="320"/>
      </w:pPr>
      <w:r>
        <w:rPr>
          <w:rFonts w:ascii="Calibri" w:cs="Calibri" w:eastAsia="Calibri" w:hAnsi="Calibri"/>
          <w:b/>
          <w:bCs/>
          <w:color w:val="1F5C73"/>
          <w:sz w:val="30"/>
          <w:szCs w:val="30"/>
        </w:rPr>
        <w:t xml:space="preserve">21. Risk Assessment and Mitigation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Risk</w:t>
            </w:r>
          </w:p>
        </w:tc>
        <w:tc>
          <w:tcPr>
            <w:tcW w:type="dxa" w:w="55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Mitigation</w:t>
            </w:r>
          </w:p>
        </w:tc>
      </w:tr>
      <w:tr>
        <w:tc>
          <w:tcPr>
            <w:tcW w:type="dxa" w:w="35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Adapter trails baselines at the Week-4 gate</w:t>
            </w:r>
          </w:p>
        </w:tc>
        <w:tc>
          <w:tcPr>
            <w:tcW w:type="dxa" w:w="55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Freeze the best model anyway and lead with the compute-efficiency benchmark — publishable regardless of who wins accuracy; the training-free Tip-Adapter fallback is one config flag</w:t>
            </w:r>
          </w:p>
        </w:tc>
      </w:tr>
      <w:tr>
        <w:tc>
          <w:tcPr>
            <w:tcW w:type="dxa" w:w="35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INT8 hurts CLIP accuracy badly</w:t>
            </w:r>
          </w:p>
        </w:tc>
        <w:tc>
          <w:tcPr>
            <w:tcW w:type="dxa" w:w="55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Report it as a finding; recommend FP32/FP16 as the operating point and document INT8 as a measured boundary — itself a valid research result</w:t>
            </w:r>
          </w:p>
        </w:tc>
      </w:tr>
      <w:tr>
        <w:tc>
          <w:tcPr>
            <w:tcW w:type="dxa" w:w="35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CPU latency poor across the board</w:t>
            </w:r>
          </w:p>
        </w:tc>
        <w:tc>
          <w:tcPr>
            <w:tcW w:type="dxa" w:w="55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Reframe as the first feasibility map — what accuracy at what latency at what backbone size — which answers the same MSME question without needing flattering numbers</w:t>
            </w:r>
          </w:p>
        </w:tc>
      </w:tr>
      <w:tr>
        <w:tc>
          <w:tcPr>
            <w:tcW w:type="dxa" w:w="35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Colab/Kaggle free-tier quota exhausted</w:t>
            </w:r>
          </w:p>
        </w:tc>
        <w:tc>
          <w:tcPr>
            <w:tcW w:type="dxa" w:w="55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Cached feature banks mean post-Week-2 work runs on the laptop CPU; sessions staggered across Colab and Kaggle double the effective quota</w:t>
            </w:r>
          </w:p>
        </w:tc>
      </w:tr>
      <w:tr>
        <w:tc>
          <w:tcPr>
            <w:tcW w:type="dxa" w:w="35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Week-3 adapter convergence slow (biggest genuine risk)</w:t>
            </w:r>
          </w:p>
        </w:tc>
        <w:tc>
          <w:tcPr>
            <w:tcW w:type="dxa" w:w="55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Borrow time from Week-8 polish, never from Weeks 5–6 benchmarking — the benchmark numbers are the actual deliverable</w:t>
            </w:r>
          </w:p>
        </w:tc>
      </w:tr>
      <w:tr>
        <w:tc>
          <w:tcPr>
            <w:tcW w:type="dxa" w:w="35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Schedule overrun in Weeks 6–7</w:t>
            </w:r>
          </w:p>
        </w:tc>
        <w:tc>
          <w:tcPr>
            <w:tcW w:type="dxa" w:w="55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Pre-declared cut order: prompt layer → MPDD → backbone sweep (keep ViT-B/16) → remaining ablations; the efficiency grid, incrementality result and cost table are never cut</w:t>
            </w:r>
          </w:p>
        </w:tc>
      </w:tr>
      <w:tr>
        <w:tc>
          <w:tcPr>
            <w:tcW w:type="dxa" w:w="35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Prior-work overlap challenged at review</w:t>
            </w:r>
          </w:p>
        </w:tc>
        <w:tc>
          <w:tcPr>
            <w:tcW w:type="dxa" w:w="55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Baselines are cited, reproduced and profiled under the shared harness; the novelty claim is scoped narrowly (CPU frontier + append-only incrementality + ₹0 feasibility) and was verified during proposal preparation</w:t>
            </w:r>
          </w:p>
        </w:tc>
      </w:tr>
      <w:tr>
        <w:tc>
          <w:tcPr>
            <w:tcW w:type="dxa" w:w="35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Adjacent work appears during the project</w:t>
            </w:r>
          </w:p>
        </w:tc>
        <w:tc>
          <w:tcPr>
            <w:tcW w:type="dxa" w:w="55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The benchmark and incrementality protocol are differentiated on the CPU/quantization axes; the preprint route guarantees a timestamped record within the window</w:t>
            </w:r>
          </w:p>
        </w:tc>
      </w:tr>
    </w:tbl>
    <w:p>
      <w:pPr>
        <w:pStyle w:val="Heading1"/>
        <w:spacing w:after="160" w:before="320"/>
      </w:pPr>
      <w:r>
        <w:rPr>
          <w:rFonts w:ascii="Calibri" w:cs="Calibri" w:eastAsia="Calibri" w:hAnsi="Calibri"/>
          <w:b/>
          <w:bCs/>
          <w:color w:val="1F5C73"/>
          <w:sz w:val="30"/>
          <w:szCs w:val="30"/>
        </w:rPr>
        <w:t xml:space="preserve">22. Expected Outcomes and Deliverables</w:t>
      </w:r>
    </w:p>
    <w:p>
      <w:pPr>
        <w:pStyle w:val="ListParagraph"/>
        <w:numPr>
          <w:ilvl w:val="0"/>
          <w:numId w:val="2"/>
        </w:numPr>
        <w:spacing w:after="100" w:line="270"/>
        <w:jc w:val="both"/>
      </w:pPr>
      <w:r>
        <w:rPr>
          <w:rFonts w:ascii="Calibri" w:cs="Calibri" w:eastAsia="Calibri" w:hAnsi="Calibri"/>
          <w:color w:val="222222"/>
          <w:sz w:val="21"/>
          <w:szCs w:val="21"/>
        </w:rPr>
        <w:t xml:space="preserve"/>
      </w:r>
      <w:r>
        <w:rPr>
          <w:rFonts w:ascii="Calibri" w:cs="Calibri" w:eastAsia="Calibri" w:hAnsi="Calibri"/>
          <w:b/>
          <w:bCs/>
          <w:color w:val="222222"/>
          <w:sz w:val="21"/>
          <w:szCs w:val="21"/>
        </w:rPr>
        <w:t xml:space="preserve">Benchmark result</w:t>
      </w:r>
      <w:r>
        <w:rPr>
          <w:rFonts w:ascii="Calibri" w:cs="Calibri" w:eastAsia="Calibri" w:hAnsi="Calibri"/>
          <w:color w:val="222222"/>
          <w:sz w:val="21"/>
          <w:szCs w:val="21"/>
        </w:rPr>
        <w:t xml:space="preserve"> — the first CPU-only compute-efficiency benchmark of open-vocabulary anomaly detectors: accuracy × latency × memory × FLOPs across backbone sizes and quantization levels, fully reproducible on a free Colab/Kaggle account (the headline research contribution).</w:t>
      </w:r>
    </w:p>
    <w:p>
      <w:pPr>
        <w:pStyle w:val="ListParagraph"/>
        <w:numPr>
          <w:ilvl w:val="0"/>
          <w:numId w:val="2"/>
        </w:numPr>
        <w:spacing w:after="100" w:line="270"/>
        <w:jc w:val="both"/>
      </w:pPr>
      <w:r>
        <w:rPr>
          <w:rFonts w:ascii="Calibri" w:cs="Calibri" w:eastAsia="Calibri" w:hAnsi="Calibri"/>
          <w:color w:val="222222"/>
          <w:sz w:val="21"/>
          <w:szCs w:val="21"/>
        </w:rPr>
        <w:t xml:space="preserve"/>
      </w:r>
      <w:r>
        <w:rPr>
          <w:rFonts w:ascii="Calibri" w:cs="Calibri" w:eastAsia="Calibri" w:hAnsi="Calibri"/>
          <w:b/>
          <w:bCs/>
          <w:color w:val="222222"/>
          <w:sz w:val="21"/>
          <w:szCs w:val="21"/>
        </w:rPr>
        <w:t xml:space="preserve">Open-source toolkit</w:t>
      </w:r>
      <w:r>
        <w:rPr>
          <w:rFonts w:ascii="Calibri" w:cs="Calibri" w:eastAsia="Calibri" w:hAnsi="Calibri"/>
          <w:color w:val="222222"/>
          <w:sz w:val="21"/>
          <w:szCs w:val="21"/>
        </w:rPr>
        <w:t xml:space="preserve"> — enrolment → single-pass open-vocabulary detection → incremental class addition without retraining → quantized CPU inference, with a local upload-and-inspect demo app.</w:t>
      </w:r>
    </w:p>
    <w:p>
      <w:pPr>
        <w:pStyle w:val="ListParagraph"/>
        <w:numPr>
          <w:ilvl w:val="0"/>
          <w:numId w:val="2"/>
        </w:numPr>
        <w:spacing w:after="100" w:line="270"/>
        <w:jc w:val="both"/>
      </w:pPr>
      <w:r>
        <w:rPr>
          <w:rFonts w:ascii="Calibri" w:cs="Calibri" w:eastAsia="Calibri" w:hAnsi="Calibri"/>
          <w:color w:val="222222"/>
          <w:sz w:val="21"/>
          <w:szCs w:val="21"/>
        </w:rPr>
        <w:t xml:space="preserve"/>
      </w:r>
      <w:r>
        <w:rPr>
          <w:rFonts w:ascii="Calibri" w:cs="Calibri" w:eastAsia="Calibri" w:hAnsi="Calibri"/>
          <w:b/>
          <w:bCs/>
          <w:color w:val="222222"/>
          <w:sz w:val="21"/>
          <w:szCs w:val="21"/>
        </w:rPr>
        <w:t xml:space="preserve">Incrementality result</w:t>
      </w:r>
      <w:r>
        <w:rPr>
          <w:rFonts w:ascii="Calibri" w:cs="Calibri" w:eastAsia="Calibri" w:hAnsi="Calibri"/>
          <w:color w:val="222222"/>
          <w:sz w:val="21"/>
          <w:szCs w:val="21"/>
        </w:rPr>
        <w:t xml:space="preserve"> — measured append-only class addition: accuracy versus from-scratch adaptation, regression check on existing classes, and CPU wall-clock cost of the append operation.</w:t>
      </w:r>
    </w:p>
    <w:p>
      <w:pPr>
        <w:pStyle w:val="ListParagraph"/>
        <w:numPr>
          <w:ilvl w:val="0"/>
          <w:numId w:val="2"/>
        </w:numPr>
        <w:spacing w:after="100" w:line="270"/>
        <w:jc w:val="both"/>
      </w:pPr>
      <w:r>
        <w:rPr>
          <w:rFonts w:ascii="Calibri" w:cs="Calibri" w:eastAsia="Calibri" w:hAnsi="Calibri"/>
          <w:color w:val="222222"/>
          <w:sz w:val="21"/>
          <w:szCs w:val="21"/>
        </w:rPr>
        <w:t xml:space="preserve"/>
      </w:r>
      <w:r>
        <w:rPr>
          <w:rFonts w:ascii="Calibri" w:cs="Calibri" w:eastAsia="Calibri" w:hAnsi="Calibri"/>
          <w:b/>
          <w:bCs/>
          <w:color w:val="222222"/>
          <w:sz w:val="21"/>
          <w:szCs w:val="21"/>
        </w:rPr>
        <w:t xml:space="preserve">Cost/feasibility analysis</w:t>
      </w:r>
      <w:r>
        <w:rPr>
          <w:rFonts w:ascii="Calibri" w:cs="Calibri" w:eastAsia="Calibri" w:hAnsi="Calibri"/>
          <w:color w:val="222222"/>
          <w:sz w:val="21"/>
          <w:szCs w:val="21"/>
        </w:rPr>
        <w:t xml:space="preserve"> — free-tier hours consumed, laptop per-image inference cost, and a comparison line against commercial machine-vision software pricing, with ₹0 hardware spend.</w:t>
      </w:r>
    </w:p>
    <w:p>
      <w:pPr>
        <w:pStyle w:val="ListParagraph"/>
        <w:numPr>
          <w:ilvl w:val="0"/>
          <w:numId w:val="2"/>
        </w:numPr>
        <w:spacing w:after="100" w:line="270"/>
        <w:jc w:val="both"/>
      </w:pPr>
      <w:r>
        <w:rPr>
          <w:rFonts w:ascii="Calibri" w:cs="Calibri" w:eastAsia="Calibri" w:hAnsi="Calibri"/>
          <w:color w:val="222222"/>
          <w:sz w:val="21"/>
          <w:szCs w:val="21"/>
        </w:rPr>
        <w:t xml:space="preserve"/>
      </w:r>
      <w:r>
        <w:rPr>
          <w:rFonts w:ascii="Calibri" w:cs="Calibri" w:eastAsia="Calibri" w:hAnsi="Calibri"/>
          <w:b/>
          <w:bCs/>
          <w:color w:val="222222"/>
          <w:sz w:val="21"/>
          <w:szCs w:val="21"/>
        </w:rPr>
        <w:t xml:space="preserve">Preprint</w:t>
      </w:r>
      <w:r>
        <w:rPr>
          <w:rFonts w:ascii="Calibri" w:cs="Calibri" w:eastAsia="Calibri" w:hAnsi="Calibri"/>
          <w:color w:val="222222"/>
          <w:sz w:val="21"/>
          <w:szCs w:val="21"/>
        </w:rPr>
        <w:t xml:space="preserve"> — submitted to arXiv (or equivalent) within the 8-week window, with the tagged reproducibility release and zero-setup Colab notebook.</w:t>
      </w:r>
    </w:p>
    <w:p>
      <w:pPr>
        <w:pStyle w:val="ListParagraph"/>
        <w:numPr>
          <w:ilvl w:val="0"/>
          <w:numId w:val="2"/>
        </w:numPr>
        <w:spacing w:after="100" w:line="270"/>
        <w:jc w:val="both"/>
      </w:pPr>
      <w:r>
        <w:rPr>
          <w:rFonts w:ascii="Calibri" w:cs="Calibri" w:eastAsia="Calibri" w:hAnsi="Calibri"/>
          <w:color w:val="222222"/>
          <w:sz w:val="21"/>
          <w:szCs w:val="21"/>
        </w:rPr>
        <w:t xml:space="preserve"/>
      </w:r>
      <w:r>
        <w:rPr>
          <w:rFonts w:ascii="Calibri" w:cs="Calibri" w:eastAsia="Calibri" w:hAnsi="Calibri"/>
          <w:b/>
          <w:bCs/>
          <w:color w:val="222222"/>
          <w:sz w:val="21"/>
          <w:szCs w:val="21"/>
        </w:rPr>
        <w:t xml:space="preserve">Final report and defence</w:t>
      </w:r>
      <w:r>
        <w:rPr>
          <w:rFonts w:ascii="Calibri" w:cs="Calibri" w:eastAsia="Calibri" w:hAnsi="Calibri"/>
          <w:color w:val="222222"/>
          <w:sz w:val="21"/>
          <w:szCs w:val="21"/>
        </w:rPr>
        <w:t xml:space="preserve"> — complete institutional report, log book and slides, with a live software-only demo: enrol a product, run detection, then add a new defect class live from 3 images and a typed description.</w:t>
      </w:r>
    </w:p>
    <w:p>
      <w:pPr>
        <w:pStyle w:val="Heading1"/>
        <w:spacing w:after="160" w:before="320"/>
      </w:pPr>
      <w:r>
        <w:rPr>
          <w:rFonts w:ascii="Calibri" w:cs="Calibri" w:eastAsia="Calibri" w:hAnsi="Calibri"/>
          <w:b/>
          <w:bCs/>
          <w:color w:val="1F5C73"/>
          <w:sz w:val="30"/>
          <w:szCs w:val="30"/>
        </w:rPr>
        <w:t xml:space="preserve">23. Publication Plan</w:t>
      </w:r>
    </w:p>
    <w:p>
      <w:pPr>
        <w:spacing w:after="140" w:line="276"/>
        <w:jc w:val="both"/>
      </w:pPr>
      <w:r>
        <w:rPr>
          <w:rFonts w:ascii="Calibri" w:cs="Calibri" w:eastAsia="Calibri" w:hAnsi="Calibri"/>
          <w:color w:val="222222"/>
          <w:sz w:val="21"/>
          <w:szCs w:val="21"/>
        </w:rPr>
        <w:t xml:space="preserve">Because acceptance timing at any venue is outside an 8-week project's control, the plan targets the highest dissemination tier that is fully within the team's control — a submitted, timestamped preprint with a tagged reproducible release — and stages everything else around it. Both members are co-authors; Member A leads the manuscript's technical sections, Member B leads formatting, the reproducibility package, and submission logistics.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2200"/>
        <w:gridCol w:w="1700"/>
      </w:tblGrid>
      <w:tr>
        <w:tc>
          <w:tcPr>
            <w:tcW w:type="dxa" w:w="21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Output</w:t>
            </w:r>
          </w:p>
        </w:tc>
        <w:tc>
          <w:tcPr>
            <w:tcW w:type="dxa" w:w="35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Content</w:t>
            </w:r>
          </w:p>
        </w:tc>
        <w:tc>
          <w:tcPr>
            <w:tcW w:type="dxa" w:w="22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Intended venue type</w:t>
            </w:r>
          </w:p>
        </w:tc>
        <w:tc>
          <w:tcPr>
            <w:tcW w:type="dxa" w:w="17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Timing</w:t>
            </w:r>
          </w:p>
        </w:tc>
      </w:tr>
      <w:tr>
        <w:tc>
          <w:tcPr>
            <w:tcW w:type="dxa" w:w="21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Primary preprint</w:t>
            </w:r>
          </w:p>
        </w:tc>
        <w:tc>
          <w:tcPr>
            <w:tcW w:type="dxa" w:w="35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The frontier benchmark, the detector, the incrementality result and the cost/feasibility analysis</w:t>
            </w:r>
          </w:p>
        </w:tc>
        <w:tc>
          <w:tcPr>
            <w:tcW w:type="dxa" w:w="22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arXiv (cs.CV), formatted for a computer-vision / industrial-AI venue</w:t>
            </w:r>
          </w:p>
        </w:tc>
        <w:tc>
          <w:tcPr>
            <w:tcW w:type="dxa" w:w="17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Skeleton Week 4; submitted Week 8</w:t>
            </w:r>
          </w:p>
        </w:tc>
      </w:tr>
      <w:tr>
        <w:tc>
          <w:tcPr>
            <w:tcW w:type="dxa" w:w="21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Reproducibility release</w:t>
            </w:r>
          </w:p>
        </w:tc>
        <w:tc>
          <w:tcPr>
            <w:tcW w:type="dxa" w:w="35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Tagged GitHub release: one-command scripts per figure, split manifests, pinned environment, Colab notebook</w:t>
            </w:r>
          </w:p>
        </w:tc>
        <w:tc>
          <w:tcPr>
            <w:tcW w:type="dxa" w:w="22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GitHub + Zenodo DOI</w:t>
            </w:r>
          </w:p>
        </w:tc>
        <w:tc>
          <w:tcPr>
            <w:tcW w:type="dxa" w:w="17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Tagged Week 8</w:t>
            </w:r>
          </w:p>
        </w:tc>
      </w:tr>
      <w:tr>
        <w:tc>
          <w:tcPr>
            <w:tcW w:type="dxa" w:w="21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Conference/journal version</w:t>
            </w:r>
          </w:p>
        </w:tc>
        <w:tc>
          <w:tcPr>
            <w:tcW w:type="dxa" w:w="35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Extended treatment adding MPDD hard-mode and the prompt-template layer if completed</w:t>
            </w:r>
          </w:p>
        </w:tc>
        <w:tc>
          <w:tcPr>
            <w:tcW w:type="dxa" w:w="22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Scopus-indexed CV or industrial-informatics venue with verifiable peer review</w:t>
            </w:r>
          </w:p>
        </w:tc>
        <w:tc>
          <w:tcPr>
            <w:tcW w:type="dxa" w:w="17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Post-semester, on its own schedule</w:t>
            </w:r>
          </w:p>
        </w:tc>
      </w:tr>
    </w:tbl>
    <w:p>
      <w:pPr>
        <w:pBdr>
          <w:top w:val="none" w:color="FFFFFF" w:sz="0"/>
          <w:bottom w:val="none" w:color="FFFFFF" w:sz="0"/>
          <w:left w:val="single" w:color="1F5C73" w:sz="24"/>
          <w:right w:val="none" w:color="FFFFFF" w:sz="0"/>
        </w:pBdr>
        <w:shd w:fill="E8F1F4" w:val="clear"/>
        <w:spacing w:after="40" w:before="160"/>
        <w:ind w:left="200"/>
      </w:pPr>
      <w:r>
        <w:rPr>
          <w:rFonts w:ascii="Calibri" w:cs="Calibri" w:eastAsia="Calibri" w:hAnsi="Calibri"/>
          <w:b/>
          <w:bCs/>
          <w:caps/>
          <w:color w:val="1F5C73"/>
          <w:sz w:val="20"/>
          <w:szCs w:val="20"/>
        </w:rPr>
        <w:t xml:space="preserve">Venue integrity and authorship standards</w:t>
      </w:r>
    </w:p>
    <w:p>
      <w:pPr>
        <w:pBdr>
          <w:top w:val="none" w:color="FFFFFF" w:sz="0"/>
          <w:bottom w:val="none" w:color="FFFFFF" w:sz="0"/>
          <w:left w:val="single" w:color="1F5C73" w:sz="24"/>
          <w:right w:val="none" w:color="FFFFFF" w:sz="0"/>
        </w:pBdr>
        <w:shd w:fill="E8F1F4" w:val="clear"/>
        <w:spacing w:after="180" w:line="264"/>
        <w:ind w:left="200"/>
        <w:jc w:val="both"/>
      </w:pPr>
      <w:r>
        <w:rPr>
          <w:rFonts w:ascii="Calibri" w:cs="Calibri" w:eastAsia="Calibri" w:hAnsi="Calibri"/>
          <w:color w:val="222222"/>
          <w:sz w:val="20"/>
          <w:szCs w:val="20"/>
        </w:rPr>
        <w:t xml:space="preserve">Pay-to-publish and predatory venues are explicitly excluded regardless of turnaround speed: they carry no weight and risk departmental penalty. Any AI-assisted drafting is substantially rewritten and verified against the department's similarity threshold. Patent filing is deliberately excluded from the 8-week plan — the pipeline composes standard published components, so a provisional filing would have weak novelty while consuming writing time; if the mentor and IPR cell judge the packaged system worth protecting after results are in, that becomes a post-semester follow-up.</w:t>
      </w:r>
    </w:p>
    <w:p>
      <w:r>
        <w:br w:type="page"/>
      </w:r>
    </w:p>
    <w:p>
      <w:pPr>
        <w:pStyle w:val="Heading1"/>
        <w:spacing w:after="160" w:before="320"/>
      </w:pPr>
      <w:r>
        <w:rPr>
          <w:rFonts w:ascii="Calibri" w:cs="Calibri" w:eastAsia="Calibri" w:hAnsi="Calibri"/>
          <w:b/>
          <w:bCs/>
          <w:color w:val="1F5C73"/>
          <w:sz w:val="30"/>
          <w:szCs w:val="30"/>
        </w:rPr>
        <w:t xml:space="preserve">24. Glossary of Key Terms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Term</w:t>
            </w:r>
          </w:p>
        </w:tc>
        <w:tc>
          <w:tcPr>
            <w:tcW w:type="dxa" w:w="6000"/>
            <w:tcBorders>
              <w:top w:val="single" w:color="BFCFD6" w:sz="4"/>
              <w:left w:val="single" w:color="BFCFD6" w:sz="4"/>
              <w:bottom w:val="single" w:color="BFCFD6" w:sz="4"/>
              <w:right w:val="single" w:color="BFCFD6" w:sz="4"/>
            </w:tcBorders>
            <w:shd w:fill="1F5C73" w:val="clear"/>
            <w:tcMar>
              <w:top w:type="dxa" w:w="80"/>
              <w:left w:type="dxa" w:w="100"/>
              <w:bottom w:type="dxa" w:w="80"/>
              <w:right w:type="dxa" w:w="100"/>
            </w:tcMar>
          </w:tcPr>
          <w:p>
            <w:pPr>
              <w:spacing w:after="40" w:line="252"/>
            </w:pPr>
            <w:r>
              <w:rPr>
                <w:rFonts w:ascii="Calibri" w:cs="Calibri" w:eastAsia="Calibri" w:hAnsi="Calibri"/>
                <w:b/>
                <w:bCs/>
                <w:color w:val="FFFFFF"/>
                <w:sz w:val="19"/>
                <w:szCs w:val="19"/>
              </w:rPr>
              <w:t xml:space="preserve">Meaning</w:t>
            </w:r>
          </w:p>
        </w:tc>
      </w:tr>
      <w:tr>
        <w:tc>
          <w:tcPr>
            <w:tcW w:type="dxa" w:w="30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Anomaly / defect detection</w:t>
            </w:r>
          </w:p>
        </w:tc>
        <w:tc>
          <w:tcPr>
            <w:tcW w:type="dxa" w:w="60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Deciding whether an image contains a flaw, and localising it as an anomaly map</w:t>
            </w:r>
          </w:p>
        </w:tc>
      </w:tr>
      <w:tr>
        <w:tc>
          <w:tcPr>
            <w:tcW w:type="dxa" w:w="30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Anomaly map</w:t>
            </w:r>
          </w:p>
        </w:tc>
        <w:tc>
          <w:tcPr>
            <w:tcW w:type="dxa" w:w="60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A per-pixel heat-map of how anomalous each region of the image is</w:t>
            </w:r>
          </w:p>
        </w:tc>
      </w:tr>
      <w:tr>
        <w:tc>
          <w:tcPr>
            <w:tcW w:type="dxa" w:w="30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Few-shot learning</w:t>
            </w:r>
          </w:p>
        </w:tc>
        <w:tc>
          <w:tcPr>
            <w:tcW w:type="dxa" w:w="60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Learning a new class from a handful of examples (here 1, 5 or 10)</w:t>
            </w:r>
          </w:p>
        </w:tc>
      </w:tr>
      <w:tr>
        <w:tc>
          <w:tcPr>
            <w:tcW w:type="dxa" w:w="30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Open-vocabulary detection</w:t>
            </w:r>
          </w:p>
        </w:tc>
        <w:tc>
          <w:tcPr>
            <w:tcW w:type="dxa" w:w="60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Specifying classes partly in plain text, so unseen defect types can be named and found</w:t>
            </w:r>
          </w:p>
        </w:tc>
      </w:tr>
      <w:tr>
        <w:tc>
          <w:tcPr>
            <w:tcW w:type="dxa" w:w="30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CLIP / vision–language model</w:t>
            </w:r>
          </w:p>
        </w:tc>
        <w:tc>
          <w:tcPr>
            <w:tcW w:type="dxa" w:w="60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A model pretrained on image–text pairs, embedding both into one shared space</w:t>
            </w:r>
          </w:p>
        </w:tc>
      </w:tr>
      <w:tr>
        <w:tc>
          <w:tcPr>
            <w:tcW w:type="dxa" w:w="30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Frozen backbone</w:t>
            </w:r>
          </w:p>
        </w:tc>
        <w:tc>
          <w:tcPr>
            <w:tcW w:type="dxa" w:w="60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A pretrained encoder whose weights are never updated; only light machinery on top is trained</w:t>
            </w:r>
          </w:p>
        </w:tc>
      </w:tr>
      <w:tr>
        <w:tc>
          <w:tcPr>
            <w:tcW w:type="dxa" w:w="30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Prototype / prototype memory</w:t>
            </w:r>
          </w:p>
        </w:tc>
        <w:tc>
          <w:tcPr>
            <w:tcW w:type="dxa" w:w="60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A class represented by reference embeddings (from images and/or text) held in an appendable store</w:t>
            </w:r>
          </w:p>
        </w:tc>
      </w:tr>
      <w:tr>
        <w:tc>
          <w:tcPr>
            <w:tcW w:type="dxa" w:w="30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Adapter (Tip-Adapter-style)</w:t>
            </w:r>
          </w:p>
        </w:tc>
        <w:tc>
          <w:tcPr>
            <w:tcW w:type="dxa" w:w="60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A small trainable layer over frozen features, initialised from the few-shot cache and tuned for minutes</w:t>
            </w:r>
          </w:p>
        </w:tc>
      </w:tr>
      <w:tr>
        <w:tc>
          <w:tcPr>
            <w:tcW w:type="dxa" w:w="30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Append-only class addition</w:t>
            </w:r>
          </w:p>
        </w:tc>
        <w:tc>
          <w:tcPr>
            <w:tcW w:type="dxa" w:w="60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Adding a new defect class to the memory with no retraining and no change to existing classes</w:t>
            </w:r>
          </w:p>
        </w:tc>
      </w:tr>
      <w:tr>
        <w:tc>
          <w:tcPr>
            <w:tcW w:type="dxa" w:w="30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Feature bank</w:t>
            </w:r>
          </w:p>
        </w:tc>
        <w:tc>
          <w:tcPr>
            <w:tcW w:type="dxa" w:w="60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Cached encoder outputs reused across experiments so analysis runs need little or no GPU</w:t>
            </w:r>
          </w:p>
        </w:tc>
      </w:tr>
      <w:tr>
        <w:tc>
          <w:tcPr>
            <w:tcW w:type="dxa" w:w="30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ONNX / ONNX Runtime</w:t>
            </w:r>
          </w:p>
        </w:tc>
        <w:tc>
          <w:tcPr>
            <w:tcW w:type="dxa" w:w="60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A portable model format and CPU inference engine used for deployment-style measurement</w:t>
            </w:r>
          </w:p>
        </w:tc>
      </w:tr>
      <w:tr>
        <w:tc>
          <w:tcPr>
            <w:tcW w:type="dxa" w:w="30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INT8 post-training quantization</w:t>
            </w:r>
          </w:p>
        </w:tc>
        <w:tc>
          <w:tcPr>
            <w:tcW w:type="dxa" w:w="60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Compressing a trained model to 8-bit integers (dynamic or static) to cut size and CPU cost</w:t>
            </w:r>
          </w:p>
        </w:tc>
      </w:tr>
      <w:tr>
        <w:tc>
          <w:tcPr>
            <w:tcW w:type="dxa" w:w="30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Fidelity probe</w:t>
            </w:r>
          </w:p>
        </w:tc>
        <w:tc>
          <w:tcPr>
            <w:tcW w:type="dxa" w:w="60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A fixed image set on which exported/quantized model scores are verified against the original</w:t>
            </w:r>
          </w:p>
        </w:tc>
      </w:tr>
      <w:tr>
        <w:tc>
          <w:tcPr>
            <w:tcW w:type="dxa" w:w="30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AUROC / F1-max</w:t>
            </w:r>
          </w:p>
        </w:tc>
        <w:tc>
          <w:tcPr>
            <w:tcW w:type="dxa" w:w="60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Threshold-free and best-threshold detection quality metrics, at image and pixel level</w:t>
            </w:r>
          </w:p>
        </w:tc>
      </w:tr>
      <w:tr>
        <w:tc>
          <w:tcPr>
            <w:tcW w:type="dxa" w:w="30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Latency (median of 20)</w:t>
            </w:r>
          </w:p>
        </w:tc>
        <w:tc>
          <w:tcPr>
            <w:tcW w:type="dxa" w:w="60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CPU inference time per image, reported as the median of 20 timed runs after warm-up</w:t>
            </w:r>
          </w:p>
        </w:tc>
      </w:tr>
      <w:tr>
        <w:tc>
          <w:tcPr>
            <w:tcW w:type="dxa" w:w="30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Compute-efficiency frontier</w:t>
            </w:r>
          </w:p>
        </w:tc>
        <w:tc>
          <w:tcPr>
            <w:tcW w:type="dxa" w:w="60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The trade-off curve of accuracy against CPU cost across backbones, shots and precisions</w:t>
            </w:r>
          </w:p>
        </w:tc>
      </w:tr>
      <w:tr>
        <w:tc>
          <w:tcPr>
            <w:tcW w:type="dxa" w:w="30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Frozen split</w:t>
            </w:r>
          </w:p>
        </w:tc>
        <w:tc>
          <w:tcPr>
            <w:tcW w:type="dxa" w:w="6000"/>
            <w:tcBorders>
              <w:top w:val="single" w:color="BFCFD6" w:sz="4"/>
              <w:left w:val="single" w:color="BFCFD6" w:sz="4"/>
              <w:bottom w:val="single" w:color="BFCFD6" w:sz="4"/>
              <w:right w:val="single" w:color="BFCFD6" w:sz="4"/>
            </w:tcBorders>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A seeded, version-controlled few-shot subsample consumed identically by every experiment</w:t>
            </w:r>
          </w:p>
        </w:tc>
      </w:tr>
      <w:tr>
        <w:tc>
          <w:tcPr>
            <w:tcW w:type="dxa" w:w="30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Results freeze</w:t>
            </w:r>
          </w:p>
        </w:tc>
        <w:tc>
          <w:tcPr>
            <w:tcW w:type="dxa" w:w="6000"/>
            <w:tcBorders>
              <w:top w:val="single" w:color="BFCFD6" w:sz="4"/>
              <w:left w:val="single" w:color="BFCFD6" w:sz="4"/>
              <w:bottom w:val="single" w:color="BFCFD6" w:sz="4"/>
              <w:right w:val="single" w:color="BFCFD6" w:sz="4"/>
            </w:tcBorders>
            <w:shd w:fill="F2F2F2" w:val="clear"/>
            <w:tcMar>
              <w:top w:type="dxa" w:w="80"/>
              <w:left w:type="dxa" w:w="100"/>
              <w:bottom w:type="dxa" w:w="80"/>
              <w:right w:type="dxa" w:w="100"/>
            </w:tcMar>
          </w:tcPr>
          <w:p>
            <w:pPr>
              <w:spacing w:after="40" w:line="252"/>
            </w:pPr>
            <w:r>
              <w:rPr>
                <w:rFonts w:ascii="Calibri" w:cs="Calibri" w:eastAsia="Calibri" w:hAnsi="Calibri"/>
                <w:b w:val="false"/>
                <w:bCs w:val="false"/>
                <w:color w:val="222222"/>
                <w:sz w:val="19"/>
                <w:szCs w:val="19"/>
              </w:rPr>
              <w:t xml:space="preserve">The point after which no new experiments run and every figure regenerates from its manifest</w:t>
            </w:r>
          </w:p>
        </w:tc>
      </w:tr>
    </w:tbl>
    <w:p>
      <w:pPr>
        <w:pStyle w:val="Heading1"/>
        <w:spacing w:after="160" w:before="320"/>
      </w:pPr>
      <w:r>
        <w:rPr>
          <w:rFonts w:ascii="Calibri" w:cs="Calibri" w:eastAsia="Calibri" w:hAnsi="Calibri"/>
          <w:b/>
          <w:bCs/>
          <w:color w:val="1F5C73"/>
          <w:sz w:val="30"/>
          <w:szCs w:val="30"/>
        </w:rPr>
        <w:t xml:space="preserve">References</w:t>
      </w:r>
    </w:p>
    <w:p>
      <w:pPr>
        <w:spacing w:after="110" w:line="264"/>
      </w:pPr>
      <w:r>
        <w:rPr>
          <w:rFonts w:ascii="Calibri" w:cs="Calibri" w:eastAsia="Calibri" w:hAnsi="Calibri"/>
          <w:color w:val="222222"/>
          <w:sz w:val="19"/>
          <w:szCs w:val="19"/>
        </w:rPr>
        <w:t xml:space="preserve">[1] A. Radford, J. W. Kim, C. Hallacy, et al., “Learning Transferable Visual Models From Natural Language Supervision (CLIP),” in Proc. ICML, pp. 8748–8763, 2021.</w:t>
      </w:r>
    </w:p>
    <w:p>
      <w:pPr>
        <w:spacing w:after="110" w:line="264"/>
      </w:pPr>
      <w:r>
        <w:rPr>
          <w:rFonts w:ascii="Calibri" w:cs="Calibri" w:eastAsia="Calibri" w:hAnsi="Calibri"/>
          <w:color w:val="222222"/>
          <w:sz w:val="19"/>
          <w:szCs w:val="19"/>
        </w:rPr>
        <w:t xml:space="preserve">[2] J. Jeong, Y. Zou, T. Kim, D. Zhang, A. Ravichandran, and O. Dabeer, “WinCLIP: Zero-/Few-Shot Anomaly Classification and Segmentation,” in Proc. IEEE/CVF CVPR, pp. 19606–19616, 2023.</w:t>
      </w:r>
    </w:p>
    <w:p>
      <w:pPr>
        <w:spacing w:after="110" w:line="264"/>
      </w:pPr>
      <w:r>
        <w:rPr>
          <w:rFonts w:ascii="Calibri" w:cs="Calibri" w:eastAsia="Calibri" w:hAnsi="Calibri"/>
          <w:color w:val="222222"/>
          <w:sz w:val="19"/>
          <w:szCs w:val="19"/>
        </w:rPr>
        <w:t xml:space="preserve">[3] Q. Zhou, G. Pang, Y. Tian, S. He, and J. Chen, “AnomalyCLIP: Object-Agnostic Prompt Learning for Zero-Shot Anomaly Detection,” in Proc. ICLR, 2024.</w:t>
      </w:r>
    </w:p>
    <w:p>
      <w:pPr>
        <w:spacing w:after="110" w:line="264"/>
      </w:pPr>
      <w:r>
        <w:rPr>
          <w:rFonts w:ascii="Calibri" w:cs="Calibri" w:eastAsia="Calibri" w:hAnsi="Calibri"/>
          <w:color w:val="222222"/>
          <w:sz w:val="19"/>
          <w:szCs w:val="19"/>
        </w:rPr>
        <w:t xml:space="preserve">[4] K. Roth, L. Pemula, J. Zepeda, B. Schölkopf, T. Brox, and P. Gehler, “Towards Total Recall in Industrial Anomaly Detection (PatchCore),” in Proc. IEEE/CVF CVPR, pp. 14318–14328, 2022.</w:t>
      </w:r>
    </w:p>
    <w:p>
      <w:pPr>
        <w:spacing w:after="110" w:line="264"/>
      </w:pPr>
      <w:r>
        <w:rPr>
          <w:rFonts w:ascii="Calibri" w:cs="Calibri" w:eastAsia="Calibri" w:hAnsi="Calibri"/>
          <w:color w:val="222222"/>
          <w:sz w:val="19"/>
          <w:szCs w:val="19"/>
        </w:rPr>
        <w:t xml:space="preserve">[5] R. Zhang, W. Zhang, R. Fang, et al., “Tip-Adapter: Training-Free Adaption of CLIP for Few-Shot Classification,” in Proc. ECCV, pp. 493–510, 2022.</w:t>
      </w:r>
    </w:p>
    <w:p>
      <w:pPr>
        <w:spacing w:after="110" w:line="264"/>
      </w:pPr>
      <w:r>
        <w:rPr>
          <w:rFonts w:ascii="Calibri" w:cs="Calibri" w:eastAsia="Calibri" w:hAnsi="Calibri"/>
          <w:color w:val="222222"/>
          <w:sz w:val="19"/>
          <w:szCs w:val="19"/>
        </w:rPr>
        <w:t xml:space="preserve">[6] P. Bergmann, M. Fauser, D. Sattlegger, and C. Steger, “MVTec AD — A Comprehensive Real-World Dataset for Unsupervised Anomaly Detection,” in Proc. IEEE/CVF CVPR, pp. 9592–9600, 2019.</w:t>
      </w:r>
    </w:p>
    <w:p>
      <w:pPr>
        <w:spacing w:after="110" w:line="264"/>
      </w:pPr>
      <w:r>
        <w:rPr>
          <w:rFonts w:ascii="Calibri" w:cs="Calibri" w:eastAsia="Calibri" w:hAnsi="Calibri"/>
          <w:color w:val="222222"/>
          <w:sz w:val="19"/>
          <w:szCs w:val="19"/>
        </w:rPr>
        <w:t xml:space="preserve">[7] Y. Zou, J. Jeong, L. Pemula, D. Zhang, and O. Dabeer, “SPot-the-Difference Self-Supervised Pre-training for Anomaly Detection and Segmentation (VisA),” in Proc. ECCV, pp. 392–408, 2022.</w:t>
      </w:r>
    </w:p>
    <w:p>
      <w:pPr>
        <w:spacing w:after="110" w:line="264"/>
      </w:pPr>
      <w:r>
        <w:rPr>
          <w:rFonts w:ascii="Calibri" w:cs="Calibri" w:eastAsia="Calibri" w:hAnsi="Calibri"/>
          <w:color w:val="222222"/>
          <w:sz w:val="19"/>
          <w:szCs w:val="19"/>
        </w:rPr>
        <w:t xml:space="preserve">[8] K. Song and Y. Yan, “A Noise Robust Method Based on Completed Local Binary Patterns for Hot-Rolled Steel Strip Surface Defects (NEU surface-defect database),” Applied Surface Science, vol. 285, pp. 858–864, 2013.</w:t>
      </w:r>
    </w:p>
    <w:p>
      <w:pPr>
        <w:spacing w:after="110" w:line="264"/>
      </w:pPr>
      <w:r>
        <w:rPr>
          <w:rFonts w:ascii="Calibri" w:cs="Calibri" w:eastAsia="Calibri" w:hAnsi="Calibri"/>
          <w:color w:val="222222"/>
          <w:sz w:val="19"/>
          <w:szCs w:val="19"/>
        </w:rPr>
        <w:t xml:space="preserve">[9] S. Jezek, M. Jonak, R. Burget, P. Dvorak, and M. Skotak, “Deep Learning-Based Defect Detection of Metal Parts: Evaluating Current Methods in Complex Conditions (MPDD),” in Proc. ICUMT, pp. 66–71, 2021.</w:t>
      </w:r>
    </w:p>
    <w:p>
      <w:pPr>
        <w:spacing w:after="110" w:line="264"/>
      </w:pPr>
      <w:r>
        <w:rPr>
          <w:rFonts w:ascii="Calibri" w:cs="Calibri" w:eastAsia="Calibri" w:hAnsi="Calibri"/>
          <w:color w:val="222222"/>
          <w:sz w:val="19"/>
          <w:szCs w:val="19"/>
        </w:rPr>
        <w:t xml:space="preserve">[10] S. Akcay, D. Ameln, A. Vaidya, B. Lakshmanan, N. Ahuja, and U. Genc, “Anomalib: A Deep Learning Library for Anomaly Detection,” in Proc. IEEE ICIP, pp. 1706–1710, 2022.</w:t>
      </w:r>
    </w:p>
    <w:p>
      <w:pPr>
        <w:spacing w:after="110" w:line="264"/>
      </w:pPr>
      <w:r>
        <w:rPr>
          <w:rFonts w:ascii="Calibri" w:cs="Calibri" w:eastAsia="Calibri" w:hAnsi="Calibri"/>
          <w:color w:val="222222"/>
          <w:sz w:val="19"/>
          <w:szCs w:val="19"/>
        </w:rPr>
        <w:t xml:space="preserve">[11] M. Cherti, R. Beaumont, R. Wightman, et al., “Reproducible Scaling Laws for Contrastive Language-Image Learning (OpenCLIP),” in Proc. IEEE/CVF CVPR, pp. 2818–2829, 2023.</w:t>
      </w:r>
    </w:p>
    <w:p>
      <w:pPr>
        <w:spacing w:after="110" w:line="264"/>
      </w:pPr>
      <w:r>
        <w:rPr>
          <w:rFonts w:ascii="Calibri" w:cs="Calibri" w:eastAsia="Calibri" w:hAnsi="Calibri"/>
          <w:color w:val="222222"/>
          <w:sz w:val="19"/>
          <w:szCs w:val="19"/>
        </w:rPr>
        <w:t xml:space="preserve">[12] ONNX Runtime Development Team, “ONNX Runtime: Quantization and CPU Execution Provider Documentation,” Microsoft, onnxruntime.ai, accessed 2026.</w:t>
      </w:r>
    </w:p>
    <w:p>
      <w:pPr>
        <w:spacing w:after="110" w:line="264"/>
      </w:pPr>
      <w:r>
        <w:rPr>
          <w:rFonts w:ascii="Calibri" w:cs="Calibri" w:eastAsia="Calibri" w:hAnsi="Calibri"/>
          <w:color w:val="222222"/>
          <w:sz w:val="19"/>
          <w:szCs w:val="19"/>
        </w:rPr>
        <w:t xml:space="preserve">[13] E. B. Hansen and S. Bøgh, “Artificial Intelligence and Internet of Things in Small and Medium-Sized Enterprises: A Survey,” Journal of Manufacturing Systems, vol. 58, pp. 362–372, 2021.</w:t>
      </w:r>
    </w:p>
    <w:p>
      <w:pPr>
        <w:spacing w:after="110" w:line="264"/>
      </w:pPr>
      <w:r>
        <w:rPr>
          <w:rFonts w:ascii="Calibri" w:cs="Calibri" w:eastAsia="Calibri" w:hAnsi="Calibri"/>
          <w:color w:val="222222"/>
          <w:sz w:val="19"/>
          <w:szCs w:val="19"/>
        </w:rPr>
        <w:t xml:space="preserve">[14] J. Liu, G. Xie, J. Wang, et al., “Deep Industrial Image Anomaly Detection: A Survey,” Machine Intelligence Research, vol. 21, pp. 104–135, 2024.</w:t>
      </w:r>
    </w:p>
    <w:p>
      <w:pPr>
        <w:spacing w:before="160"/>
      </w:pPr>
      <w:r>
        <w:rPr>
          <w:rFonts w:ascii="Calibri" w:cs="Calibri" w:eastAsia="Calibri" w:hAnsi="Calibri"/>
          <w:i/>
          <w:iCs/>
          <w:color w:val="555555"/>
          <w:sz w:val="18"/>
          <w:szCs w:val="18"/>
        </w:rPr>
        <w:t xml:space="preserve">Note: references 1–11 and 13–14 are peer-reviewed or archival technical sources; 12 is vendor documentation for the quantization tooling. Dataset access links (MVTec, spot-diff, Kaggle NEU-DET mirror, stepanje/MPDD) are recorded in the licence log during Week 1.</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2026-08-20T15:11:40.047Z</dcterms:created>
  <dcterms:modified xsi:type="dcterms:W3CDTF">2026-08-20T15:11:40.061Z</dcterms:modified>
</cp:coreProperties>
</file>

<file path=docProps/custom.xml><?xml version="1.0" encoding="utf-8"?>
<Properties xmlns="http://schemas.openxmlformats.org/officeDocument/2006/custom-properties" xmlns:vt="http://schemas.openxmlformats.org/officeDocument/2006/docPropsVTypes"/>
</file>