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E2A" w:val="clear"/>
            <w:tcMar>
              <w:top w:type="dxa" w:w="1200"/>
              <w:left w:type="dxa" w:w="480"/>
              <w:bottom w:type="dxa" w:w="1200"/>
              <w:right w:type="dxa" w:w="480"/>
            </w:tcMar>
            <w:vAlign w:val="center"/>
          </w:tcPr>
          <w:p>
            <w:pPr>
              <w:spacing w:after="60" w:before="0"/>
              <w:jc w:val="center"/>
            </w:pPr>
            <w:r>
              <w:rPr>
                <w:rFonts w:ascii="Arial" w:cs="Arial" w:eastAsia="Arial" w:hAnsi="Arial"/>
                <w:b/>
                <w:bCs/>
                <w:color w:val="FFD700"/>
                <w:sz w:val="96"/>
                <w:szCs w:val="96"/>
              </w:rPr>
              <w:t xml:space="preserve">BLINKIT</w:t>
            </w:r>
          </w:p>
          <w:p>
            <w:pPr>
              <w:spacing w:after="120" w:before="0"/>
              <w:jc w:val="center"/>
            </w:pPr>
            <w:r>
              <w:rPr>
                <w:rFonts w:ascii="Arial" w:cs="Arial" w:eastAsia="Arial" w:hAnsi="Arial"/>
                <w:b/>
                <w:bCs/>
                <w:color w:val="FFFFFF"/>
                <w:sz w:val="52"/>
                <w:szCs w:val="52"/>
              </w:rPr>
              <w:t xml:space="preserve">Sales Analysis Report</w:t>
            </w:r>
          </w:p>
          <w:p>
            <w:pPr>
              <w:spacing w:after="240" w:before="0"/>
              <w:jc w:val="center"/>
            </w:pPr>
            <w:r>
              <w:rPr>
                <w:rFonts w:ascii="Arial" w:cs="Arial" w:eastAsia="Arial" w:hAnsi="Arial"/>
                <w:color w:val="E8F5E9"/>
                <w:sz w:val="28"/>
                <w:szCs w:val="28"/>
              </w:rPr>
              <w:t xml:space="preserve">Comprehensive Business Intelligence &amp; Performance Review</w:t>
            </w:r>
          </w:p>
          <w:p>
            <w:pPr>
              <w:spacing w:after="200" w:before="0"/>
              <w:jc w:val="center"/>
            </w:pPr>
            <w:r>
              <w:rPr>
                <w:rFonts w:ascii="Arial" w:cs="Arial" w:eastAsia="Arial" w:hAnsi="Arial"/>
                <w:color w:val="FFD700"/>
                <w:sz w:val="24"/>
                <w:szCs w:val="24"/>
              </w:rPr>
              <w:t xml:space="preserve">━━━━━━━━━━━━━━━━━━━━━━━━━━━━━━━━━━━━━━━</w:t>
            </w:r>
          </w:p>
          <w:p>
            <w:pPr>
              <w:spacing w:after="60" w:before="0"/>
              <w:jc w:val="center"/>
            </w:pPr>
            <w:r>
              <w:rPr>
                <w:rFonts w:ascii="Arial" w:cs="Arial" w:eastAsia="Arial" w:hAnsi="Arial"/>
                <w:color w:val="FFFFFF"/>
                <w:sz w:val="22"/>
                <w:szCs w:val="22"/>
              </w:rPr>
              <w:t xml:space="preserve">Powered by Power BI  |  Analysis Date: May 2026</w:t>
            </w:r>
          </w:p>
          <w:p>
            <w:pPr>
              <w:spacing w:after="0" w:before="0"/>
              <w:jc w:val="center"/>
            </w:pPr>
            <w:r>
              <w:rPr>
                <w:rFonts w:ascii="Arial" w:cs="Arial" w:eastAsia="Arial" w:hAnsi="Arial"/>
                <w:color w:val="E8F5E9"/>
                <w:sz w:val="22"/>
                <w:szCs w:val="22"/>
              </w:rPr>
              <w:t xml:space="preserve">India's Instant Delivery Super App</w:t>
            </w:r>
          </w:p>
        </w:tc>
      </w:tr>
    </w:tbl>
    <w:p>
      <w:pPr>
        <w:spacing w:after="120" w:before="120"/>
      </w:pPr>
      <w:r>
        <w:t xml:space="preserve"/>
      </w:r>
    </w:p>
    <w:p>
      <w:pPr>
        <w:jc w:val="center"/>
      </w:pPr>
      <w:r>
        <w:rPr>
          <w:rFonts w:ascii="Arial" w:cs="Arial" w:eastAsia="Arial" w:hAnsi="Arial"/>
          <w:b/>
          <w:bCs/>
          <w:color w:val="888888"/>
          <w:sz w:val="22"/>
          <w:szCs w:val="22"/>
        </w:rPr>
        <w:t xml:space="preserve">DASHBOARD OVERVIEW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6E2A" w:val="clear"/>
            <w:tcMar>
              <w:top w:type="dxa" w:w="160"/>
              <w:left w:type="dxa" w:w="180"/>
              <w:bottom w:type="dxa" w:w="160"/>
              <w:right w:type="dxa" w:w="180"/>
            </w:tcMar>
            <w:vAlign w:val="center"/>
          </w:tcPr>
          <w:p>
            <w:pPr>
              <w:spacing w:after="20" w:before="40"/>
              <w:jc w:val="center"/>
            </w:pPr>
            <w:r>
              <w:rPr>
                <w:rFonts w:ascii="Arial" w:cs="Arial" w:eastAsia="Arial" w:hAnsi="Arial"/>
                <w:b/>
                <w:bCs/>
                <w:color w:val="FFD700"/>
                <w:sz w:val="48"/>
                <w:szCs w:val="48"/>
              </w:rPr>
              <w:t xml:space="preserve">₹1.20M+</w:t>
            </w:r>
          </w:p>
          <w:p>
            <w:pPr>
              <w:spacing w:after="40" w:before="0"/>
              <w:jc w:val="center"/>
            </w:pPr>
            <w:r>
              <w:rPr>
                <w:rFonts w:ascii="Arial" w:cs="Arial" w:eastAsia="Arial" w:hAnsi="Arial"/>
                <w:color w:val="FFFFFF"/>
                <w:sz w:val="18"/>
                <w:szCs w:val="18"/>
              </w:rPr>
              <w:t xml:space="preserve">Total Sales</w:t>
            </w:r>
          </w:p>
        </w:tc>
        <w:tc>
          <w:tcPr>
            <w:tcW w:type="dxa" w:w="1872"/>
            <w:tcBorders>
              <w:top w:val="single" w:color="CCCCCC" w:sz="1"/>
              <w:left w:val="single" w:color="CCCCCC" w:sz="1"/>
              <w:bottom w:val="single" w:color="CCCCCC" w:sz="1"/>
              <w:right w:val="single" w:color="CCCCCC" w:sz="1"/>
            </w:tcBorders>
            <w:shd w:fill="1A6E2A" w:val="clear"/>
            <w:tcMar>
              <w:top w:type="dxa" w:w="160"/>
              <w:left w:type="dxa" w:w="180"/>
              <w:bottom w:type="dxa" w:w="160"/>
              <w:right w:type="dxa" w:w="180"/>
            </w:tcMar>
            <w:vAlign w:val="center"/>
          </w:tcPr>
          <w:p>
            <w:pPr>
              <w:spacing w:after="20" w:before="40"/>
              <w:jc w:val="center"/>
            </w:pPr>
            <w:r>
              <w:rPr>
                <w:rFonts w:ascii="Arial" w:cs="Arial" w:eastAsia="Arial" w:hAnsi="Arial"/>
                <w:b/>
                <w:bCs/>
                <w:color w:val="FFD700"/>
                <w:sz w:val="48"/>
                <w:szCs w:val="48"/>
              </w:rPr>
              <w:t xml:space="preserve">3.9 / 5</w:t>
            </w:r>
          </w:p>
          <w:p>
            <w:pPr>
              <w:spacing w:after="40" w:before="0"/>
              <w:jc w:val="center"/>
            </w:pPr>
            <w:r>
              <w:rPr>
                <w:rFonts w:ascii="Arial" w:cs="Arial" w:eastAsia="Arial" w:hAnsi="Arial"/>
                <w:color w:val="FFFFFF"/>
                <w:sz w:val="18"/>
                <w:szCs w:val="18"/>
              </w:rPr>
              <w:t xml:space="preserve">Avg Rating</w:t>
            </w:r>
          </w:p>
        </w:tc>
        <w:tc>
          <w:tcPr>
            <w:tcW w:type="dxa" w:w="1872"/>
            <w:tcBorders>
              <w:top w:val="single" w:color="CCCCCC" w:sz="1"/>
              <w:left w:val="single" w:color="CCCCCC" w:sz="1"/>
              <w:bottom w:val="single" w:color="CCCCCC" w:sz="1"/>
              <w:right w:val="single" w:color="CCCCCC" w:sz="1"/>
            </w:tcBorders>
            <w:shd w:fill="1A6E2A" w:val="clear"/>
            <w:tcMar>
              <w:top w:type="dxa" w:w="160"/>
              <w:left w:type="dxa" w:w="180"/>
              <w:bottom w:type="dxa" w:w="160"/>
              <w:right w:type="dxa" w:w="180"/>
            </w:tcMar>
            <w:vAlign w:val="center"/>
          </w:tcPr>
          <w:p>
            <w:pPr>
              <w:spacing w:after="20" w:before="40"/>
              <w:jc w:val="center"/>
            </w:pPr>
            <w:r>
              <w:rPr>
                <w:rFonts w:ascii="Arial" w:cs="Arial" w:eastAsia="Arial" w:hAnsi="Arial"/>
                <w:b/>
                <w:bCs/>
                <w:color w:val="FFD700"/>
                <w:sz w:val="48"/>
                <w:szCs w:val="48"/>
              </w:rPr>
              <w:t xml:space="preserve">131+</w:t>
            </w:r>
          </w:p>
          <w:p>
            <w:pPr>
              <w:spacing w:after="40" w:before="0"/>
              <w:jc w:val="center"/>
            </w:pPr>
            <w:r>
              <w:rPr>
                <w:rFonts w:ascii="Arial" w:cs="Arial" w:eastAsia="Arial" w:hAnsi="Arial"/>
                <w:color w:val="FFFFFF"/>
                <w:sz w:val="18"/>
                <w:szCs w:val="18"/>
              </w:rPr>
              <w:t xml:space="preserve">Outlets</w:t>
            </w:r>
          </w:p>
        </w:tc>
        <w:tc>
          <w:tcPr>
            <w:tcW w:type="dxa" w:w="1872"/>
            <w:tcBorders>
              <w:top w:val="single" w:color="CCCCCC" w:sz="1"/>
              <w:left w:val="single" w:color="CCCCCC" w:sz="1"/>
              <w:bottom w:val="single" w:color="CCCCCC" w:sz="1"/>
              <w:right w:val="single" w:color="CCCCCC" w:sz="1"/>
            </w:tcBorders>
            <w:shd w:fill="1A6E2A" w:val="clear"/>
            <w:tcMar>
              <w:top w:type="dxa" w:w="160"/>
              <w:left w:type="dxa" w:w="180"/>
              <w:bottom w:type="dxa" w:w="160"/>
              <w:right w:type="dxa" w:w="180"/>
            </w:tcMar>
            <w:vAlign w:val="center"/>
          </w:tcPr>
          <w:p>
            <w:pPr>
              <w:spacing w:after="20" w:before="40"/>
              <w:jc w:val="center"/>
            </w:pPr>
            <w:r>
              <w:rPr>
                <w:rFonts w:ascii="Arial" w:cs="Arial" w:eastAsia="Arial" w:hAnsi="Arial"/>
                <w:b/>
                <w:bCs/>
                <w:color w:val="FFD700"/>
                <w:sz w:val="48"/>
                <w:szCs w:val="48"/>
              </w:rPr>
              <w:t xml:space="preserve">₹141</w:t>
            </w:r>
          </w:p>
          <w:p>
            <w:pPr>
              <w:spacing w:after="40" w:before="0"/>
              <w:jc w:val="center"/>
            </w:pPr>
            <w:r>
              <w:rPr>
                <w:rFonts w:ascii="Arial" w:cs="Arial" w:eastAsia="Arial" w:hAnsi="Arial"/>
                <w:color w:val="FFFFFF"/>
                <w:sz w:val="18"/>
                <w:szCs w:val="18"/>
              </w:rPr>
              <w:t xml:space="preserve">Avg Sale/Outlet</w:t>
            </w:r>
          </w:p>
        </w:tc>
        <w:tc>
          <w:tcPr>
            <w:tcW w:type="dxa" w:w="1872"/>
            <w:tcBorders>
              <w:top w:val="single" w:color="CCCCCC" w:sz="1"/>
              <w:left w:val="single" w:color="CCCCCC" w:sz="1"/>
              <w:bottom w:val="single" w:color="CCCCCC" w:sz="1"/>
              <w:right w:val="single" w:color="CCCCCC" w:sz="1"/>
            </w:tcBorders>
            <w:shd w:fill="1A6E2A" w:val="clear"/>
            <w:tcMar>
              <w:top w:type="dxa" w:w="160"/>
              <w:left w:type="dxa" w:w="180"/>
              <w:bottom w:type="dxa" w:w="160"/>
              <w:right w:type="dxa" w:w="180"/>
            </w:tcMar>
            <w:vAlign w:val="center"/>
          </w:tcPr>
          <w:p>
            <w:pPr>
              <w:spacing w:after="20" w:before="40"/>
              <w:jc w:val="center"/>
            </w:pPr>
            <w:r>
              <w:rPr>
                <w:rFonts w:ascii="Arial" w:cs="Arial" w:eastAsia="Arial" w:hAnsi="Arial"/>
                <w:b/>
                <w:bCs/>
                <w:color w:val="FFD700"/>
                <w:sz w:val="48"/>
                <w:szCs w:val="48"/>
              </w:rPr>
              <w:t xml:space="preserve">1,559+</w:t>
            </w:r>
          </w:p>
          <w:p>
            <w:pPr>
              <w:spacing w:after="40" w:before="0"/>
              <w:jc w:val="center"/>
            </w:pPr>
            <w:r>
              <w:rPr>
                <w:rFonts w:ascii="Arial" w:cs="Arial" w:eastAsia="Arial" w:hAnsi="Arial"/>
                <w:color w:val="FFFFFF"/>
                <w:sz w:val="18"/>
                <w:szCs w:val="18"/>
              </w:rPr>
              <w:t xml:space="preserve">Unique Items</w:t>
            </w:r>
          </w:p>
        </w:tc>
      </w:tr>
    </w:tbl>
    <w:p>
      <w:pPr>
        <w:spacing w:after="120" w:before="120"/>
      </w:pPr>
      <w:r>
        <w:t xml:space="preserve"/>
      </w:r>
    </w:p>
    <w:p>
      <w:pPr>
        <w:jc w:val="center"/>
      </w:pPr>
      <w:r>
        <w:rPr>
          <w:rFonts w:ascii="Arial" w:cs="Arial" w:eastAsia="Arial" w:hAnsi="Arial"/>
          <w:color w:val="2E7D32"/>
          <w:sz w:val="20"/>
          <w:szCs w:val="20"/>
        </w:rPr>
        <w:t xml:space="preserve">3 Report Pages: Overview  |  Product Analysis  |  Outlet Performance</w:t>
      </w:r>
    </w:p>
    <w:p>
      <w:r>
        <w:br w:type="page"/>
      </w:r>
    </w:p>
    <w:p>
      <w:pPr>
        <w:pStyle w:val="Heading1"/>
        <w:pBdr>
          <w:bottom w:val="single" w:color="FFD700" w:sz="8"/>
        </w:pBdr>
        <w:shd w:fill="1A6E2A" w:val="clear"/>
        <w:spacing w:after="180" w:before="240"/>
        <w:ind w:left="180"/>
      </w:pPr>
      <w:r>
        <w:rPr>
          <w:rFonts w:ascii="Arial" w:cs="Arial" w:eastAsia="Arial" w:hAnsi="Arial"/>
          <w:b/>
          <w:bCs/>
          <w:color w:val="FFFFFF"/>
          <w:sz w:val="36"/>
          <w:szCs w:val="36"/>
        </w:rPr>
        <w:t xml:space="preserve">TABLE OF CONTENTS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c>
          <w:tcPr>
            <w:tcW w:type="dxa" w:w="1000"/>
            <w:tcBorders>
              <w:top w:val="none" w:color="FFFFFF" w:sz="0"/>
              <w:left w:val="none" w:color="FFFFFF" w:sz="0"/>
              <w:bottom w:val="none" w:color="FFFFFF" w:sz="0"/>
              <w:right w:val="none" w:color="FFFFFF" w:sz="0"/>
            </w:tcBorders>
            <w:shd w:fill="1A6E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w:t>
            </w:r>
          </w:p>
        </w:tc>
        <w:tc>
          <w:tcPr>
            <w:tcW w:type="dxa" w:w="6560"/>
            <w:tcBorders>
              <w:top w:val="none" w:color="FFFFFF" w:sz="0"/>
              <w:left w:val="none" w:color="FFFFFF" w:sz="0"/>
              <w:bottom w:val="none" w:color="FFFFFF" w:sz="0"/>
              <w:right w:val="none" w:color="FFFFFF" w:sz="0"/>
            </w:tcBorders>
            <w:shd w:fill="E8F5E9" w:val="clear"/>
            <w:tcMar>
              <w:top w:type="dxa" w:w="80"/>
              <w:left w:type="dxa" w:w="180"/>
              <w:bottom w:type="dxa" w:w="80"/>
              <w:right w:type="dxa" w:w="120"/>
            </w:tcMar>
          </w:tcPr>
          <w:p>
            <w:r>
              <w:rPr>
                <w:rFonts w:ascii="Arial" w:cs="Arial" w:eastAsia="Arial" w:hAnsi="Arial"/>
                <w:color w:val="212121"/>
                <w:sz w:val="22"/>
                <w:szCs w:val="22"/>
              </w:rPr>
              <w:t xml:space="preserve">Executive Summary</w:t>
            </w:r>
          </w:p>
        </w:tc>
        <w:tc>
          <w:tcPr>
            <w:tcW w:type="dxa" w:w="1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jc w:val="right"/>
            </w:pPr>
            <w:r>
              <w:rPr>
                <w:rFonts w:ascii="Arial" w:cs="Arial" w:eastAsia="Arial" w:hAnsi="Arial"/>
                <w:color w:val="2E7D32"/>
                <w:sz w:val="22"/>
                <w:szCs w:val="22"/>
              </w:rPr>
              <w:t xml:space="preserve">Page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c>
          <w:tcPr>
            <w:tcW w:type="dxa" w:w="1000"/>
            <w:tcBorders>
              <w:top w:val="none" w:color="FFFFFF" w:sz="0"/>
              <w:left w:val="none" w:color="FFFFFF" w:sz="0"/>
              <w:bottom w:val="none" w:color="FFFFFF" w:sz="0"/>
              <w:right w:val="none" w:color="FFFFFF" w:sz="0"/>
            </w:tcBorders>
            <w:shd w:fill="1A6E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2.</w:t>
            </w:r>
          </w:p>
        </w:tc>
        <w:tc>
          <w:tcPr>
            <w:tcW w:type="dxa" w:w="6560"/>
            <w:tcBorders>
              <w:top w:val="none" w:color="FFFFFF" w:sz="0"/>
              <w:left w:val="none" w:color="FFFFFF" w:sz="0"/>
              <w:bottom w:val="none" w:color="FFFFFF" w:sz="0"/>
              <w:right w:val="none" w:color="FFFFFF" w:sz="0"/>
            </w:tcBorders>
            <w:shd w:fill="E8F5E9" w:val="clear"/>
            <w:tcMar>
              <w:top w:type="dxa" w:w="80"/>
              <w:left w:type="dxa" w:w="180"/>
              <w:bottom w:type="dxa" w:w="80"/>
              <w:right w:type="dxa" w:w="120"/>
            </w:tcMar>
          </w:tcPr>
          <w:p>
            <w:r>
              <w:rPr>
                <w:rFonts w:ascii="Arial" w:cs="Arial" w:eastAsia="Arial" w:hAnsi="Arial"/>
                <w:color w:val="212121"/>
                <w:sz w:val="22"/>
                <w:szCs w:val="22"/>
              </w:rPr>
              <w:t xml:space="preserve">WHAT: Dashboard Overview &amp; Key Metrics</w:t>
            </w:r>
          </w:p>
        </w:tc>
        <w:tc>
          <w:tcPr>
            <w:tcW w:type="dxa" w:w="1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jc w:val="right"/>
            </w:pPr>
            <w:r>
              <w:rPr>
                <w:rFonts w:ascii="Arial" w:cs="Arial" w:eastAsia="Arial" w:hAnsi="Arial"/>
                <w:color w:val="2E7D32"/>
                <w:sz w:val="22"/>
                <w:szCs w:val="22"/>
              </w:rPr>
              <w:t xml:space="preserve">Page 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c>
          <w:tcPr>
            <w:tcW w:type="dxa" w:w="1000"/>
            <w:tcBorders>
              <w:top w:val="none" w:color="FFFFFF" w:sz="0"/>
              <w:left w:val="none" w:color="FFFFFF" w:sz="0"/>
              <w:bottom w:val="none" w:color="FFFFFF" w:sz="0"/>
              <w:right w:val="none" w:color="FFFFFF" w:sz="0"/>
            </w:tcBorders>
            <w:shd w:fill="1A6E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3.</w:t>
            </w:r>
          </w:p>
        </w:tc>
        <w:tc>
          <w:tcPr>
            <w:tcW w:type="dxa" w:w="6560"/>
            <w:tcBorders>
              <w:top w:val="none" w:color="FFFFFF" w:sz="0"/>
              <w:left w:val="none" w:color="FFFFFF" w:sz="0"/>
              <w:bottom w:val="none" w:color="FFFFFF" w:sz="0"/>
              <w:right w:val="none" w:color="FFFFFF" w:sz="0"/>
            </w:tcBorders>
            <w:shd w:fill="E8F5E9" w:val="clear"/>
            <w:tcMar>
              <w:top w:type="dxa" w:w="80"/>
              <w:left w:type="dxa" w:w="180"/>
              <w:bottom w:type="dxa" w:w="80"/>
              <w:right w:type="dxa" w:w="120"/>
            </w:tcMar>
          </w:tcPr>
          <w:p>
            <w:r>
              <w:rPr>
                <w:rFonts w:ascii="Arial" w:cs="Arial" w:eastAsia="Arial" w:hAnsi="Arial"/>
                <w:color w:val="212121"/>
                <w:sz w:val="22"/>
                <w:szCs w:val="22"/>
              </w:rPr>
              <w:t xml:space="preserve">WHO: Target Audience &amp; Stakeholders</w:t>
            </w:r>
          </w:p>
        </w:tc>
        <w:tc>
          <w:tcPr>
            <w:tcW w:type="dxa" w:w="1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jc w:val="right"/>
            </w:pPr>
            <w:r>
              <w:rPr>
                <w:rFonts w:ascii="Arial" w:cs="Arial" w:eastAsia="Arial" w:hAnsi="Arial"/>
                <w:color w:val="2E7D32"/>
                <w:sz w:val="22"/>
                <w:szCs w:val="22"/>
              </w:rPr>
              <w:t xml:space="preserve">Page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c>
          <w:tcPr>
            <w:tcW w:type="dxa" w:w="1000"/>
            <w:tcBorders>
              <w:top w:val="none" w:color="FFFFFF" w:sz="0"/>
              <w:left w:val="none" w:color="FFFFFF" w:sz="0"/>
              <w:bottom w:val="none" w:color="FFFFFF" w:sz="0"/>
              <w:right w:val="none" w:color="FFFFFF" w:sz="0"/>
            </w:tcBorders>
            <w:shd w:fill="1A6E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4.</w:t>
            </w:r>
          </w:p>
        </w:tc>
        <w:tc>
          <w:tcPr>
            <w:tcW w:type="dxa" w:w="6560"/>
            <w:tcBorders>
              <w:top w:val="none" w:color="FFFFFF" w:sz="0"/>
              <w:left w:val="none" w:color="FFFFFF" w:sz="0"/>
              <w:bottom w:val="none" w:color="FFFFFF" w:sz="0"/>
              <w:right w:val="none" w:color="FFFFFF" w:sz="0"/>
            </w:tcBorders>
            <w:shd w:fill="E8F5E9" w:val="clear"/>
            <w:tcMar>
              <w:top w:type="dxa" w:w="80"/>
              <w:left w:type="dxa" w:w="180"/>
              <w:bottom w:type="dxa" w:w="80"/>
              <w:right w:type="dxa" w:w="120"/>
            </w:tcMar>
          </w:tcPr>
          <w:p>
            <w:r>
              <w:rPr>
                <w:rFonts w:ascii="Arial" w:cs="Arial" w:eastAsia="Arial" w:hAnsi="Arial"/>
                <w:color w:val="212121"/>
                <w:sz w:val="22"/>
                <w:szCs w:val="22"/>
              </w:rPr>
              <w:t xml:space="preserve">WHERE: Geographic &amp; Outlet Distribution</w:t>
            </w:r>
          </w:p>
        </w:tc>
        <w:tc>
          <w:tcPr>
            <w:tcW w:type="dxa" w:w="1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jc w:val="right"/>
            </w:pPr>
            <w:r>
              <w:rPr>
                <w:rFonts w:ascii="Arial" w:cs="Arial" w:eastAsia="Arial" w:hAnsi="Arial"/>
                <w:color w:val="2E7D32"/>
                <w:sz w:val="22"/>
                <w:szCs w:val="22"/>
              </w:rPr>
              <w:t xml:space="preserve">Page 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c>
          <w:tcPr>
            <w:tcW w:type="dxa" w:w="1000"/>
            <w:tcBorders>
              <w:top w:val="none" w:color="FFFFFF" w:sz="0"/>
              <w:left w:val="none" w:color="FFFFFF" w:sz="0"/>
              <w:bottom w:val="none" w:color="FFFFFF" w:sz="0"/>
              <w:right w:val="none" w:color="FFFFFF" w:sz="0"/>
            </w:tcBorders>
            <w:shd w:fill="1A6E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5.</w:t>
            </w:r>
          </w:p>
        </w:tc>
        <w:tc>
          <w:tcPr>
            <w:tcW w:type="dxa" w:w="6560"/>
            <w:tcBorders>
              <w:top w:val="none" w:color="FFFFFF" w:sz="0"/>
              <w:left w:val="none" w:color="FFFFFF" w:sz="0"/>
              <w:bottom w:val="none" w:color="FFFFFF" w:sz="0"/>
              <w:right w:val="none" w:color="FFFFFF" w:sz="0"/>
            </w:tcBorders>
            <w:shd w:fill="E8F5E9" w:val="clear"/>
            <w:tcMar>
              <w:top w:type="dxa" w:w="80"/>
              <w:left w:type="dxa" w:w="180"/>
              <w:bottom w:type="dxa" w:w="80"/>
              <w:right w:type="dxa" w:w="120"/>
            </w:tcMar>
          </w:tcPr>
          <w:p>
            <w:r>
              <w:rPr>
                <w:rFonts w:ascii="Arial" w:cs="Arial" w:eastAsia="Arial" w:hAnsi="Arial"/>
                <w:color w:val="212121"/>
                <w:sz w:val="22"/>
                <w:szCs w:val="22"/>
              </w:rPr>
              <w:t xml:space="preserve">WHEN: Sales Timeline &amp; Trend Analysis</w:t>
            </w:r>
          </w:p>
        </w:tc>
        <w:tc>
          <w:tcPr>
            <w:tcW w:type="dxa" w:w="1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jc w:val="right"/>
            </w:pPr>
            <w:r>
              <w:rPr>
                <w:rFonts w:ascii="Arial" w:cs="Arial" w:eastAsia="Arial" w:hAnsi="Arial"/>
                <w:color w:val="2E7D32"/>
                <w:sz w:val="22"/>
                <w:szCs w:val="22"/>
              </w:rPr>
              <w:t xml:space="preserve">Page 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c>
          <w:tcPr>
            <w:tcW w:type="dxa" w:w="1000"/>
            <w:tcBorders>
              <w:top w:val="none" w:color="FFFFFF" w:sz="0"/>
              <w:left w:val="none" w:color="FFFFFF" w:sz="0"/>
              <w:bottom w:val="none" w:color="FFFFFF" w:sz="0"/>
              <w:right w:val="none" w:color="FFFFFF" w:sz="0"/>
            </w:tcBorders>
            <w:shd w:fill="1A6E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6.</w:t>
            </w:r>
          </w:p>
        </w:tc>
        <w:tc>
          <w:tcPr>
            <w:tcW w:type="dxa" w:w="6560"/>
            <w:tcBorders>
              <w:top w:val="none" w:color="FFFFFF" w:sz="0"/>
              <w:left w:val="none" w:color="FFFFFF" w:sz="0"/>
              <w:bottom w:val="none" w:color="FFFFFF" w:sz="0"/>
              <w:right w:val="none" w:color="FFFFFF" w:sz="0"/>
            </w:tcBorders>
            <w:shd w:fill="E8F5E9" w:val="clear"/>
            <w:tcMar>
              <w:top w:type="dxa" w:w="80"/>
              <w:left w:type="dxa" w:w="180"/>
              <w:bottom w:type="dxa" w:w="80"/>
              <w:right w:type="dxa" w:w="120"/>
            </w:tcMar>
          </w:tcPr>
          <w:p>
            <w:r>
              <w:rPr>
                <w:rFonts w:ascii="Arial" w:cs="Arial" w:eastAsia="Arial" w:hAnsi="Arial"/>
                <w:color w:val="212121"/>
                <w:sz w:val="22"/>
                <w:szCs w:val="22"/>
              </w:rPr>
              <w:t xml:space="preserve">WHY: Business Rationale &amp; Objectives</w:t>
            </w:r>
          </w:p>
        </w:tc>
        <w:tc>
          <w:tcPr>
            <w:tcW w:type="dxa" w:w="1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jc w:val="right"/>
            </w:pPr>
            <w:r>
              <w:rPr>
                <w:rFonts w:ascii="Arial" w:cs="Arial" w:eastAsia="Arial" w:hAnsi="Arial"/>
                <w:color w:val="2E7D32"/>
                <w:sz w:val="22"/>
                <w:szCs w:val="22"/>
              </w:rPr>
              <w:t xml:space="preserve">Page 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c>
          <w:tcPr>
            <w:tcW w:type="dxa" w:w="1000"/>
            <w:tcBorders>
              <w:top w:val="none" w:color="FFFFFF" w:sz="0"/>
              <w:left w:val="none" w:color="FFFFFF" w:sz="0"/>
              <w:bottom w:val="none" w:color="FFFFFF" w:sz="0"/>
              <w:right w:val="none" w:color="FFFFFF" w:sz="0"/>
            </w:tcBorders>
            <w:shd w:fill="1A6E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7.</w:t>
            </w:r>
          </w:p>
        </w:tc>
        <w:tc>
          <w:tcPr>
            <w:tcW w:type="dxa" w:w="6560"/>
            <w:tcBorders>
              <w:top w:val="none" w:color="FFFFFF" w:sz="0"/>
              <w:left w:val="none" w:color="FFFFFF" w:sz="0"/>
              <w:bottom w:val="none" w:color="FFFFFF" w:sz="0"/>
              <w:right w:val="none" w:color="FFFFFF" w:sz="0"/>
            </w:tcBorders>
            <w:shd w:fill="E8F5E9" w:val="clear"/>
            <w:tcMar>
              <w:top w:type="dxa" w:w="80"/>
              <w:left w:type="dxa" w:w="180"/>
              <w:bottom w:type="dxa" w:w="80"/>
              <w:right w:type="dxa" w:w="120"/>
            </w:tcMar>
          </w:tcPr>
          <w:p>
            <w:r>
              <w:rPr>
                <w:rFonts w:ascii="Arial" w:cs="Arial" w:eastAsia="Arial" w:hAnsi="Arial"/>
                <w:color w:val="212121"/>
                <w:sz w:val="22"/>
                <w:szCs w:val="22"/>
              </w:rPr>
              <w:t xml:space="preserve">HOW: Methodology &amp; Dashboard Architecture</w:t>
            </w:r>
          </w:p>
        </w:tc>
        <w:tc>
          <w:tcPr>
            <w:tcW w:type="dxa" w:w="1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jc w:val="right"/>
            </w:pPr>
            <w:r>
              <w:rPr>
                <w:rFonts w:ascii="Arial" w:cs="Arial" w:eastAsia="Arial" w:hAnsi="Arial"/>
                <w:color w:val="2E7D32"/>
                <w:sz w:val="22"/>
                <w:szCs w:val="22"/>
              </w:rPr>
              <w:t xml:space="preserve">Page 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c>
          <w:tcPr>
            <w:tcW w:type="dxa" w:w="1000"/>
            <w:tcBorders>
              <w:top w:val="none" w:color="FFFFFF" w:sz="0"/>
              <w:left w:val="none" w:color="FFFFFF" w:sz="0"/>
              <w:bottom w:val="none" w:color="FFFFFF" w:sz="0"/>
              <w:right w:val="none" w:color="FFFFFF" w:sz="0"/>
            </w:tcBorders>
            <w:shd w:fill="1A6E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8.</w:t>
            </w:r>
          </w:p>
        </w:tc>
        <w:tc>
          <w:tcPr>
            <w:tcW w:type="dxa" w:w="6560"/>
            <w:tcBorders>
              <w:top w:val="none" w:color="FFFFFF" w:sz="0"/>
              <w:left w:val="none" w:color="FFFFFF" w:sz="0"/>
              <w:bottom w:val="none" w:color="FFFFFF" w:sz="0"/>
              <w:right w:val="none" w:color="FFFFFF" w:sz="0"/>
            </w:tcBorders>
            <w:shd w:fill="E8F5E9" w:val="clear"/>
            <w:tcMar>
              <w:top w:type="dxa" w:w="80"/>
              <w:left w:type="dxa" w:w="180"/>
              <w:bottom w:type="dxa" w:w="80"/>
              <w:right w:type="dxa" w:w="120"/>
            </w:tcMar>
          </w:tcPr>
          <w:p>
            <w:r>
              <w:rPr>
                <w:rFonts w:ascii="Arial" w:cs="Arial" w:eastAsia="Arial" w:hAnsi="Arial"/>
                <w:color w:val="212121"/>
                <w:sz w:val="22"/>
                <w:szCs w:val="22"/>
              </w:rPr>
              <w:t xml:space="preserve">HOW CAN: Actionable Recommendations</w:t>
            </w:r>
          </w:p>
        </w:tc>
        <w:tc>
          <w:tcPr>
            <w:tcW w:type="dxa" w:w="1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jc w:val="right"/>
            </w:pPr>
            <w:r>
              <w:rPr>
                <w:rFonts w:ascii="Arial" w:cs="Arial" w:eastAsia="Arial" w:hAnsi="Arial"/>
                <w:color w:val="2E7D32"/>
                <w:sz w:val="22"/>
                <w:szCs w:val="22"/>
              </w:rPr>
              <w:t xml:space="preserve">Page 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c>
          <w:tcPr>
            <w:tcW w:type="dxa" w:w="1000"/>
            <w:tcBorders>
              <w:top w:val="none" w:color="FFFFFF" w:sz="0"/>
              <w:left w:val="none" w:color="FFFFFF" w:sz="0"/>
              <w:bottom w:val="none" w:color="FFFFFF" w:sz="0"/>
              <w:right w:val="none" w:color="FFFFFF" w:sz="0"/>
            </w:tcBorders>
            <w:shd w:fill="1A6E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9.</w:t>
            </w:r>
          </w:p>
        </w:tc>
        <w:tc>
          <w:tcPr>
            <w:tcW w:type="dxa" w:w="6560"/>
            <w:tcBorders>
              <w:top w:val="none" w:color="FFFFFF" w:sz="0"/>
              <w:left w:val="none" w:color="FFFFFF" w:sz="0"/>
              <w:bottom w:val="none" w:color="FFFFFF" w:sz="0"/>
              <w:right w:val="none" w:color="FFFFFF" w:sz="0"/>
            </w:tcBorders>
            <w:shd w:fill="E8F5E9" w:val="clear"/>
            <w:tcMar>
              <w:top w:type="dxa" w:w="80"/>
              <w:left w:type="dxa" w:w="180"/>
              <w:bottom w:type="dxa" w:w="80"/>
              <w:right w:type="dxa" w:w="120"/>
            </w:tcMar>
          </w:tcPr>
          <w:p>
            <w:r>
              <w:rPr>
                <w:rFonts w:ascii="Arial" w:cs="Arial" w:eastAsia="Arial" w:hAnsi="Arial"/>
                <w:color w:val="212121"/>
                <w:sz w:val="22"/>
                <w:szCs w:val="22"/>
              </w:rPr>
              <w:t xml:space="preserve">Product Analysis Deep Dive</w:t>
            </w:r>
          </w:p>
        </w:tc>
        <w:tc>
          <w:tcPr>
            <w:tcW w:type="dxa" w:w="1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jc w:val="right"/>
            </w:pPr>
            <w:r>
              <w:rPr>
                <w:rFonts w:ascii="Arial" w:cs="Arial" w:eastAsia="Arial" w:hAnsi="Arial"/>
                <w:color w:val="2E7D32"/>
                <w:sz w:val="22"/>
                <w:szCs w:val="22"/>
              </w:rPr>
              <w:t xml:space="preserve">Page 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c>
          <w:tcPr>
            <w:tcW w:type="dxa" w:w="1000"/>
            <w:tcBorders>
              <w:top w:val="none" w:color="FFFFFF" w:sz="0"/>
              <w:left w:val="none" w:color="FFFFFF" w:sz="0"/>
              <w:bottom w:val="none" w:color="FFFFFF" w:sz="0"/>
              <w:right w:val="none" w:color="FFFFFF" w:sz="0"/>
            </w:tcBorders>
            <w:shd w:fill="1A6E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10.</w:t>
            </w:r>
          </w:p>
        </w:tc>
        <w:tc>
          <w:tcPr>
            <w:tcW w:type="dxa" w:w="6560"/>
            <w:tcBorders>
              <w:top w:val="none" w:color="FFFFFF" w:sz="0"/>
              <w:left w:val="none" w:color="FFFFFF" w:sz="0"/>
              <w:bottom w:val="none" w:color="FFFFFF" w:sz="0"/>
              <w:right w:val="none" w:color="FFFFFF" w:sz="0"/>
            </w:tcBorders>
            <w:shd w:fill="E8F5E9" w:val="clear"/>
            <w:tcMar>
              <w:top w:type="dxa" w:w="80"/>
              <w:left w:type="dxa" w:w="180"/>
              <w:bottom w:type="dxa" w:w="80"/>
              <w:right w:type="dxa" w:w="120"/>
            </w:tcMar>
          </w:tcPr>
          <w:p>
            <w:r>
              <w:rPr>
                <w:rFonts w:ascii="Arial" w:cs="Arial" w:eastAsia="Arial" w:hAnsi="Arial"/>
                <w:color w:val="212121"/>
                <w:sz w:val="22"/>
                <w:szCs w:val="22"/>
              </w:rPr>
              <w:t xml:space="preserve">Outlet Performance Analysis</w:t>
            </w:r>
          </w:p>
        </w:tc>
        <w:tc>
          <w:tcPr>
            <w:tcW w:type="dxa" w:w="1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jc w:val="right"/>
            </w:pPr>
            <w:r>
              <w:rPr>
                <w:rFonts w:ascii="Arial" w:cs="Arial" w:eastAsia="Arial" w:hAnsi="Arial"/>
                <w:color w:val="2E7D32"/>
                <w:sz w:val="22"/>
                <w:szCs w:val="22"/>
              </w:rPr>
              <w:t xml:space="preserve">Page 12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c>
          <w:tcPr>
            <w:tcW w:type="dxa" w:w="1000"/>
            <w:tcBorders>
              <w:top w:val="none" w:color="FFFFFF" w:sz="0"/>
              <w:left w:val="none" w:color="FFFFFF" w:sz="0"/>
              <w:bottom w:val="none" w:color="FFFFFF" w:sz="0"/>
              <w:right w:val="none" w:color="FFFFFF" w:sz="0"/>
            </w:tcBorders>
            <w:shd w:fill="1A6E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11.</w:t>
            </w:r>
          </w:p>
        </w:tc>
        <w:tc>
          <w:tcPr>
            <w:tcW w:type="dxa" w:w="6560"/>
            <w:tcBorders>
              <w:top w:val="none" w:color="FFFFFF" w:sz="0"/>
              <w:left w:val="none" w:color="FFFFFF" w:sz="0"/>
              <w:bottom w:val="none" w:color="FFFFFF" w:sz="0"/>
              <w:right w:val="none" w:color="FFFFFF" w:sz="0"/>
            </w:tcBorders>
            <w:shd w:fill="E8F5E9" w:val="clear"/>
            <w:tcMar>
              <w:top w:type="dxa" w:w="80"/>
              <w:left w:type="dxa" w:w="180"/>
              <w:bottom w:type="dxa" w:w="80"/>
              <w:right w:type="dxa" w:w="120"/>
            </w:tcMar>
          </w:tcPr>
          <w:p>
            <w:r>
              <w:rPr>
                <w:rFonts w:ascii="Arial" w:cs="Arial" w:eastAsia="Arial" w:hAnsi="Arial"/>
                <w:color w:val="212121"/>
                <w:sz w:val="22"/>
                <w:szCs w:val="22"/>
              </w:rPr>
              <w:t xml:space="preserve">Fat Content &amp; Item Category Analysis</w:t>
            </w:r>
          </w:p>
        </w:tc>
        <w:tc>
          <w:tcPr>
            <w:tcW w:type="dxa" w:w="1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jc w:val="right"/>
            </w:pPr>
            <w:r>
              <w:rPr>
                <w:rFonts w:ascii="Arial" w:cs="Arial" w:eastAsia="Arial" w:hAnsi="Arial"/>
                <w:color w:val="2E7D32"/>
                <w:sz w:val="22"/>
                <w:szCs w:val="22"/>
              </w:rPr>
              <w:t xml:space="preserve">Page 13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c>
          <w:tcPr>
            <w:tcW w:type="dxa" w:w="1000"/>
            <w:tcBorders>
              <w:top w:val="none" w:color="FFFFFF" w:sz="0"/>
              <w:left w:val="none" w:color="FFFFFF" w:sz="0"/>
              <w:bottom w:val="none" w:color="FFFFFF" w:sz="0"/>
              <w:right w:val="none" w:color="FFFFFF" w:sz="0"/>
            </w:tcBorders>
            <w:shd w:fill="1A6E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12.</w:t>
            </w:r>
          </w:p>
        </w:tc>
        <w:tc>
          <w:tcPr>
            <w:tcW w:type="dxa" w:w="6560"/>
            <w:tcBorders>
              <w:top w:val="none" w:color="FFFFFF" w:sz="0"/>
              <w:left w:val="none" w:color="FFFFFF" w:sz="0"/>
              <w:bottom w:val="none" w:color="FFFFFF" w:sz="0"/>
              <w:right w:val="none" w:color="FFFFFF" w:sz="0"/>
            </w:tcBorders>
            <w:shd w:fill="E8F5E9" w:val="clear"/>
            <w:tcMar>
              <w:top w:type="dxa" w:w="80"/>
              <w:left w:type="dxa" w:w="180"/>
              <w:bottom w:type="dxa" w:w="80"/>
              <w:right w:type="dxa" w:w="120"/>
            </w:tcMar>
          </w:tcPr>
          <w:p>
            <w:r>
              <w:rPr>
                <w:rFonts w:ascii="Arial" w:cs="Arial" w:eastAsia="Arial" w:hAnsi="Arial"/>
                <w:color w:val="212121"/>
                <w:sz w:val="22"/>
                <w:szCs w:val="22"/>
              </w:rPr>
              <w:t xml:space="preserve">Sales Ranking &amp; Outlet Comparison</w:t>
            </w:r>
          </w:p>
        </w:tc>
        <w:tc>
          <w:tcPr>
            <w:tcW w:type="dxa" w:w="1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jc w:val="right"/>
            </w:pPr>
            <w:r>
              <w:rPr>
                <w:rFonts w:ascii="Arial" w:cs="Arial" w:eastAsia="Arial" w:hAnsi="Arial"/>
                <w:color w:val="2E7D32"/>
                <w:sz w:val="22"/>
                <w:szCs w:val="22"/>
              </w:rPr>
              <w:t xml:space="preserve">Page 14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c>
          <w:tcPr>
            <w:tcW w:type="dxa" w:w="1000"/>
            <w:tcBorders>
              <w:top w:val="none" w:color="FFFFFF" w:sz="0"/>
              <w:left w:val="none" w:color="FFFFFF" w:sz="0"/>
              <w:bottom w:val="none" w:color="FFFFFF" w:sz="0"/>
              <w:right w:val="none" w:color="FFFFFF" w:sz="0"/>
            </w:tcBorders>
            <w:shd w:fill="1A6E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13.</w:t>
            </w:r>
          </w:p>
        </w:tc>
        <w:tc>
          <w:tcPr>
            <w:tcW w:type="dxa" w:w="6560"/>
            <w:tcBorders>
              <w:top w:val="none" w:color="FFFFFF" w:sz="0"/>
              <w:left w:val="none" w:color="FFFFFF" w:sz="0"/>
              <w:bottom w:val="none" w:color="FFFFFF" w:sz="0"/>
              <w:right w:val="none" w:color="FFFFFF" w:sz="0"/>
            </w:tcBorders>
            <w:shd w:fill="E8F5E9" w:val="clear"/>
            <w:tcMar>
              <w:top w:type="dxa" w:w="80"/>
              <w:left w:type="dxa" w:w="180"/>
              <w:bottom w:type="dxa" w:w="80"/>
              <w:right w:type="dxa" w:w="120"/>
            </w:tcMar>
          </w:tcPr>
          <w:p>
            <w:r>
              <w:rPr>
                <w:rFonts w:ascii="Arial" w:cs="Arial" w:eastAsia="Arial" w:hAnsi="Arial"/>
                <w:color w:val="212121"/>
                <w:sz w:val="22"/>
                <w:szCs w:val="22"/>
              </w:rPr>
              <w:t xml:space="preserve">Conclusions &amp; Strategic Outlook</w:t>
            </w:r>
          </w:p>
        </w:tc>
        <w:tc>
          <w:tcPr>
            <w:tcW w:type="dxa" w:w="1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jc w:val="right"/>
            </w:pPr>
            <w:r>
              <w:rPr>
                <w:rFonts w:ascii="Arial" w:cs="Arial" w:eastAsia="Arial" w:hAnsi="Arial"/>
                <w:color w:val="2E7D32"/>
                <w:sz w:val="22"/>
                <w:szCs w:val="22"/>
              </w:rPr>
              <w:t xml:space="preserve">Page 15</w:t>
            </w:r>
          </w:p>
        </w:tc>
      </w:tr>
    </w:tbl>
    <w:p>
      <w:r>
        <w:br w:type="page"/>
      </w:r>
    </w:p>
    <w:p>
      <w:pPr>
        <w:pStyle w:val="Heading1"/>
        <w:pBdr>
          <w:bottom w:val="single" w:color="FFD700" w:sz="8"/>
        </w:pBdr>
        <w:shd w:fill="1A6E2A" w:val="clear"/>
        <w:spacing w:after="180" w:before="240"/>
        <w:ind w:left="180"/>
      </w:pPr>
      <w:r>
        <w:rPr>
          <w:rFonts w:ascii="Arial" w:cs="Arial" w:eastAsia="Arial" w:hAnsi="Arial"/>
          <w:b/>
          <w:bCs/>
          <w:color w:val="FFFFFF"/>
          <w:sz w:val="36"/>
          <w:szCs w:val="36"/>
        </w:rPr>
        <w:t xml:space="preserve">1. EXECUTIVE SUMMARY</w:t>
      </w:r>
    </w:p>
    <w:p>
      <w:pPr>
        <w:spacing w:after="60" w:before="60"/>
      </w:pPr>
      <w:r>
        <w:t xml:space="preserve"/>
      </w:r>
    </w:p>
    <w:p>
      <w:pPr>
        <w:spacing w:after="80" w:before="60"/>
        <w:jc w:val="both"/>
      </w:pPr>
      <w:r>
        <w:rPr>
          <w:rFonts w:ascii="Arial" w:cs="Arial" w:eastAsia="Arial" w:hAnsi="Arial"/>
          <w:b w:val="false"/>
          <w:bCs w:val="false"/>
          <w:color w:val="212121"/>
          <w:sz w:val="22"/>
          <w:szCs w:val="22"/>
        </w:rPr>
        <w:t xml:space="preserve">This report presents a comprehensive analysis of Blinkit's sales performance as captured and visualized in the Power BI Sales Analysis Dashboard. Blinkit, formerly known as Grofers, is one of India's leading instant grocery delivery platforms, operating thousands of dark stores (micro-fulfillment outlets) across Tier 1, Tier 2, and Tier 3 cities. The dashboard tracks multiple dimensions of performance including revenue, customer satisfaction, outlet characteristics, and product-level metrics.</w:t>
      </w:r>
    </w:p>
    <w:p>
      <w:pPr>
        <w:spacing w:after="60" w:before="60"/>
      </w:pPr>
      <w:r>
        <w:t xml:space="preserve"/>
      </w:r>
    </w:p>
    <w:p>
      <w:pPr>
        <w:pStyle w:val="Heading3"/>
        <w:spacing w:after="80" w:before="180"/>
      </w:pPr>
      <w:r>
        <w:rPr>
          <w:rFonts w:ascii="Arial" w:cs="Arial" w:eastAsia="Arial" w:hAnsi="Arial"/>
          <w:b/>
          <w:bCs/>
          <w:color w:val="2E7D32"/>
          <w:sz w:val="24"/>
          <w:szCs w:val="24"/>
        </w:rPr>
        <w:t xml:space="preserve">Key Performance Headlines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6E2A" w:val="clear"/>
            <w:tcMar>
              <w:top w:type="dxa" w:w="160"/>
              <w:left w:type="dxa" w:w="180"/>
              <w:bottom w:type="dxa" w:w="160"/>
              <w:right w:type="dxa" w:w="180"/>
            </w:tcMar>
            <w:vAlign w:val="center"/>
          </w:tcPr>
          <w:p>
            <w:pPr>
              <w:spacing w:after="20" w:before="40"/>
              <w:jc w:val="center"/>
            </w:pPr>
            <w:r>
              <w:rPr>
                <w:rFonts w:ascii="Arial" w:cs="Arial" w:eastAsia="Arial" w:hAnsi="Arial"/>
                <w:b/>
                <w:bCs/>
                <w:color w:val="FFD700"/>
                <w:sz w:val="48"/>
                <w:szCs w:val="48"/>
              </w:rPr>
              <w:t xml:space="preserve">₹1.20M+</w:t>
            </w:r>
          </w:p>
          <w:p>
            <w:pPr>
              <w:spacing w:after="40" w:before="0"/>
              <w:jc w:val="center"/>
            </w:pPr>
            <w:r>
              <w:rPr>
                <w:rFonts w:ascii="Arial" w:cs="Arial" w:eastAsia="Arial" w:hAnsi="Arial"/>
                <w:color w:val="FFFFFF"/>
                <w:sz w:val="18"/>
                <w:szCs w:val="18"/>
              </w:rPr>
              <w:t xml:space="preserve">Total Sales Revenue</w:t>
            </w:r>
          </w:p>
        </w:tc>
        <w:tc>
          <w:tcPr>
            <w:tcW w:type="dxa" w:w="2340"/>
            <w:tcBorders>
              <w:top w:val="single" w:color="CCCCCC" w:sz="1"/>
              <w:left w:val="single" w:color="CCCCCC" w:sz="1"/>
              <w:bottom w:val="single" w:color="CCCCCC" w:sz="1"/>
              <w:right w:val="single" w:color="CCCCCC" w:sz="1"/>
            </w:tcBorders>
            <w:shd w:fill="1A6E2A" w:val="clear"/>
            <w:tcMar>
              <w:top w:type="dxa" w:w="160"/>
              <w:left w:type="dxa" w:w="180"/>
              <w:bottom w:type="dxa" w:w="160"/>
              <w:right w:type="dxa" w:w="180"/>
            </w:tcMar>
            <w:vAlign w:val="center"/>
          </w:tcPr>
          <w:p>
            <w:pPr>
              <w:spacing w:after="20" w:before="40"/>
              <w:jc w:val="center"/>
            </w:pPr>
            <w:r>
              <w:rPr>
                <w:rFonts w:ascii="Arial" w:cs="Arial" w:eastAsia="Arial" w:hAnsi="Arial"/>
                <w:b/>
                <w:bCs/>
                <w:color w:val="FFD700"/>
                <w:sz w:val="48"/>
                <w:szCs w:val="48"/>
              </w:rPr>
              <w:t xml:space="preserve">3.9 / 5</w:t>
            </w:r>
          </w:p>
          <w:p>
            <w:pPr>
              <w:spacing w:after="40" w:before="0"/>
              <w:jc w:val="center"/>
            </w:pPr>
            <w:r>
              <w:rPr>
                <w:rFonts w:ascii="Arial" w:cs="Arial" w:eastAsia="Arial" w:hAnsi="Arial"/>
                <w:color w:val="FFFFFF"/>
                <w:sz w:val="18"/>
                <w:szCs w:val="18"/>
              </w:rPr>
              <w:t xml:space="preserve">Customer Rating</w:t>
            </w:r>
          </w:p>
        </w:tc>
        <w:tc>
          <w:tcPr>
            <w:tcW w:type="dxa" w:w="2340"/>
            <w:tcBorders>
              <w:top w:val="single" w:color="CCCCCC" w:sz="1"/>
              <w:left w:val="single" w:color="CCCCCC" w:sz="1"/>
              <w:bottom w:val="single" w:color="CCCCCC" w:sz="1"/>
              <w:right w:val="single" w:color="CCCCCC" w:sz="1"/>
            </w:tcBorders>
            <w:shd w:fill="1A6E2A" w:val="clear"/>
            <w:tcMar>
              <w:top w:type="dxa" w:w="160"/>
              <w:left w:type="dxa" w:w="180"/>
              <w:bottom w:type="dxa" w:w="160"/>
              <w:right w:type="dxa" w:w="180"/>
            </w:tcMar>
            <w:vAlign w:val="center"/>
          </w:tcPr>
          <w:p>
            <w:pPr>
              <w:spacing w:after="20" w:before="40"/>
              <w:jc w:val="center"/>
            </w:pPr>
            <w:r>
              <w:rPr>
                <w:rFonts w:ascii="Arial" w:cs="Arial" w:eastAsia="Arial" w:hAnsi="Arial"/>
                <w:b/>
                <w:bCs/>
                <w:color w:val="FFD700"/>
                <w:sz w:val="48"/>
                <w:szCs w:val="48"/>
              </w:rPr>
              <w:t xml:space="preserve">131+</w:t>
            </w:r>
          </w:p>
          <w:p>
            <w:pPr>
              <w:spacing w:after="40" w:before="0"/>
              <w:jc w:val="center"/>
            </w:pPr>
            <w:r>
              <w:rPr>
                <w:rFonts w:ascii="Arial" w:cs="Arial" w:eastAsia="Arial" w:hAnsi="Arial"/>
                <w:color w:val="FFFFFF"/>
                <w:sz w:val="18"/>
                <w:szCs w:val="18"/>
              </w:rPr>
              <w:t xml:space="preserve">Active Outlets</w:t>
            </w:r>
          </w:p>
        </w:tc>
        <w:tc>
          <w:tcPr>
            <w:tcW w:type="dxa" w:w="2340"/>
            <w:tcBorders>
              <w:top w:val="single" w:color="CCCCCC" w:sz="1"/>
              <w:left w:val="single" w:color="CCCCCC" w:sz="1"/>
              <w:bottom w:val="single" w:color="CCCCCC" w:sz="1"/>
              <w:right w:val="single" w:color="CCCCCC" w:sz="1"/>
            </w:tcBorders>
            <w:shd w:fill="1A6E2A" w:val="clear"/>
            <w:tcMar>
              <w:top w:type="dxa" w:w="160"/>
              <w:left w:type="dxa" w:w="180"/>
              <w:bottom w:type="dxa" w:w="160"/>
              <w:right w:type="dxa" w:w="180"/>
            </w:tcMar>
            <w:vAlign w:val="center"/>
          </w:tcPr>
          <w:p>
            <w:pPr>
              <w:spacing w:after="20" w:before="40"/>
              <w:jc w:val="center"/>
            </w:pPr>
            <w:r>
              <w:rPr>
                <w:rFonts w:ascii="Arial" w:cs="Arial" w:eastAsia="Arial" w:hAnsi="Arial"/>
                <w:b/>
                <w:bCs/>
                <w:color w:val="FFD700"/>
                <w:sz w:val="48"/>
                <w:szCs w:val="48"/>
              </w:rPr>
              <w:t xml:space="preserve">₹141</w:t>
            </w:r>
          </w:p>
          <w:p>
            <w:pPr>
              <w:spacing w:after="40" w:before="0"/>
              <w:jc w:val="center"/>
            </w:pPr>
            <w:r>
              <w:rPr>
                <w:rFonts w:ascii="Arial" w:cs="Arial" w:eastAsia="Arial" w:hAnsi="Arial"/>
                <w:color w:val="FFFFFF"/>
                <w:sz w:val="18"/>
                <w:szCs w:val="18"/>
              </w:rPr>
              <w:t xml:space="preserve">Avg Sale Per Outlet</w:t>
            </w:r>
          </w:p>
        </w:tc>
      </w:tr>
    </w:tbl>
    <w:p>
      <w:pPr>
        <w:spacing w:after="60" w:before="60"/>
      </w:pPr>
      <w:r>
        <w:t xml:space="preserve"/>
      </w:r>
    </w:p>
    <w:p>
      <w:pPr>
        <w:pStyle w:val="Heading3"/>
        <w:spacing w:after="80" w:before="180"/>
      </w:pPr>
      <w:r>
        <w:rPr>
          <w:rFonts w:ascii="Arial" w:cs="Arial" w:eastAsia="Arial" w:hAnsi="Arial"/>
          <w:b/>
          <w:bCs/>
          <w:color w:val="2E7D32"/>
          <w:sz w:val="24"/>
          <w:szCs w:val="24"/>
        </w:rPr>
        <w:t xml:space="preserve">Dashboard Structure</w:t>
      </w:r>
    </w:p>
    <w:p>
      <w:pPr>
        <w:spacing w:after="80" w:before="60"/>
        <w:jc w:val="both"/>
      </w:pPr>
      <w:r>
        <w:rPr>
          <w:rFonts w:ascii="Arial" w:cs="Arial" w:eastAsia="Arial" w:hAnsi="Arial"/>
          <w:b w:val="false"/>
          <w:bCs w:val="false"/>
          <w:color w:val="212121"/>
          <w:sz w:val="22"/>
          <w:szCs w:val="22"/>
        </w:rPr>
        <w:t xml:space="preserve">The Power BI dashboard is organized into three core analytical pages, each targeting a different dimension of the business:</w:t>
      </w:r>
    </w:p>
    <w:p>
      <w:pPr>
        <w:pStyle w:val="ListParagraph"/>
        <w:numPr>
          <w:ilvl w:val="0"/>
          <w:numId w:val="2"/>
        </w:numPr>
        <w:spacing w:after="40" w:before="40"/>
      </w:pPr>
      <w:r>
        <w:rPr>
          <w:rFonts w:ascii="Arial" w:cs="Arial" w:eastAsia="Arial" w:hAnsi="Arial"/>
          <w:color w:val="212121"/>
          <w:sz w:val="22"/>
          <w:szCs w:val="22"/>
        </w:rPr>
        <w:t xml:space="preserve">Overview Page: High-level KPIs, sales by item type, outlet size distribution, and establishment year trends.</w:t>
      </w:r>
    </w:p>
    <w:p>
      <w:pPr>
        <w:pStyle w:val="ListParagraph"/>
        <w:numPr>
          <w:ilvl w:val="0"/>
          <w:numId w:val="2"/>
        </w:numPr>
        <w:spacing w:after="40" w:before="40"/>
      </w:pPr>
      <w:r>
        <w:rPr>
          <w:rFonts w:ascii="Arial" w:cs="Arial" w:eastAsia="Arial" w:hAnsi="Arial"/>
          <w:color w:val="212121"/>
          <w:sz w:val="22"/>
          <w:szCs w:val="22"/>
        </w:rPr>
        <w:t xml:space="preserve">Product Analysis Page: Treemap and bar charts showing product category performance, fat content breakdown, and item-level detail tables.</w:t>
      </w:r>
    </w:p>
    <w:p>
      <w:pPr>
        <w:pStyle w:val="ListParagraph"/>
        <w:numPr>
          <w:ilvl w:val="0"/>
          <w:numId w:val="2"/>
        </w:numPr>
        <w:spacing w:after="40" w:before="40"/>
      </w:pPr>
      <w:r>
        <w:rPr>
          <w:rFonts w:ascii="Arial" w:cs="Arial" w:eastAsia="Arial" w:hAnsi="Arial"/>
          <w:color w:val="212121"/>
          <w:sz w:val="22"/>
          <w:szCs w:val="22"/>
        </w:rPr>
        <w:t xml:space="preserve">Outlet Performance Page: Column charts ranking outlets by revenue, ribbon charts tracking outlet type performance over time, and geographic funnel analysis.</w:t>
      </w:r>
    </w:p>
    <w:p>
      <w:pPr>
        <w:spacing w:after="60" w:before="60"/>
      </w:pPr>
      <w:r>
        <w:t xml:space="preserve"/>
      </w:r>
    </w:p>
    <w:p>
      <w:pPr>
        <w:spacing w:after="80" w:before="60"/>
        <w:jc w:val="both"/>
      </w:pPr>
      <w:r>
        <w:rPr>
          <w:rFonts w:ascii="Arial" w:cs="Arial" w:eastAsia="Arial" w:hAnsi="Arial"/>
          <w:b w:val="false"/>
          <w:bCs w:val="false"/>
          <w:color w:val="212121"/>
          <w:sz w:val="22"/>
          <w:szCs w:val="22"/>
        </w:rPr>
        <w:t xml:space="preserve">This document is structured around the six key analytical questions: What, Who, Where, When, Why, How, and How Can — providing a 360-degree understanding of Blinkit's sales landscape and offering actionable intelligence for business decision-makers.</w:t>
      </w:r>
    </w:p>
    <w:p>
      <w:r>
        <w:br w:type="page"/>
      </w:r>
    </w:p>
    <w:p>
      <w:pPr>
        <w:pStyle w:val="Heading1"/>
        <w:pBdr>
          <w:bottom w:val="single" w:color="FFD700" w:sz="8"/>
        </w:pBdr>
        <w:shd w:fill="1A6E2A" w:val="clear"/>
        <w:spacing w:after="180" w:before="240"/>
        <w:ind w:left="180"/>
      </w:pPr>
      <w:r>
        <w:rPr>
          <w:rFonts w:ascii="Arial" w:cs="Arial" w:eastAsia="Arial" w:hAnsi="Arial"/>
          <w:b/>
          <w:bCs/>
          <w:color w:val="FFFFFF"/>
          <w:sz w:val="36"/>
          <w:szCs w:val="36"/>
        </w:rPr>
        <w:t xml:space="preserve">2. WHAT: Dashboard Overview &amp; Key Metrics</w:t>
      </w:r>
    </w:p>
    <w:p>
      <w:pPr>
        <w:spacing w:after="60" w:before="60"/>
      </w:pPr>
      <w:r>
        <w:t xml:space="preserve"/>
      </w:r>
    </w:p>
    <w:p>
      <w:pPr>
        <w:spacing w:after="80" w:before="60"/>
        <w:jc w:val="both"/>
      </w:pPr>
      <w:r>
        <w:rPr>
          <w:rFonts w:ascii="Arial" w:cs="Arial" w:eastAsia="Arial" w:hAnsi="Arial"/>
          <w:b w:val="false"/>
          <w:bCs w:val="false"/>
          <w:color w:val="212121"/>
          <w:sz w:val="22"/>
          <w:szCs w:val="22"/>
        </w:rPr>
        <w:t xml:space="preserve">The Blinkit Sales Analysis Dashboard is a multi-page Power BI report built on the Blinkit_Data dataset. It aggregates transactional sales data across all active outlets and product lines, delivering a unified view of business performance. The dashboard enables both high-level executive review and granular product/outlet-level drill-downs.</w:t>
      </w:r>
    </w:p>
    <w:p>
      <w:pPr>
        <w:spacing w:after="60" w:before="60"/>
      </w:pPr>
      <w:r>
        <w:t xml:space="preserve"/>
      </w:r>
    </w:p>
    <w:p>
      <w:pPr>
        <w:pStyle w:val="Heading3"/>
        <w:spacing w:after="80" w:before="180"/>
      </w:pPr>
      <w:r>
        <w:rPr>
          <w:rFonts w:ascii="Arial" w:cs="Arial" w:eastAsia="Arial" w:hAnsi="Arial"/>
          <w:b/>
          <w:bCs/>
          <w:color w:val="2E7D32"/>
          <w:sz w:val="24"/>
          <w:szCs w:val="24"/>
        </w:rPr>
        <w:t xml:space="preserve">What the Dashboard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6E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A6E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A6E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Visual Type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12121"/>
                <w:sz w:val="20"/>
                <w:szCs w:val="20"/>
              </w:rPr>
              <w:t xml:space="preserve">Total Sales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Aggregate revenue across all outlets and items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KPI Card</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color w:val="212121"/>
                <w:sz w:val="20"/>
                <w:szCs w:val="20"/>
              </w:rPr>
              <w:t xml:space="preserve">Average Rating</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Mean customer satisfaction score (1-5 scale)</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KPI Card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12121"/>
                <w:sz w:val="20"/>
                <w:szCs w:val="20"/>
              </w:rPr>
              <w:t xml:space="preserve">Outlet 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Total number of active Blinkit outlets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KPI Card</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color w:val="212121"/>
                <w:sz w:val="20"/>
                <w:szCs w:val="20"/>
              </w:rPr>
              <w:t xml:space="preserve">Average Sales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Mean sales per outlet</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KPI Card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12121"/>
                <w:sz w:val="20"/>
                <w:szCs w:val="20"/>
              </w:rPr>
              <w:t xml:space="preserve">Unique Items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Number of distinct SKUs tracked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KPI Card</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color w:val="212121"/>
                <w:sz w:val="20"/>
                <w:szCs w:val="20"/>
              </w:rPr>
              <w:t xml:space="preserve">Sales by Item Type</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Revenue breakdown by product category</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Bar Chart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12121"/>
                <w:sz w:val="20"/>
                <w:szCs w:val="20"/>
              </w:rPr>
              <w:t xml:space="preserve">Sales by Outlet Size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Revenue split across Small/Medium/Large outlets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Donut Chart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color w:val="212121"/>
                <w:sz w:val="20"/>
                <w:szCs w:val="20"/>
              </w:rPr>
              <w:t xml:space="preserve">Sales Over Time</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Year-on-year revenue trend by outlet establishment year</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Line Chart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12121"/>
                <w:sz w:val="20"/>
                <w:szCs w:val="20"/>
              </w:rPr>
              <w:t xml:space="preserve">Sales by Location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Revenue funnel by Tier 1/2/3 location 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Funnel Chart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color w:val="212121"/>
                <w:sz w:val="20"/>
                <w:szCs w:val="20"/>
              </w:rPr>
              <w:t xml:space="preserve">Outlet Pivot Table</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Per-outlet: Sales, Rating, Items, Rank</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Pivot Table</w:t>
            </w:r>
          </w:p>
        </w:tc>
      </w:tr>
    </w:tbl>
    <w:p>
      <w:pPr>
        <w:spacing w:after="60" w:before="60"/>
      </w:pPr>
      <w:r>
        <w:t xml:space="preserve"/>
      </w:r>
    </w:p>
    <w:p>
      <w:pPr>
        <w:pStyle w:val="Heading3"/>
        <w:spacing w:after="80" w:before="180"/>
      </w:pPr>
      <w:r>
        <w:rPr>
          <w:rFonts w:ascii="Arial" w:cs="Arial" w:eastAsia="Arial" w:hAnsi="Arial"/>
          <w:b/>
          <w:bCs/>
          <w:color w:val="2E7D32"/>
          <w:sz w:val="24"/>
          <w:szCs w:val="24"/>
        </w:rPr>
        <w:t xml:space="preserve">What the Data Model Reveals</w:t>
      </w:r>
    </w:p>
    <w:p>
      <w:pPr>
        <w:spacing w:after="80" w:before="60"/>
        <w:jc w:val="both"/>
      </w:pPr>
      <w:r>
        <w:rPr>
          <w:rFonts w:ascii="Arial" w:cs="Arial" w:eastAsia="Arial" w:hAnsi="Arial"/>
          <w:b w:val="false"/>
          <w:bCs w:val="false"/>
          <w:color w:val="212121"/>
          <w:sz w:val="22"/>
          <w:szCs w:val="22"/>
        </w:rPr>
        <w:t xml:space="preserve">The underlying Blinkit_Data dataset contains the following key fields that power the entire analytical framework of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200"/>
            </w:tcMar>
          </w:tcPr>
          <w:p>
            <w:pPr>
              <w:pStyle w:val="Heading3"/>
              <w:spacing w:after="80" w:before="180"/>
            </w:pPr>
            <w:r>
              <w:rPr>
                <w:rFonts w:ascii="Arial" w:cs="Arial" w:eastAsia="Arial" w:hAnsi="Arial"/>
                <w:b/>
                <w:bCs/>
                <w:color w:val="2E7D32"/>
                <w:sz w:val="24"/>
                <w:szCs w:val="24"/>
              </w:rPr>
              <w:t xml:space="preserve">Sales &amp; Revenue Fields</w:t>
            </w:r>
          </w:p>
          <w:p>
            <w:pPr>
              <w:pStyle w:val="ListParagraph"/>
              <w:numPr>
                <w:ilvl w:val="0"/>
                <w:numId w:val="2"/>
              </w:numPr>
              <w:spacing w:after="40" w:before="40"/>
            </w:pPr>
            <w:r>
              <w:rPr>
                <w:rFonts w:ascii="Arial" w:cs="Arial" w:eastAsia="Arial" w:hAnsi="Arial"/>
                <w:color w:val="212121"/>
                <w:sz w:val="22"/>
                <w:szCs w:val="22"/>
              </w:rPr>
              <w:t xml:space="preserve">Total Sales — aggregate revenue measure</w:t>
            </w:r>
          </w:p>
          <w:p>
            <w:pPr>
              <w:pStyle w:val="ListParagraph"/>
              <w:numPr>
                <w:ilvl w:val="0"/>
                <w:numId w:val="2"/>
              </w:numPr>
              <w:spacing w:after="40" w:before="40"/>
            </w:pPr>
            <w:r>
              <w:rPr>
                <w:rFonts w:ascii="Arial" w:cs="Arial" w:eastAsia="Arial" w:hAnsi="Arial"/>
                <w:color w:val="212121"/>
                <w:sz w:val="22"/>
                <w:szCs w:val="22"/>
              </w:rPr>
              <w:t xml:space="preserve">Average Sales — mean outlet revenue</w:t>
            </w:r>
          </w:p>
          <w:p>
            <w:pPr>
              <w:pStyle w:val="ListParagraph"/>
              <w:numPr>
                <w:ilvl w:val="0"/>
                <w:numId w:val="2"/>
              </w:numPr>
              <w:spacing w:after="40" w:before="40"/>
            </w:pPr>
            <w:r>
              <w:rPr>
                <w:rFonts w:ascii="Arial" w:cs="Arial" w:eastAsia="Arial" w:hAnsi="Arial"/>
                <w:color w:val="212121"/>
                <w:sz w:val="22"/>
                <w:szCs w:val="22"/>
              </w:rPr>
              <w:t xml:space="preserve">Regular Sales — standard-category sales</w:t>
            </w:r>
          </w:p>
          <w:p>
            <w:pPr>
              <w:pStyle w:val="ListParagraph"/>
              <w:numPr>
                <w:ilvl w:val="0"/>
                <w:numId w:val="2"/>
              </w:numPr>
              <w:spacing w:after="40" w:before="40"/>
            </w:pPr>
            <w:r>
              <w:rPr>
                <w:rFonts w:ascii="Arial" w:cs="Arial" w:eastAsia="Arial" w:hAnsi="Arial"/>
                <w:color w:val="212121"/>
                <w:sz w:val="22"/>
                <w:szCs w:val="22"/>
              </w:rPr>
              <w:t xml:space="preserve">Sales Rank by Outlet — ranked performance metric</w:t>
            </w:r>
          </w:p>
          <w:p>
            <w:pPr>
              <w:pStyle w:val="ListParagraph"/>
              <w:numPr>
                <w:ilvl w:val="0"/>
                <w:numId w:val="2"/>
              </w:numPr>
              <w:spacing w:after="40" w:before="40"/>
            </w:pPr>
            <w:r>
              <w:rPr>
                <w:rFonts w:ascii="Arial" w:cs="Arial" w:eastAsia="Arial" w:hAnsi="Arial"/>
                <w:color w:val="212121"/>
                <w:sz w:val="22"/>
                <w:szCs w:val="22"/>
              </w:rPr>
              <w:t xml:space="preserve">Item Visibility — shelf presence score</w:t>
            </w:r>
          </w:p>
          <w:p>
            <w:pPr>
              <w:pStyle w:val="ListParagraph"/>
              <w:numPr>
                <w:ilvl w:val="0"/>
                <w:numId w:val="2"/>
              </w:numPr>
              <w:spacing w:after="40" w:before="40"/>
            </w:pPr>
            <w:r>
              <w:rPr>
                <w:rFonts w:ascii="Arial" w:cs="Arial" w:eastAsia="Arial" w:hAnsi="Arial"/>
                <w:color w:val="212121"/>
                <w:sz w:val="22"/>
                <w:szCs w:val="22"/>
              </w:rPr>
              <w:t xml:space="preserve">Item Weight — physical product weight</w:t>
            </w:r>
          </w:p>
        </w:tc>
        <w:tc>
          <w:tcPr>
            <w:tcW w:type="dxa" w:w="4680"/>
            <w:tcBorders>
              <w:top w:val="none" w:color="FFFFFF" w:sz="0"/>
              <w:left w:val="none" w:color="FFFFFF" w:sz="0"/>
              <w:bottom w:val="none" w:color="FFFFFF" w:sz="0"/>
              <w:right w:val="none" w:color="FFFFFF" w:sz="0"/>
            </w:tcBorders>
            <w:tcMar>
              <w:top w:type="dxa" w:w="60"/>
              <w:left w:type="dxa" w:w="200"/>
              <w:bottom w:type="dxa" w:w="60"/>
              <w:right w:type="dxa" w:w="0"/>
            </w:tcMar>
          </w:tcPr>
          <w:p>
            <w:pPr>
              <w:pStyle w:val="Heading3"/>
              <w:spacing w:after="80" w:before="180"/>
            </w:pPr>
            <w:r>
              <w:rPr>
                <w:rFonts w:ascii="Arial" w:cs="Arial" w:eastAsia="Arial" w:hAnsi="Arial"/>
                <w:b/>
                <w:bCs/>
                <w:color w:val="2E7D32"/>
                <w:sz w:val="24"/>
                <w:szCs w:val="24"/>
              </w:rPr>
              <w:t xml:space="preserve">Dimension &amp; Filter Fields</w:t>
            </w:r>
          </w:p>
          <w:p>
            <w:pPr>
              <w:pStyle w:val="ListParagraph"/>
              <w:numPr>
                <w:ilvl w:val="0"/>
                <w:numId w:val="2"/>
              </w:numPr>
              <w:spacing w:after="40" w:before="40"/>
            </w:pPr>
            <w:r>
              <w:rPr>
                <w:rFonts w:ascii="Arial" w:cs="Arial" w:eastAsia="Arial" w:hAnsi="Arial"/>
                <w:color w:val="212121"/>
                <w:sz w:val="22"/>
                <w:szCs w:val="22"/>
              </w:rPr>
              <w:t xml:space="preserve">Item Type — product category classification</w:t>
            </w:r>
          </w:p>
          <w:p>
            <w:pPr>
              <w:pStyle w:val="ListParagraph"/>
              <w:numPr>
                <w:ilvl w:val="0"/>
                <w:numId w:val="2"/>
              </w:numPr>
              <w:spacing w:after="40" w:before="40"/>
            </w:pPr>
            <w:r>
              <w:rPr>
                <w:rFonts w:ascii="Arial" w:cs="Arial" w:eastAsia="Arial" w:hAnsi="Arial"/>
                <w:color w:val="212121"/>
                <w:sz w:val="22"/>
                <w:szCs w:val="22"/>
              </w:rPr>
              <w:t xml:space="preserve">Item Fat Content — Regular vs Low Fat</w:t>
            </w:r>
          </w:p>
          <w:p>
            <w:pPr>
              <w:pStyle w:val="ListParagraph"/>
              <w:numPr>
                <w:ilvl w:val="0"/>
                <w:numId w:val="2"/>
              </w:numPr>
              <w:spacing w:after="40" w:before="40"/>
            </w:pPr>
            <w:r>
              <w:rPr>
                <w:rFonts w:ascii="Arial" w:cs="Arial" w:eastAsia="Arial" w:hAnsi="Arial"/>
                <w:color w:val="212121"/>
                <w:sz w:val="22"/>
                <w:szCs w:val="22"/>
              </w:rPr>
              <w:t xml:space="preserve">Outlet Type — Supermarket/Grocery Store etc.</w:t>
            </w:r>
          </w:p>
          <w:p>
            <w:pPr>
              <w:pStyle w:val="ListParagraph"/>
              <w:numPr>
                <w:ilvl w:val="0"/>
                <w:numId w:val="2"/>
              </w:numPr>
              <w:spacing w:after="40" w:before="40"/>
            </w:pPr>
            <w:r>
              <w:rPr>
                <w:rFonts w:ascii="Arial" w:cs="Arial" w:eastAsia="Arial" w:hAnsi="Arial"/>
                <w:color w:val="212121"/>
                <w:sz w:val="22"/>
                <w:szCs w:val="22"/>
              </w:rPr>
              <w:t xml:space="preserve">Outlet Size — Small, Medium, Large</w:t>
            </w:r>
          </w:p>
          <w:p>
            <w:pPr>
              <w:pStyle w:val="ListParagraph"/>
              <w:numPr>
                <w:ilvl w:val="0"/>
                <w:numId w:val="2"/>
              </w:numPr>
              <w:spacing w:after="40" w:before="40"/>
            </w:pPr>
            <w:r>
              <w:rPr>
                <w:rFonts w:ascii="Arial" w:cs="Arial" w:eastAsia="Arial" w:hAnsi="Arial"/>
                <w:color w:val="212121"/>
                <w:sz w:val="22"/>
                <w:szCs w:val="22"/>
              </w:rPr>
              <w:t xml:space="preserve">Outlet Location Type — Tier 1, 2, 3</w:t>
            </w:r>
          </w:p>
          <w:p>
            <w:pPr>
              <w:pStyle w:val="ListParagraph"/>
              <w:numPr>
                <w:ilvl w:val="0"/>
                <w:numId w:val="2"/>
              </w:numPr>
              <w:spacing w:after="40" w:before="40"/>
            </w:pPr>
            <w:r>
              <w:rPr>
                <w:rFonts w:ascii="Arial" w:cs="Arial" w:eastAsia="Arial" w:hAnsi="Arial"/>
                <w:color w:val="212121"/>
                <w:sz w:val="22"/>
                <w:szCs w:val="22"/>
              </w:rPr>
              <w:t xml:space="preserve">Outlet Establishment Year — founding year</w:t>
            </w:r>
          </w:p>
          <w:p>
            <w:pPr>
              <w:pStyle w:val="ListParagraph"/>
              <w:numPr>
                <w:ilvl w:val="0"/>
                <w:numId w:val="2"/>
              </w:numPr>
              <w:spacing w:after="40" w:before="40"/>
            </w:pPr>
            <w:r>
              <w:rPr>
                <w:rFonts w:ascii="Arial" w:cs="Arial" w:eastAsia="Arial" w:hAnsi="Arial"/>
                <w:color w:val="212121"/>
                <w:sz w:val="22"/>
                <w:szCs w:val="22"/>
              </w:rPr>
              <w:t xml:space="preserve">Outlet Identifier — unique outlet ID</w:t>
            </w:r>
          </w:p>
        </w:tc>
      </w:tr>
    </w:tbl>
    <w:p>
      <w:r>
        <w:br w:type="page"/>
      </w:r>
    </w:p>
    <w:p>
      <w:pPr>
        <w:pStyle w:val="Heading1"/>
        <w:pBdr>
          <w:bottom w:val="single" w:color="FFD700" w:sz="8"/>
        </w:pBdr>
        <w:shd w:fill="1A6E2A" w:val="clear"/>
        <w:spacing w:after="180" w:before="240"/>
        <w:ind w:left="180"/>
      </w:pPr>
      <w:r>
        <w:rPr>
          <w:rFonts w:ascii="Arial" w:cs="Arial" w:eastAsia="Arial" w:hAnsi="Arial"/>
          <w:b/>
          <w:bCs/>
          <w:color w:val="FFFFFF"/>
          <w:sz w:val="36"/>
          <w:szCs w:val="36"/>
        </w:rPr>
        <w:t xml:space="preserve">3. WHO: Target Audience &amp; Stakeholders</w:t>
      </w:r>
    </w:p>
    <w:p>
      <w:pPr>
        <w:spacing w:after="60" w:before="60"/>
      </w:pPr>
      <w:r>
        <w:t xml:space="preserve"/>
      </w:r>
    </w:p>
    <w:p>
      <w:pPr>
        <w:spacing w:after="80" w:before="60"/>
        <w:jc w:val="both"/>
      </w:pPr>
      <w:r>
        <w:rPr>
          <w:rFonts w:ascii="Arial" w:cs="Arial" w:eastAsia="Arial" w:hAnsi="Arial"/>
          <w:b w:val="false"/>
          <w:bCs w:val="false"/>
          <w:color w:val="212121"/>
          <w:sz w:val="22"/>
          <w:szCs w:val="22"/>
        </w:rPr>
        <w:t xml:space="preserve">The Blinkit Sales Analysis Dashboard serves a multi-layered audience of business stakeholders, each with distinct information needs and decision-making responsibilities. Understanding who uses the dashboard helps contextualize the design choices, KPI priorities, and drill-down capabilities embedded in the report.</w:t>
      </w:r>
    </w:p>
    <w:p>
      <w:pPr>
        <w:spacing w:after="60" w:before="60"/>
      </w:pPr>
      <w:r>
        <w:t xml:space="preserve"/>
      </w:r>
    </w:p>
    <w:p>
      <w:pPr>
        <w:pStyle w:val="Heading3"/>
        <w:spacing w:after="80" w:before="180"/>
      </w:pPr>
      <w:r>
        <w:rPr>
          <w:rFonts w:ascii="Arial" w:cs="Arial" w:eastAsia="Arial" w:hAnsi="Arial"/>
          <w:b/>
          <w:bCs/>
          <w:color w:val="2E7D32"/>
          <w:sz w:val="24"/>
          <w:szCs w:val="24"/>
        </w:rPr>
        <w:t xml:space="preserve">Primary Dashboard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6E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Stakeholder</w:t>
            </w:r>
          </w:p>
        </w:tc>
        <w:tc>
          <w:tcPr>
            <w:tcW w:type="dxa" w:w="3120"/>
            <w:tcBorders>
              <w:top w:val="single" w:color="CCCCCC" w:sz="1"/>
              <w:left w:val="single" w:color="CCCCCC" w:sz="1"/>
              <w:bottom w:val="single" w:color="CCCCCC" w:sz="1"/>
              <w:right w:val="single" w:color="CCCCCC" w:sz="1"/>
            </w:tcBorders>
            <w:shd w:fill="1A6E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A6E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Questions Answered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12121"/>
                <w:sz w:val="20"/>
                <w:szCs w:val="20"/>
              </w:rPr>
              <w:t xml:space="preserve">C-Suite / CEO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Strategic direction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Is overall revenue on track? Which markets lead?</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color w:val="212121"/>
                <w:sz w:val="20"/>
                <w:szCs w:val="20"/>
              </w:rPr>
              <w:t xml:space="preserve">VP of Sales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Revenue oversight</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Which outlet types drive the most sales? Trends?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12121"/>
                <w:sz w:val="20"/>
                <w:szCs w:val="20"/>
              </w:rPr>
              <w:t xml:space="preserve">Category Managers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Product portfolio mgmt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Which item types and SKUs perform best?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color w:val="212121"/>
                <w:sz w:val="20"/>
                <w:szCs w:val="20"/>
              </w:rPr>
              <w:t xml:space="preserve">Outlet Operations Mgr</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Ground-level performance</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Which outlets need attention? Ranking?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12121"/>
                <w:sz w:val="20"/>
                <w:szCs w:val="20"/>
              </w:rPr>
              <w:t xml:space="preserve">Supply Chain Team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Inventory &amp; logistics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Which items by weight/visibility need restocking?</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color w:val="212121"/>
                <w:sz w:val="20"/>
                <w:szCs w:val="20"/>
              </w:rPr>
              <w:t xml:space="preserve">Marketing Team</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Campaign targeting</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Which locations and product types to prioritize?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12121"/>
                <w:sz w:val="20"/>
                <w:szCs w:val="20"/>
              </w:rPr>
              <w:t xml:space="preserve">Data Analysts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Deep-dive exploration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Interactive slicer-based custom analysis</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color w:val="212121"/>
                <w:sz w:val="20"/>
                <w:szCs w:val="20"/>
              </w:rPr>
              <w:t xml:space="preserve">Investors / Board</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Business health review</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KPI overview, growth trends, outlet expansion</w:t>
            </w:r>
          </w:p>
        </w:tc>
      </w:tr>
    </w:tbl>
    <w:p>
      <w:pPr>
        <w:spacing w:after="60" w:before="60"/>
      </w:pPr>
      <w:r>
        <w:t xml:space="preserve"/>
      </w:r>
    </w:p>
    <w:p>
      <w:pPr>
        <w:pStyle w:val="Heading3"/>
        <w:spacing w:after="80" w:before="180"/>
      </w:pPr>
      <w:r>
        <w:rPr>
          <w:rFonts w:ascii="Arial" w:cs="Arial" w:eastAsia="Arial" w:hAnsi="Arial"/>
          <w:b/>
          <w:bCs/>
          <w:color w:val="2E7D32"/>
          <w:sz w:val="24"/>
          <w:szCs w:val="24"/>
        </w:rPr>
        <w:t xml:space="preserve">Who Blinkit Serves — Customer Segments</w:t>
      </w:r>
    </w:p>
    <w:p>
      <w:pPr>
        <w:spacing w:after="80" w:before="60"/>
        <w:jc w:val="both"/>
      </w:pPr>
      <w:r>
        <w:rPr>
          <w:rFonts w:ascii="Arial" w:cs="Arial" w:eastAsia="Arial" w:hAnsi="Arial"/>
          <w:b w:val="false"/>
          <w:bCs w:val="false"/>
          <w:color w:val="212121"/>
          <w:sz w:val="22"/>
          <w:szCs w:val="22"/>
        </w:rPr>
        <w:t xml:space="preserve">While the dashboard is an internal tool, it ultimately reflects the purchasing behavior of Blinkit's end customers across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200"/>
            </w:tcMar>
          </w:tcPr>
          <w:p>
            <w:pPr>
              <w:pStyle w:val="Heading3"/>
              <w:spacing w:after="80" w:before="180"/>
            </w:pPr>
            <w:r>
              <w:rPr>
                <w:rFonts w:ascii="Arial" w:cs="Arial" w:eastAsia="Arial" w:hAnsi="Arial"/>
                <w:b/>
                <w:bCs/>
                <w:color w:val="2E7D32"/>
                <w:sz w:val="24"/>
                <w:szCs w:val="24"/>
              </w:rPr>
              <w:t xml:space="preserve">By Geography</w:t>
            </w:r>
          </w:p>
          <w:p>
            <w:pPr>
              <w:pStyle w:val="ListParagraph"/>
              <w:numPr>
                <w:ilvl w:val="0"/>
                <w:numId w:val="2"/>
              </w:numPr>
              <w:spacing w:after="40" w:before="40"/>
            </w:pPr>
            <w:r>
              <w:rPr>
                <w:rFonts w:ascii="Arial" w:cs="Arial" w:eastAsia="Arial" w:hAnsi="Arial"/>
                <w:color w:val="212121"/>
                <w:sz w:val="22"/>
                <w:szCs w:val="22"/>
              </w:rPr>
              <w:t xml:space="preserve">Tier 1 City Customers: Metro consumers (Mumbai, Delhi, Bangalore, Hyderabad) — highest basket values, demand premium products</w:t>
            </w:r>
          </w:p>
          <w:p>
            <w:pPr>
              <w:pStyle w:val="ListParagraph"/>
              <w:numPr>
                <w:ilvl w:val="0"/>
                <w:numId w:val="2"/>
              </w:numPr>
              <w:spacing w:after="40" w:before="40"/>
            </w:pPr>
            <w:r>
              <w:rPr>
                <w:rFonts w:ascii="Arial" w:cs="Arial" w:eastAsia="Arial" w:hAnsi="Arial"/>
                <w:color w:val="212121"/>
                <w:sz w:val="22"/>
                <w:szCs w:val="22"/>
              </w:rPr>
              <w:t xml:space="preserve">Tier 2 City Customers: Mid-size cities (Jaipur, Lucknow, Chandigarh) — price-conscious, growing fast</w:t>
            </w:r>
          </w:p>
          <w:p>
            <w:pPr>
              <w:pStyle w:val="ListParagraph"/>
              <w:numPr>
                <w:ilvl w:val="0"/>
                <w:numId w:val="2"/>
              </w:numPr>
              <w:spacing w:after="40" w:before="40"/>
            </w:pPr>
            <w:r>
              <w:rPr>
                <w:rFonts w:ascii="Arial" w:cs="Arial" w:eastAsia="Arial" w:hAnsi="Arial"/>
                <w:color w:val="212121"/>
                <w:sz w:val="22"/>
                <w:szCs w:val="22"/>
              </w:rPr>
              <w:t xml:space="preserve">Tier 3 City Customers: Smaller towns — budget-driven, staples-focused purchasing</w:t>
            </w:r>
          </w:p>
        </w:tc>
        <w:tc>
          <w:tcPr>
            <w:tcW w:type="dxa" w:w="4680"/>
            <w:tcBorders>
              <w:top w:val="none" w:color="FFFFFF" w:sz="0"/>
              <w:left w:val="none" w:color="FFFFFF" w:sz="0"/>
              <w:bottom w:val="none" w:color="FFFFFF" w:sz="0"/>
              <w:right w:val="none" w:color="FFFFFF" w:sz="0"/>
            </w:tcBorders>
            <w:tcMar>
              <w:top w:type="dxa" w:w="60"/>
              <w:left w:type="dxa" w:w="200"/>
              <w:bottom w:type="dxa" w:w="60"/>
              <w:right w:type="dxa" w:w="0"/>
            </w:tcMar>
          </w:tcPr>
          <w:p>
            <w:pPr>
              <w:pStyle w:val="Heading3"/>
              <w:spacing w:after="80" w:before="180"/>
            </w:pPr>
            <w:r>
              <w:rPr>
                <w:rFonts w:ascii="Arial" w:cs="Arial" w:eastAsia="Arial" w:hAnsi="Arial"/>
                <w:b/>
                <w:bCs/>
                <w:color w:val="2E7D32"/>
                <w:sz w:val="24"/>
                <w:szCs w:val="24"/>
              </w:rPr>
              <w:t xml:space="preserve">By Purchase Behavior</w:t>
            </w:r>
          </w:p>
          <w:p>
            <w:pPr>
              <w:pStyle w:val="ListParagraph"/>
              <w:numPr>
                <w:ilvl w:val="0"/>
                <w:numId w:val="2"/>
              </w:numPr>
              <w:spacing w:after="40" w:before="40"/>
            </w:pPr>
            <w:r>
              <w:rPr>
                <w:rFonts w:ascii="Arial" w:cs="Arial" w:eastAsia="Arial" w:hAnsi="Arial"/>
                <w:color w:val="212121"/>
                <w:sz w:val="22"/>
                <w:szCs w:val="22"/>
              </w:rPr>
              <w:t xml:space="preserve">Daily Essentials Shoppers: Frequent orders, staple categories (Fruits, Vegetables, Dairy)</w:t>
            </w:r>
          </w:p>
          <w:p>
            <w:pPr>
              <w:pStyle w:val="ListParagraph"/>
              <w:numPr>
                <w:ilvl w:val="0"/>
                <w:numId w:val="2"/>
              </w:numPr>
              <w:spacing w:after="40" w:before="40"/>
            </w:pPr>
            <w:r>
              <w:rPr>
                <w:rFonts w:ascii="Arial" w:cs="Arial" w:eastAsia="Arial" w:hAnsi="Arial"/>
                <w:color w:val="212121"/>
                <w:sz w:val="22"/>
                <w:szCs w:val="22"/>
              </w:rPr>
              <w:t xml:space="preserve">Convenience Shoppers: Snacks, Frozen Foods, Beverages, Ready-to-eat items</w:t>
            </w:r>
          </w:p>
          <w:p>
            <w:pPr>
              <w:pStyle w:val="ListParagraph"/>
              <w:numPr>
                <w:ilvl w:val="0"/>
                <w:numId w:val="2"/>
              </w:numPr>
              <w:spacing w:after="40" w:before="40"/>
            </w:pPr>
            <w:r>
              <w:rPr>
                <w:rFonts w:ascii="Arial" w:cs="Arial" w:eastAsia="Arial" w:hAnsi="Arial"/>
                <w:color w:val="212121"/>
                <w:sz w:val="22"/>
                <w:szCs w:val="22"/>
              </w:rPr>
              <w:t xml:space="preserve">Health-Conscious Buyers: Low Fat items, organic choices, nutritional products</w:t>
            </w:r>
          </w:p>
          <w:p>
            <w:pPr>
              <w:pStyle w:val="ListParagraph"/>
              <w:numPr>
                <w:ilvl w:val="0"/>
                <w:numId w:val="2"/>
              </w:numPr>
              <w:spacing w:after="40" w:before="40"/>
            </w:pPr>
            <w:r>
              <w:rPr>
                <w:rFonts w:ascii="Arial" w:cs="Arial" w:eastAsia="Arial" w:hAnsi="Arial"/>
                <w:color w:val="212121"/>
                <w:sz w:val="22"/>
                <w:szCs w:val="22"/>
              </w:rPr>
              <w:t xml:space="preserve">Household Managers: Household Supplies, Cleaning products, bulk orders</w:t>
            </w:r>
          </w:p>
        </w:tc>
      </w:tr>
    </w:tbl>
    <w:p>
      <w:pPr>
        <w:spacing w:after="60" w:before="60"/>
      </w:pPr>
      <w:r>
        <w:t xml:space="preserve"/>
      </w:r>
    </w:p>
    <w:p>
      <w:pPr>
        <w:spacing w:after="80" w:before="60"/>
        <w:jc w:val="both"/>
      </w:pPr>
      <w:r>
        <w:rPr>
          <w:rFonts w:ascii="Arial" w:cs="Arial" w:eastAsia="Arial" w:hAnsi="Arial"/>
          <w:b w:val="false"/>
          <w:bCs w:val="false"/>
          <w:color w:val="212121"/>
          <w:sz w:val="22"/>
          <w:szCs w:val="22"/>
        </w:rPr>
        <w:t xml:space="preserve">The dashboard's slicer-based filtering by Outlet Location Type, Outlet Size, and Outlet Type empowers each stakeholder group to segment the data relevant to their specific audience and responsibility domain.</w:t>
      </w:r>
    </w:p>
    <w:p>
      <w:r>
        <w:br w:type="page"/>
      </w:r>
    </w:p>
    <w:p>
      <w:pPr>
        <w:pStyle w:val="Heading1"/>
        <w:pBdr>
          <w:bottom w:val="single" w:color="FFD700" w:sz="8"/>
        </w:pBdr>
        <w:shd w:fill="1A6E2A" w:val="clear"/>
        <w:spacing w:after="180" w:before="240"/>
        <w:ind w:left="180"/>
      </w:pPr>
      <w:r>
        <w:rPr>
          <w:rFonts w:ascii="Arial" w:cs="Arial" w:eastAsia="Arial" w:hAnsi="Arial"/>
          <w:b/>
          <w:bCs/>
          <w:color w:val="FFFFFF"/>
          <w:sz w:val="36"/>
          <w:szCs w:val="36"/>
        </w:rPr>
        <w:t xml:space="preserve">4. WHERE: Geographic &amp; Outlet Distribution</w:t>
      </w:r>
    </w:p>
    <w:p>
      <w:pPr>
        <w:spacing w:after="60" w:before="60"/>
      </w:pPr>
      <w:r>
        <w:t xml:space="preserve"/>
      </w:r>
    </w:p>
    <w:p>
      <w:pPr>
        <w:spacing w:after="80" w:before="60"/>
        <w:jc w:val="both"/>
      </w:pPr>
      <w:r>
        <w:rPr>
          <w:rFonts w:ascii="Arial" w:cs="Arial" w:eastAsia="Arial" w:hAnsi="Arial"/>
          <w:b w:val="false"/>
          <w:bCs w:val="false"/>
          <w:color w:val="212121"/>
          <w:sz w:val="22"/>
          <w:szCs w:val="22"/>
        </w:rPr>
        <w:t xml:space="preserve">Blinkit operates a distributed network of dark store outlets spanning multiple tiers of Indian cities. The 'Where' dimension of this analysis examines the geographic spread of outlets, their size classification, and how location type influences sales performance. The dashboard uses Outlet Location Type and Outlet Size as primary geographic and physical dimensions.</w:t>
      </w:r>
    </w:p>
    <w:p>
      <w:pPr>
        <w:spacing w:after="60" w:before="60"/>
      </w:pPr>
      <w:r>
        <w:t xml:space="preserve"/>
      </w:r>
    </w:p>
    <w:p>
      <w:pPr>
        <w:pStyle w:val="Heading3"/>
        <w:spacing w:after="80" w:before="180"/>
      </w:pPr>
      <w:r>
        <w:rPr>
          <w:rFonts w:ascii="Arial" w:cs="Arial" w:eastAsia="Arial" w:hAnsi="Arial"/>
          <w:b/>
          <w:bCs/>
          <w:color w:val="2E7D32"/>
          <w:sz w:val="24"/>
          <w:szCs w:val="24"/>
        </w:rPr>
        <w:t xml:space="preserve">Outlet Location Tier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6E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Location Tier</w:t>
            </w:r>
          </w:p>
        </w:tc>
        <w:tc>
          <w:tcPr>
            <w:tcW w:type="dxa" w:w="2340"/>
            <w:tcBorders>
              <w:top w:val="single" w:color="CCCCCC" w:sz="1"/>
              <w:left w:val="single" w:color="CCCCCC" w:sz="1"/>
              <w:bottom w:val="single" w:color="CCCCCC" w:sz="1"/>
              <w:right w:val="single" w:color="CCCCCC" w:sz="1"/>
            </w:tcBorders>
            <w:shd w:fill="1A6E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1A6E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City Examples</w:t>
            </w:r>
          </w:p>
        </w:tc>
        <w:tc>
          <w:tcPr>
            <w:tcW w:type="dxa" w:w="2340"/>
            <w:tcBorders>
              <w:top w:val="single" w:color="CCCCCC" w:sz="1"/>
              <w:left w:val="single" w:color="CCCCCC" w:sz="1"/>
              <w:bottom w:val="single" w:color="CCCCCC" w:sz="1"/>
              <w:right w:val="single" w:color="CCCCCC" w:sz="1"/>
            </w:tcBorders>
            <w:shd w:fill="1A6E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Sales Contribution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12121"/>
                <w:sz w:val="20"/>
                <w:szCs w:val="20"/>
              </w:rPr>
              <w:t xml:space="preserve">Tier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Major metropolitan cities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Mumbai, Delhi, Bangalore, Hyderabad, Chennai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Highest — premium market</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color w:val="212121"/>
                <w:sz w:val="20"/>
                <w:szCs w:val="20"/>
              </w:rPr>
              <w:t xml:space="preserve">Tier 2</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Large secondary cities</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Jaipur, Lucknow, Surat, Patna, Vadodara</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Moderate — growing segment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12121"/>
                <w:sz w:val="20"/>
                <w:szCs w:val="20"/>
              </w:rPr>
              <w:t xml:space="preserve">Tier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Smaller cities &amp; towns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Emerging markets across India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Lower — expansion focus</w:t>
            </w:r>
          </w:p>
        </w:tc>
      </w:tr>
    </w:tbl>
    <w:p>
      <w:pPr>
        <w:spacing w:after="60" w:before="60"/>
      </w:pPr>
      <w:r>
        <w:t xml:space="preserve"/>
      </w:r>
    </w:p>
    <w:p>
      <w:pPr>
        <w:pStyle w:val="Heading3"/>
        <w:spacing w:after="80" w:before="180"/>
      </w:pPr>
      <w:r>
        <w:rPr>
          <w:rFonts w:ascii="Arial" w:cs="Arial" w:eastAsia="Arial" w:hAnsi="Arial"/>
          <w:b/>
          <w:bCs/>
          <w:color w:val="2E7D32"/>
          <w:sz w:val="24"/>
          <w:szCs w:val="24"/>
        </w:rPr>
        <w:t xml:space="preserve">Outlet Size Distribution</w:t>
      </w:r>
    </w:p>
    <w:p>
      <w:pPr>
        <w:spacing w:after="80" w:before="60"/>
        <w:jc w:val="both"/>
      </w:pPr>
      <w:r>
        <w:rPr>
          <w:rFonts w:ascii="Arial" w:cs="Arial" w:eastAsia="Arial" w:hAnsi="Arial"/>
          <w:b w:val="false"/>
          <w:bCs w:val="false"/>
          <w:color w:val="212121"/>
          <w:sz w:val="22"/>
          <w:szCs w:val="22"/>
        </w:rPr>
        <w:t xml:space="preserve">The Outlet Size dimension — Small, Medium, and Large — is a critical determinant of sales capacity, inventory range, and customer reach. The donut chart on both the Overview and Outlet Performance pages visualizes how total sales are distributed across these three size buckets.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60"/>
              <w:left w:type="dxa" w:w="240"/>
              <w:bottom w:type="dxa" w:w="160"/>
              <w:right w:type="dxa" w:w="240"/>
            </w:tcMar>
          </w:tcPr>
          <w:p>
            <w:pPr>
              <w:spacing w:after="80" w:before="0"/>
            </w:pPr>
            <w:r>
              <w:rPr>
                <w:rFonts w:ascii="Arial" w:cs="Arial" w:eastAsia="Arial" w:hAnsi="Arial"/>
                <w:b/>
                <w:bCs/>
                <w:color w:val="145220"/>
                <w:sz w:val="24"/>
                <w:szCs w:val="24"/>
              </w:rPr>
              <w:t xml:space="preserve">Outlet Size Insights</w:t>
            </w:r>
          </w:p>
          <w:p>
            <w:pPr>
              <w:spacing w:after="40"/>
            </w:pPr>
            <w:r>
              <w:rPr>
                <w:rFonts w:ascii="Arial" w:cs="Arial" w:eastAsia="Arial" w:hAnsi="Arial"/>
                <w:b/>
                <w:bCs/>
                <w:color w:val="145220"/>
                <w:sz w:val="22"/>
                <w:szCs w:val="22"/>
              </w:rPr>
              <w:t xml:space="preserve">Large Outlets: </w:t>
            </w:r>
          </w:p>
          <w:p>
            <w:pPr>
              <w:spacing w:after="60"/>
            </w:pPr>
            <w:r>
              <w:rPr>
                <w:rFonts w:ascii="Arial" w:cs="Arial" w:eastAsia="Arial" w:hAnsi="Arial"/>
                <w:color w:val="212121"/>
                <w:sz w:val="22"/>
                <w:szCs w:val="22"/>
              </w:rPr>
              <w:t xml:space="preserve">Typically located in high-footfall zones. Higher SKU variety, larger storage capacity. Tend to contribute a significant share of overall revenue due to higher volume throughput.</w:t>
            </w:r>
          </w:p>
          <w:p>
            <w:pPr>
              <w:spacing w:after="40"/>
            </w:pPr>
            <w:r>
              <w:rPr>
                <w:rFonts w:ascii="Arial" w:cs="Arial" w:eastAsia="Arial" w:hAnsi="Arial"/>
                <w:b/>
                <w:bCs/>
                <w:color w:val="145220"/>
                <w:sz w:val="22"/>
                <w:szCs w:val="22"/>
              </w:rPr>
              <w:t xml:space="preserve">Medium Outlets: </w:t>
            </w:r>
          </w:p>
          <w:p>
            <w:pPr>
              <w:spacing w:after="60"/>
            </w:pPr>
            <w:r>
              <w:rPr>
                <w:rFonts w:ascii="Arial" w:cs="Arial" w:eastAsia="Arial" w:hAnsi="Arial"/>
                <w:color w:val="212121"/>
                <w:sz w:val="22"/>
                <w:szCs w:val="22"/>
              </w:rPr>
              <w:t xml:space="preserve">The majority of Blinkit outlets fall in this category. Balanced between cost and coverage, medium outlets serve dense residential neighborhoods efficiently.</w:t>
            </w:r>
          </w:p>
          <w:p>
            <w:pPr>
              <w:spacing w:after="40"/>
            </w:pPr>
            <w:r>
              <w:rPr>
                <w:rFonts w:ascii="Arial" w:cs="Arial" w:eastAsia="Arial" w:hAnsi="Arial"/>
                <w:b/>
                <w:bCs/>
                <w:color w:val="145220"/>
                <w:sz w:val="22"/>
                <w:szCs w:val="22"/>
              </w:rPr>
              <w:t xml:space="preserve">Small Outlets: </w:t>
            </w:r>
          </w:p>
          <w:p>
            <w:pPr>
              <w:spacing w:after="0"/>
            </w:pPr>
            <w:r>
              <w:rPr>
                <w:rFonts w:ascii="Arial" w:cs="Arial" w:eastAsia="Arial" w:hAnsi="Arial"/>
                <w:color w:val="212121"/>
                <w:sz w:val="22"/>
                <w:szCs w:val="22"/>
              </w:rPr>
              <w:t xml:space="preserve">Micro-fulfillment centers in niche or premium locality markets. Carry curated SKU sets. Often the highest revenue-per-sqft but limited in absolute volume.</w:t>
            </w:r>
          </w:p>
        </w:tc>
      </w:tr>
    </w:tbl>
    <w:p>
      <w:pPr>
        <w:spacing w:after="60" w:before="60"/>
      </w:pPr>
      <w:r>
        <w:t xml:space="preserve"/>
      </w:r>
    </w:p>
    <w:p>
      <w:pPr>
        <w:pStyle w:val="Heading3"/>
        <w:spacing w:after="80" w:before="180"/>
      </w:pPr>
      <w:r>
        <w:rPr>
          <w:rFonts w:ascii="Arial" w:cs="Arial" w:eastAsia="Arial" w:hAnsi="Arial"/>
          <w:b/>
          <w:bCs/>
          <w:color w:val="2E7D32"/>
          <w:sz w:val="24"/>
          <w:szCs w:val="24"/>
        </w:rPr>
        <w:t xml:space="preserve">Where the Data Lives — Dashboard Filters</w:t>
      </w:r>
    </w:p>
    <w:p>
      <w:pPr>
        <w:spacing w:after="80" w:before="60"/>
        <w:jc w:val="both"/>
      </w:pPr>
      <w:r>
        <w:rPr>
          <w:rFonts w:ascii="Arial" w:cs="Arial" w:eastAsia="Arial" w:hAnsi="Arial"/>
          <w:b w:val="false"/>
          <w:bCs w:val="false"/>
          <w:color w:val="212121"/>
          <w:sz w:val="22"/>
          <w:szCs w:val="22"/>
        </w:rPr>
        <w:t xml:space="preserve">The 'Where' dimension is filterable via slicers on all three dashboard pages, enabling stakeholders to drill into any specific geography or outlet configuration:</w:t>
      </w:r>
    </w:p>
    <w:p>
      <w:pPr>
        <w:pStyle w:val="ListParagraph"/>
        <w:numPr>
          <w:ilvl w:val="0"/>
          <w:numId w:val="2"/>
        </w:numPr>
        <w:spacing w:after="40" w:before="40"/>
      </w:pPr>
      <w:r>
        <w:rPr>
          <w:rFonts w:ascii="Arial" w:cs="Arial" w:eastAsia="Arial" w:hAnsi="Arial"/>
          <w:color w:val="212121"/>
          <w:sz w:val="22"/>
          <w:szCs w:val="22"/>
        </w:rPr>
        <w:t xml:space="preserve">Outlet Location Type slicer: Filter between Tier 1, Tier 2, and Tier 3</w:t>
      </w:r>
    </w:p>
    <w:p>
      <w:pPr>
        <w:pStyle w:val="ListParagraph"/>
        <w:numPr>
          <w:ilvl w:val="0"/>
          <w:numId w:val="2"/>
        </w:numPr>
        <w:spacing w:after="40" w:before="40"/>
      </w:pPr>
      <w:r>
        <w:rPr>
          <w:rFonts w:ascii="Arial" w:cs="Arial" w:eastAsia="Arial" w:hAnsi="Arial"/>
          <w:color w:val="212121"/>
          <w:sz w:val="22"/>
          <w:szCs w:val="22"/>
        </w:rPr>
        <w:t xml:space="preserve">Outlet Size slicer: Filter between Small, Medium, and Large outlets</w:t>
      </w:r>
    </w:p>
    <w:p>
      <w:pPr>
        <w:pStyle w:val="ListParagraph"/>
        <w:numPr>
          <w:ilvl w:val="0"/>
          <w:numId w:val="2"/>
        </w:numPr>
        <w:spacing w:after="40" w:before="40"/>
      </w:pPr>
      <w:r>
        <w:rPr>
          <w:rFonts w:ascii="Arial" w:cs="Arial" w:eastAsia="Arial" w:hAnsi="Arial"/>
          <w:color w:val="212121"/>
          <w:sz w:val="22"/>
          <w:szCs w:val="22"/>
        </w:rPr>
        <w:t xml:space="preserve">Outlet Type slicer: Differentiate between Supermarket Type1, Type2, Grocery Store formats</w:t>
      </w:r>
    </w:p>
    <w:p>
      <w:r>
        <w:br w:type="page"/>
      </w:r>
    </w:p>
    <w:p>
      <w:pPr>
        <w:pStyle w:val="Heading1"/>
        <w:pBdr>
          <w:bottom w:val="single" w:color="FFD700" w:sz="8"/>
        </w:pBdr>
        <w:shd w:fill="1A6E2A" w:val="clear"/>
        <w:spacing w:after="180" w:before="240"/>
        <w:ind w:left="180"/>
      </w:pPr>
      <w:r>
        <w:rPr>
          <w:rFonts w:ascii="Arial" w:cs="Arial" w:eastAsia="Arial" w:hAnsi="Arial"/>
          <w:b/>
          <w:bCs/>
          <w:color w:val="FFFFFF"/>
          <w:sz w:val="36"/>
          <w:szCs w:val="36"/>
        </w:rPr>
        <w:t xml:space="preserve">5. WHEN: Sales Timeline &amp; Trend Analysis</w:t>
      </w:r>
    </w:p>
    <w:p>
      <w:pPr>
        <w:spacing w:after="60" w:before="60"/>
      </w:pPr>
      <w:r>
        <w:t xml:space="preserve"/>
      </w:r>
    </w:p>
    <w:p>
      <w:pPr>
        <w:spacing w:after="80" w:before="60"/>
        <w:jc w:val="both"/>
      </w:pPr>
      <w:r>
        <w:rPr>
          <w:rFonts w:ascii="Arial" w:cs="Arial" w:eastAsia="Arial" w:hAnsi="Arial"/>
          <w:b w:val="false"/>
          <w:bCs w:val="false"/>
          <w:color w:val="212121"/>
          <w:sz w:val="22"/>
          <w:szCs w:val="22"/>
        </w:rPr>
        <w:t xml:space="preserve">The temporal dimension of the Blinkit Sales Analysis is captured through the Outlet Establishment Year field, which tracks when each outlet was opened and correlates it with accumulated sales performance. This provides a proxy for growth trajectory and the maturity curve of Blinkit's outlet network.</w:t>
      </w:r>
    </w:p>
    <w:p>
      <w:pPr>
        <w:spacing w:after="60" w:before="60"/>
      </w:pPr>
      <w:r>
        <w:t xml:space="preserve"/>
      </w:r>
    </w:p>
    <w:p>
      <w:pPr>
        <w:pStyle w:val="Heading3"/>
        <w:spacing w:after="80" w:before="180"/>
      </w:pPr>
      <w:r>
        <w:rPr>
          <w:rFonts w:ascii="Arial" w:cs="Arial" w:eastAsia="Arial" w:hAnsi="Arial"/>
          <w:b/>
          <w:bCs/>
          <w:color w:val="2E7D32"/>
          <w:sz w:val="24"/>
          <w:szCs w:val="24"/>
        </w:rPr>
        <w:t xml:space="preserve">Establishment Year Timeline</w:t>
      </w:r>
    </w:p>
    <w:p>
      <w:pPr>
        <w:spacing w:after="80" w:before="60"/>
        <w:jc w:val="both"/>
      </w:pPr>
      <w:r>
        <w:rPr>
          <w:rFonts w:ascii="Arial" w:cs="Arial" w:eastAsia="Arial" w:hAnsi="Arial"/>
          <w:b w:val="false"/>
          <w:bCs w:val="false"/>
          <w:color w:val="212121"/>
          <w:sz w:val="22"/>
          <w:szCs w:val="22"/>
        </w:rPr>
        <w:t xml:space="preserve">The Line Chart on the Overview page plots Sum of Sales against Outlet Establishment Year, revealing how Blinkit's outlet network has evolved over time and which vintage cohorts of outlets contribute most to current revenue. The Ribbon Chart on the Outlet Performance page further breaks this down by Outlet Type, showing how different store formats have grown and ranked over the years.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6E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Era</w:t>
            </w:r>
          </w:p>
        </w:tc>
        <w:tc>
          <w:tcPr>
            <w:tcW w:type="dxa" w:w="2340"/>
            <w:tcBorders>
              <w:top w:val="single" w:color="CCCCCC" w:sz="1"/>
              <w:left w:val="single" w:color="CCCCCC" w:sz="1"/>
              <w:bottom w:val="single" w:color="CCCCCC" w:sz="1"/>
              <w:right w:val="single" w:color="CCCCCC" w:sz="1"/>
            </w:tcBorders>
            <w:shd w:fill="1A6E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Period</w:t>
            </w:r>
          </w:p>
        </w:tc>
        <w:tc>
          <w:tcPr>
            <w:tcW w:type="dxa" w:w="2340"/>
            <w:tcBorders>
              <w:top w:val="single" w:color="CCCCCC" w:sz="1"/>
              <w:left w:val="single" w:color="CCCCCC" w:sz="1"/>
              <w:bottom w:val="single" w:color="CCCCCC" w:sz="1"/>
              <w:right w:val="single" w:color="CCCCCC" w:sz="1"/>
            </w:tcBorders>
            <w:shd w:fill="1A6E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Characteristics</w:t>
            </w:r>
          </w:p>
        </w:tc>
        <w:tc>
          <w:tcPr>
            <w:tcW w:type="dxa" w:w="2340"/>
            <w:tcBorders>
              <w:top w:val="single" w:color="CCCCCC" w:sz="1"/>
              <w:left w:val="single" w:color="CCCCCC" w:sz="1"/>
              <w:bottom w:val="single" w:color="CCCCCC" w:sz="1"/>
              <w:right w:val="single" w:color="CCCCCC" w:sz="1"/>
            </w:tcBorders>
            <w:shd w:fill="1A6E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Sales Trend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12121"/>
                <w:sz w:val="20"/>
                <w:szCs w:val="20"/>
              </w:rPr>
              <w:t xml:space="preserve">Early Phase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Pre-2015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Foundation outlets, limited geography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Low baseline revenue</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color w:val="212121"/>
                <w:sz w:val="20"/>
                <w:szCs w:val="20"/>
              </w:rPr>
              <w:t xml:space="preserve">Growth Phase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2015–2018</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Rapid network expansion, Tier 1 focus</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Rising steeply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12121"/>
                <w:sz w:val="20"/>
                <w:szCs w:val="20"/>
              </w:rPr>
              <w:t xml:space="preserve">Maturity Phase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2018–2020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Optimization of existing outlets, efficiency gains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High, stable</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color w:val="212121"/>
                <w:sz w:val="20"/>
                <w:szCs w:val="20"/>
              </w:rPr>
              <w:t xml:space="preserve">Post-COVID Era</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2020–2022</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Explosive demand for instant delivery, new outlet openings</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Peak performance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12121"/>
                <w:sz w:val="20"/>
                <w:szCs w:val="20"/>
              </w:rPr>
              <w:t xml:space="preserve">Current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2022–2026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Consolidation, Tier 2/3 expansion, tech optimization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Sustained high growth</w:t>
            </w:r>
          </w:p>
        </w:tc>
      </w:tr>
    </w:tbl>
    <w:p>
      <w:pPr>
        <w:spacing w:after="60" w:before="60"/>
      </w:pPr>
      <w:r>
        <w:t xml:space="preserve"/>
      </w:r>
    </w:p>
    <w:p>
      <w:pPr>
        <w:pStyle w:val="Heading3"/>
        <w:spacing w:after="80" w:before="180"/>
      </w:pPr>
      <w:r>
        <w:rPr>
          <w:rFonts w:ascii="Arial" w:cs="Arial" w:eastAsia="Arial" w:hAnsi="Arial"/>
          <w:b/>
          <w:bCs/>
          <w:color w:val="2E7D32"/>
          <w:sz w:val="24"/>
          <w:szCs w:val="24"/>
        </w:rPr>
        <w:t xml:space="preserve">When Customers Buy — Seasonal &amp; Category Patterns</w:t>
      </w:r>
    </w:p>
    <w:p>
      <w:pPr>
        <w:spacing w:after="80" w:before="60"/>
        <w:jc w:val="both"/>
      </w:pPr>
      <w:r>
        <w:rPr>
          <w:rFonts w:ascii="Arial" w:cs="Arial" w:eastAsia="Arial" w:hAnsi="Arial"/>
          <w:b w:val="false"/>
          <w:bCs w:val="false"/>
          <w:color w:val="212121"/>
          <w:sz w:val="22"/>
          <w:szCs w:val="22"/>
        </w:rPr>
        <w:t xml:space="preserve">While the dashboard does not contain date-of-transaction data at the SKU level, the item type data provides indirect insight into seasonal purchasing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200"/>
            </w:tcMar>
          </w:tcPr>
          <w:p>
            <w:pPr>
              <w:pStyle w:val="Heading3"/>
              <w:spacing w:after="80" w:before="180"/>
            </w:pPr>
            <w:r>
              <w:rPr>
                <w:rFonts w:ascii="Arial" w:cs="Arial" w:eastAsia="Arial" w:hAnsi="Arial"/>
                <w:b/>
                <w:bCs/>
                <w:color w:val="2E7D32"/>
                <w:sz w:val="24"/>
                <w:szCs w:val="24"/>
              </w:rPr>
              <w:t xml:space="preserve">High Frequency, Year-Round</w:t>
            </w:r>
          </w:p>
          <w:p>
            <w:pPr>
              <w:pStyle w:val="ListParagraph"/>
              <w:numPr>
                <w:ilvl w:val="0"/>
                <w:numId w:val="2"/>
              </w:numPr>
              <w:spacing w:after="40" w:before="40"/>
            </w:pPr>
            <w:r>
              <w:rPr>
                <w:rFonts w:ascii="Arial" w:cs="Arial" w:eastAsia="Arial" w:hAnsi="Arial"/>
                <w:color w:val="212121"/>
                <w:sz w:val="22"/>
                <w:szCs w:val="22"/>
              </w:rPr>
              <w:t xml:space="preserve">Fruits &amp; Vegetables: Daily staples, consistently high volume across all seasons</w:t>
            </w:r>
          </w:p>
          <w:p>
            <w:pPr>
              <w:pStyle w:val="ListParagraph"/>
              <w:numPr>
                <w:ilvl w:val="0"/>
                <w:numId w:val="2"/>
              </w:numPr>
              <w:spacing w:after="40" w:before="40"/>
            </w:pPr>
            <w:r>
              <w:rPr>
                <w:rFonts w:ascii="Arial" w:cs="Arial" w:eastAsia="Arial" w:hAnsi="Arial"/>
                <w:color w:val="212121"/>
                <w:sz w:val="22"/>
                <w:szCs w:val="22"/>
              </w:rPr>
              <w:t xml:space="preserve">Dairy/Eggs/Meat: Weekly essentials with minimal seasonality</w:t>
            </w:r>
          </w:p>
          <w:p>
            <w:pPr>
              <w:pStyle w:val="ListParagraph"/>
              <w:numPr>
                <w:ilvl w:val="0"/>
                <w:numId w:val="2"/>
              </w:numPr>
              <w:spacing w:after="40" w:before="40"/>
            </w:pPr>
            <w:r>
              <w:rPr>
                <w:rFonts w:ascii="Arial" w:cs="Arial" w:eastAsia="Arial" w:hAnsi="Arial"/>
                <w:color w:val="212121"/>
                <w:sz w:val="22"/>
                <w:szCs w:val="22"/>
              </w:rPr>
              <w:t xml:space="preserve">Snack Foods: Impulse purchases, steady demand</w:t>
            </w:r>
          </w:p>
          <w:p>
            <w:pPr>
              <w:pStyle w:val="ListParagraph"/>
              <w:numPr>
                <w:ilvl w:val="0"/>
                <w:numId w:val="2"/>
              </w:numPr>
              <w:spacing w:after="40" w:before="40"/>
            </w:pPr>
            <w:r>
              <w:rPr>
                <w:rFonts w:ascii="Arial" w:cs="Arial" w:eastAsia="Arial" w:hAnsi="Arial"/>
                <w:color w:val="212121"/>
                <w:sz w:val="22"/>
                <w:szCs w:val="22"/>
              </w:rPr>
              <w:t xml:space="preserve">Household Supplies: Regular replenishment cycle</w:t>
            </w:r>
          </w:p>
        </w:tc>
        <w:tc>
          <w:tcPr>
            <w:tcW w:type="dxa" w:w="4680"/>
            <w:tcBorders>
              <w:top w:val="none" w:color="FFFFFF" w:sz="0"/>
              <w:left w:val="none" w:color="FFFFFF" w:sz="0"/>
              <w:bottom w:val="none" w:color="FFFFFF" w:sz="0"/>
              <w:right w:val="none" w:color="FFFFFF" w:sz="0"/>
            </w:tcBorders>
            <w:tcMar>
              <w:top w:type="dxa" w:w="60"/>
              <w:left w:type="dxa" w:w="200"/>
              <w:bottom w:type="dxa" w:w="60"/>
              <w:right w:type="dxa" w:w="0"/>
            </w:tcMar>
          </w:tcPr>
          <w:p>
            <w:pPr>
              <w:pStyle w:val="Heading3"/>
              <w:spacing w:after="80" w:before="180"/>
            </w:pPr>
            <w:r>
              <w:rPr>
                <w:rFonts w:ascii="Arial" w:cs="Arial" w:eastAsia="Arial" w:hAnsi="Arial"/>
                <w:b/>
                <w:bCs/>
                <w:color w:val="2E7D32"/>
                <w:sz w:val="24"/>
                <w:szCs w:val="24"/>
              </w:rPr>
              <w:t xml:space="preserve">Seasonal &amp; Occasion-Driven</w:t>
            </w:r>
          </w:p>
          <w:p>
            <w:pPr>
              <w:pStyle w:val="ListParagraph"/>
              <w:numPr>
                <w:ilvl w:val="0"/>
                <w:numId w:val="2"/>
              </w:numPr>
              <w:spacing w:after="40" w:before="40"/>
            </w:pPr>
            <w:r>
              <w:rPr>
                <w:rFonts w:ascii="Arial" w:cs="Arial" w:eastAsia="Arial" w:hAnsi="Arial"/>
                <w:color w:val="212121"/>
                <w:sz w:val="22"/>
                <w:szCs w:val="22"/>
              </w:rPr>
              <w:t xml:space="preserve">Soft Drinks: Peak in summer months (Apr-Jun), dip in winter</w:t>
            </w:r>
          </w:p>
          <w:p>
            <w:pPr>
              <w:pStyle w:val="ListParagraph"/>
              <w:numPr>
                <w:ilvl w:val="0"/>
                <w:numId w:val="2"/>
              </w:numPr>
              <w:spacing w:after="40" w:before="40"/>
            </w:pPr>
            <w:r>
              <w:rPr>
                <w:rFonts w:ascii="Arial" w:cs="Arial" w:eastAsia="Arial" w:hAnsi="Arial"/>
                <w:color w:val="212121"/>
                <w:sz w:val="22"/>
                <w:szCs w:val="22"/>
              </w:rPr>
              <w:t xml:space="preserve">Frozen Foods: Higher demand during festive seasons</w:t>
            </w:r>
          </w:p>
          <w:p>
            <w:pPr>
              <w:pStyle w:val="ListParagraph"/>
              <w:numPr>
                <w:ilvl w:val="0"/>
                <w:numId w:val="2"/>
              </w:numPr>
              <w:spacing w:after="40" w:before="40"/>
            </w:pPr>
            <w:r>
              <w:rPr>
                <w:rFonts w:ascii="Arial" w:cs="Arial" w:eastAsia="Arial" w:hAnsi="Arial"/>
                <w:color w:val="212121"/>
                <w:sz w:val="22"/>
                <w:szCs w:val="22"/>
              </w:rPr>
              <w:t xml:space="preserve">Bakery Products: Weekend and holiday spikes</w:t>
            </w:r>
          </w:p>
          <w:p>
            <w:pPr>
              <w:pStyle w:val="ListParagraph"/>
              <w:numPr>
                <w:ilvl w:val="0"/>
                <w:numId w:val="2"/>
              </w:numPr>
              <w:spacing w:after="40" w:before="40"/>
            </w:pPr>
            <w:r>
              <w:rPr>
                <w:rFonts w:ascii="Arial" w:cs="Arial" w:eastAsia="Arial" w:hAnsi="Arial"/>
                <w:color w:val="212121"/>
                <w:sz w:val="22"/>
                <w:szCs w:val="22"/>
              </w:rPr>
              <w:t xml:space="preserve">Health Foods: New Year resolution periods, fitness season peaks</w:t>
            </w:r>
          </w:p>
        </w:tc>
      </w:tr>
    </w:tbl>
    <w:p>
      <w:pPr>
        <w:spacing w:after="60" w:before="60"/>
      </w:pPr>
      <w:r>
        <w:t xml:space="preserve"/>
      </w:r>
    </w:p>
    <w:p>
      <w:pPr>
        <w:spacing w:after="80" w:before="60"/>
        <w:jc w:val="both"/>
      </w:pPr>
      <w:r>
        <w:rPr>
          <w:rFonts w:ascii="Arial" w:cs="Arial" w:eastAsia="Arial" w:hAnsi="Arial"/>
          <w:b w:val="false"/>
          <w:bCs w:val="false"/>
          <w:color w:val="212121"/>
          <w:sz w:val="22"/>
          <w:szCs w:val="22"/>
        </w:rPr>
        <w:t xml:space="preserve">The Outlet Establishment Year filter slicer on the Outlet Performance page allows analysts to examine how sales performance differs between recently established outlets (newer cohorts still ramping up) versus mature outlets that have reached their full potential revenue ceiling.</w:t>
      </w:r>
    </w:p>
    <w:p>
      <w:r>
        <w:br w:type="page"/>
      </w:r>
    </w:p>
    <w:p>
      <w:pPr>
        <w:pStyle w:val="Heading1"/>
        <w:pBdr>
          <w:bottom w:val="single" w:color="FFD700" w:sz="8"/>
        </w:pBdr>
        <w:shd w:fill="1A6E2A" w:val="clear"/>
        <w:spacing w:after="180" w:before="240"/>
        <w:ind w:left="180"/>
      </w:pPr>
      <w:r>
        <w:rPr>
          <w:rFonts w:ascii="Arial" w:cs="Arial" w:eastAsia="Arial" w:hAnsi="Arial"/>
          <w:b/>
          <w:bCs/>
          <w:color w:val="FFFFFF"/>
          <w:sz w:val="36"/>
          <w:szCs w:val="36"/>
        </w:rPr>
        <w:t xml:space="preserve">6. WHY: Business Rationale &amp; Objectives</w:t>
      </w:r>
    </w:p>
    <w:p>
      <w:pPr>
        <w:spacing w:after="60" w:before="60"/>
      </w:pPr>
      <w:r>
        <w:t xml:space="preserve"/>
      </w:r>
    </w:p>
    <w:p>
      <w:pPr>
        <w:spacing w:after="80" w:before="60"/>
        <w:jc w:val="both"/>
      </w:pPr>
      <w:r>
        <w:rPr>
          <w:rFonts w:ascii="Arial" w:cs="Arial" w:eastAsia="Arial" w:hAnsi="Arial"/>
          <w:b w:val="false"/>
          <w:bCs w:val="false"/>
          <w:color w:val="212121"/>
          <w:sz w:val="22"/>
          <w:szCs w:val="22"/>
        </w:rPr>
        <w:t xml:space="preserve">Understanding the 'Why' behind the Blinkit Sales Analysis Dashboard means examining the business problems it was designed to solve, the strategic goals it supports, and the competitive landscape that makes such analytics critical for Blinkit's success.</w:t>
      </w:r>
    </w:p>
    <w:p>
      <w:pPr>
        <w:spacing w:after="60" w:before="60"/>
      </w:pPr>
      <w:r>
        <w:t xml:space="preserve"/>
      </w:r>
    </w:p>
    <w:p>
      <w:pPr>
        <w:pStyle w:val="Heading3"/>
        <w:spacing w:after="80" w:before="180"/>
      </w:pPr>
      <w:r>
        <w:rPr>
          <w:rFonts w:ascii="Arial" w:cs="Arial" w:eastAsia="Arial" w:hAnsi="Arial"/>
          <w:b/>
          <w:bCs/>
          <w:color w:val="2E7D32"/>
          <w:sz w:val="24"/>
          <w:szCs w:val="24"/>
        </w:rPr>
        <w:t xml:space="preserve">Why This Dashboard Was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60"/>
              <w:left w:type="dxa" w:w="240"/>
              <w:bottom w:type="dxa" w:w="160"/>
              <w:right w:type="dxa" w:w="240"/>
            </w:tcMar>
          </w:tcPr>
          <w:p>
            <w:pPr>
              <w:spacing w:after="80" w:before="0"/>
            </w:pPr>
            <w:r>
              <w:rPr>
                <w:rFonts w:ascii="Arial" w:cs="Arial" w:eastAsia="Arial" w:hAnsi="Arial"/>
                <w:b/>
                <w:bCs/>
                <w:color w:val="145220"/>
                <w:sz w:val="24"/>
                <w:szCs w:val="24"/>
              </w:rPr>
              <w:t xml:space="preserve">Core Business Problem Statement</w:t>
            </w:r>
          </w:p>
          <w:p>
            <w:pPr>
              <w:spacing w:after="0" w:before="0"/>
            </w:pPr>
            <w:r>
              <w:rPr>
                <w:rFonts w:ascii="Arial" w:cs="Arial" w:eastAsia="Arial" w:hAnsi="Arial"/>
                <w:color w:val="212121"/>
                <w:sz w:val="22"/>
                <w:szCs w:val="22"/>
              </w:rPr>
              <w:t xml:space="preserve">Blinkit operates 131+ outlets across three geographic tiers, managing 1,559+ unique SKUs. Without a centralized analytical view, identifying underperforming outlets, high-demand product categories, and geographic opportunities requires time-consuming manual data aggregation. The Sales Analysis Dashboard centralizes this insight into a single, interactive Power BI report that updates automatically with new data.</w:t>
            </w:r>
          </w:p>
        </w:tc>
      </w:tr>
    </w:tbl>
    <w:p>
      <w:pPr>
        <w:spacing w:after="60" w:before="60"/>
      </w:pPr>
      <w:r>
        <w:t xml:space="preserve"/>
      </w:r>
    </w:p>
    <w:p>
      <w:pPr>
        <w:pStyle w:val="Heading3"/>
        <w:spacing w:after="80" w:before="180"/>
      </w:pPr>
      <w:r>
        <w:rPr>
          <w:rFonts w:ascii="Arial" w:cs="Arial" w:eastAsia="Arial" w:hAnsi="Arial"/>
          <w:b/>
          <w:bCs/>
          <w:color w:val="2E7D32"/>
          <w:sz w:val="24"/>
          <w:szCs w:val="24"/>
        </w:rPr>
        <w:t xml:space="preserve">Strategic Business Objectives Served</w:t>
      </w:r>
    </w:p>
    <w:p>
      <w:pPr>
        <w:pStyle w:val="ListParagraph"/>
        <w:numPr>
          <w:ilvl w:val="0"/>
          <w:numId w:val="3"/>
        </w:numPr>
        <w:spacing w:after="40" w:before="40"/>
      </w:pPr>
      <w:r>
        <w:rPr>
          <w:rFonts w:ascii="Arial" w:cs="Arial" w:eastAsia="Arial" w:hAnsi="Arial"/>
          <w:color w:val="212121"/>
          <w:sz w:val="22"/>
          <w:szCs w:val="22"/>
        </w:rPr>
        <w:t xml:space="preserve">Revenue Optimization: Identify the top-performing outlets and product categories to focus investment and promotional spend where returns are highest.</w:t>
      </w:r>
    </w:p>
    <w:p>
      <w:pPr>
        <w:pStyle w:val="ListParagraph"/>
        <w:numPr>
          <w:ilvl w:val="0"/>
          <w:numId w:val="3"/>
        </w:numPr>
        <w:spacing w:after="40" w:before="40"/>
      </w:pPr>
      <w:r>
        <w:rPr>
          <w:rFonts w:ascii="Arial" w:cs="Arial" w:eastAsia="Arial" w:hAnsi="Arial"/>
          <w:color w:val="212121"/>
          <w:sz w:val="22"/>
          <w:szCs w:val="22"/>
        </w:rPr>
        <w:t xml:space="preserve">Outlet Network Planning: Use establishment year trend data to determine optimal timing for new outlet openings in under-penetrated geographies.</w:t>
      </w:r>
    </w:p>
    <w:p>
      <w:pPr>
        <w:pStyle w:val="ListParagraph"/>
        <w:numPr>
          <w:ilvl w:val="0"/>
          <w:numId w:val="3"/>
        </w:numPr>
        <w:spacing w:after="40" w:before="40"/>
      </w:pPr>
      <w:r>
        <w:rPr>
          <w:rFonts w:ascii="Arial" w:cs="Arial" w:eastAsia="Arial" w:hAnsi="Arial"/>
          <w:color w:val="212121"/>
          <w:sz w:val="22"/>
          <w:szCs w:val="22"/>
        </w:rPr>
        <w:t xml:space="preserve">Product Portfolio Rationalization: Use item type sales data to discontinue low-margin SKUs and expand high-demand categories.</w:t>
      </w:r>
    </w:p>
    <w:p>
      <w:pPr>
        <w:pStyle w:val="ListParagraph"/>
        <w:numPr>
          <w:ilvl w:val="0"/>
          <w:numId w:val="3"/>
        </w:numPr>
        <w:spacing w:after="40" w:before="40"/>
      </w:pPr>
      <w:r>
        <w:rPr>
          <w:rFonts w:ascii="Arial" w:cs="Arial" w:eastAsia="Arial" w:hAnsi="Arial"/>
          <w:color w:val="212121"/>
          <w:sz w:val="22"/>
          <w:szCs w:val="22"/>
        </w:rPr>
        <w:t xml:space="preserve">Customer Satisfaction Tracking: Monitor Average Rating by outlet type to pinpoint service quality gaps and target improvements.</w:t>
      </w:r>
    </w:p>
    <w:p>
      <w:pPr>
        <w:pStyle w:val="ListParagraph"/>
        <w:numPr>
          <w:ilvl w:val="0"/>
          <w:numId w:val="3"/>
        </w:numPr>
        <w:spacing w:after="40" w:before="40"/>
      </w:pPr>
      <w:r>
        <w:rPr>
          <w:rFonts w:ascii="Arial" w:cs="Arial" w:eastAsia="Arial" w:hAnsi="Arial"/>
          <w:color w:val="212121"/>
          <w:sz w:val="22"/>
          <w:szCs w:val="22"/>
        </w:rPr>
        <w:t xml:space="preserve">Competitive Positioning: Benchmark outlet performance internally to identify best practices and replicate success across the network.</w:t>
      </w:r>
    </w:p>
    <w:p>
      <w:pPr>
        <w:pStyle w:val="ListParagraph"/>
        <w:numPr>
          <w:ilvl w:val="0"/>
          <w:numId w:val="3"/>
        </w:numPr>
        <w:spacing w:after="40" w:before="40"/>
      </w:pPr>
      <w:r>
        <w:rPr>
          <w:rFonts w:ascii="Arial" w:cs="Arial" w:eastAsia="Arial" w:hAnsi="Arial"/>
          <w:color w:val="212121"/>
          <w:sz w:val="22"/>
          <w:szCs w:val="22"/>
        </w:rPr>
        <w:t xml:space="preserve">Investor Reporting: Provide a clean, visual summary of business health KPIs for board presentations and investor updates.</w:t>
      </w:r>
    </w:p>
    <w:p>
      <w:pPr>
        <w:spacing w:after="60" w:before="60"/>
      </w:pPr>
      <w:r>
        <w:t xml:space="preserve"/>
      </w:r>
    </w:p>
    <w:p>
      <w:pPr>
        <w:pStyle w:val="Heading3"/>
        <w:spacing w:after="80" w:before="180"/>
      </w:pPr>
      <w:r>
        <w:rPr>
          <w:rFonts w:ascii="Arial" w:cs="Arial" w:eastAsia="Arial" w:hAnsi="Arial"/>
          <w:b/>
          <w:bCs/>
          <w:color w:val="2E7D32"/>
          <w:sz w:val="24"/>
          <w:szCs w:val="24"/>
        </w:rPr>
        <w:t xml:space="preserve">Why Blinkit Tracks These Specific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6E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A6E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It Matters</w:t>
            </w:r>
          </w:p>
        </w:tc>
        <w:tc>
          <w:tcPr>
            <w:tcW w:type="dxa" w:w="3120"/>
            <w:tcBorders>
              <w:top w:val="single" w:color="CCCCCC" w:sz="1"/>
              <w:left w:val="single" w:color="CCCCCC" w:sz="1"/>
              <w:bottom w:val="single" w:color="CCCCCC" w:sz="1"/>
              <w:right w:val="single" w:color="CCCCCC" w:sz="1"/>
            </w:tcBorders>
            <w:shd w:fill="1A6E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Business Impact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12121"/>
                <w:sz w:val="20"/>
                <w:szCs w:val="20"/>
              </w:rPr>
              <w:t xml:space="preserve">Total Sales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Primary revenue health indicator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Drives valuation and investment decisions</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color w:val="212121"/>
                <w:sz w:val="20"/>
                <w:szCs w:val="20"/>
              </w:rPr>
              <w:t xml:space="preserve">Average Rating</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Customer loyalty and retention proxy</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High ratings reduce churn, improve LTV</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12121"/>
                <w:sz w:val="20"/>
                <w:szCs w:val="20"/>
              </w:rPr>
              <w:t xml:space="preserve">Outlet 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Network expansion progress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Scale drives unit economics improvement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color w:val="212121"/>
                <w:sz w:val="20"/>
                <w:szCs w:val="20"/>
              </w:rPr>
              <w:t xml:space="preserve">Average Sales / Outlet</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Outlet-level efficiency measure</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Identifies over/under-invested outlets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12121"/>
                <w:sz w:val="20"/>
                <w:szCs w:val="20"/>
              </w:rPr>
              <w:t xml:space="preserve">Item Fat Content Split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Health trend alignment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Positions Blinkit in health-conscious market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color w:val="212121"/>
                <w:sz w:val="20"/>
                <w:szCs w:val="20"/>
              </w:rPr>
              <w:t xml:space="preserve">Item Visibility</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Shelf placement effectiveness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Drives impulse purchase and basket size</w:t>
            </w:r>
          </w:p>
        </w:tc>
      </w:tr>
    </w:tbl>
    <w:p>
      <w:r>
        <w:br w:type="page"/>
      </w:r>
    </w:p>
    <w:p>
      <w:pPr>
        <w:pStyle w:val="Heading1"/>
        <w:pBdr>
          <w:bottom w:val="single" w:color="FFD700" w:sz="8"/>
        </w:pBdr>
        <w:shd w:fill="1A6E2A" w:val="clear"/>
        <w:spacing w:after="180" w:before="240"/>
        <w:ind w:left="180"/>
      </w:pPr>
      <w:r>
        <w:rPr>
          <w:rFonts w:ascii="Arial" w:cs="Arial" w:eastAsia="Arial" w:hAnsi="Arial"/>
          <w:b/>
          <w:bCs/>
          <w:color w:val="FFFFFF"/>
          <w:sz w:val="36"/>
          <w:szCs w:val="36"/>
        </w:rPr>
        <w:t xml:space="preserve">7. HOW: Methodology &amp; Dashboard Architecture</w:t>
      </w:r>
    </w:p>
    <w:p>
      <w:pPr>
        <w:spacing w:after="60" w:before="60"/>
      </w:pPr>
      <w:r>
        <w:t xml:space="preserve"/>
      </w:r>
    </w:p>
    <w:p>
      <w:pPr>
        <w:spacing w:after="80" w:before="60"/>
        <w:jc w:val="both"/>
      </w:pPr>
      <w:r>
        <w:rPr>
          <w:rFonts w:ascii="Arial" w:cs="Arial" w:eastAsia="Arial" w:hAnsi="Arial"/>
          <w:b w:val="false"/>
          <w:bCs w:val="false"/>
          <w:color w:val="212121"/>
          <w:sz w:val="22"/>
          <w:szCs w:val="22"/>
        </w:rPr>
        <w:t xml:space="preserve">The 'How' dimension explains the technical and analytical methodology behind the Blinkit Sales Analysis Dashboard — from data sourcing and modeling through to the visual design decisions and interactive capabilities built into the Power BI report.</w:t>
      </w:r>
    </w:p>
    <w:p>
      <w:pPr>
        <w:spacing w:after="60" w:before="60"/>
      </w:pPr>
      <w:r>
        <w:t xml:space="preserve"/>
      </w:r>
    </w:p>
    <w:p>
      <w:pPr>
        <w:pStyle w:val="Heading3"/>
        <w:spacing w:after="80" w:before="180"/>
      </w:pPr>
      <w:r>
        <w:rPr>
          <w:rFonts w:ascii="Arial" w:cs="Arial" w:eastAsia="Arial" w:hAnsi="Arial"/>
          <w:b/>
          <w:bCs/>
          <w:color w:val="2E7D32"/>
          <w:sz w:val="24"/>
          <w:szCs w:val="24"/>
        </w:rPr>
        <w:t xml:space="preserve">How the Data Flows</w:t>
      </w:r>
    </w:p>
    <w:p>
      <w:pPr>
        <w:spacing w:after="80" w:before="60"/>
        <w:jc w:val="both"/>
      </w:pPr>
      <w:r>
        <w:rPr>
          <w:rFonts w:ascii="Arial" w:cs="Arial" w:eastAsia="Arial" w:hAnsi="Arial"/>
          <w:b w:val="false"/>
          <w:bCs w:val="false"/>
          <w:color w:val="212121"/>
          <w:sz w:val="22"/>
          <w:szCs w:val="22"/>
        </w:rPr>
        <w:t xml:space="preserve">The dashboard is powered by a single flat-file dataset (Blinkit_Data) which is loaded into Power BI's in-memory engine. The data model is straightforward — a single table containing both dimensional attributes and pre-calculated measures — making it highly performant for interactive filtering and cross-visual drill-downs.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60"/>
              <w:left w:type="dxa" w:w="240"/>
              <w:bottom w:type="dxa" w:w="160"/>
              <w:right w:type="dxa" w:w="240"/>
            </w:tcMar>
          </w:tcPr>
          <w:p>
            <w:pPr>
              <w:spacing w:after="80" w:before="0"/>
            </w:pPr>
            <w:r>
              <w:rPr>
                <w:rFonts w:ascii="Arial" w:cs="Arial" w:eastAsia="Arial" w:hAnsi="Arial"/>
                <w:b/>
                <w:bCs/>
                <w:color w:val="145220"/>
                <w:sz w:val="24"/>
                <w:szCs w:val="24"/>
              </w:rPr>
              <w:t xml:space="preserve">Data Architecture</w:t>
            </w:r>
          </w:p>
          <w:p>
            <w:pPr>
              <w:spacing w:after="40"/>
            </w:pPr>
            <w:r>
              <w:rPr>
                <w:rFonts w:ascii="Arial" w:cs="Arial" w:eastAsia="Arial" w:hAnsi="Arial"/>
                <w:color w:val="212121"/>
                <w:sz w:val="22"/>
                <w:szCs w:val="22"/>
              </w:rPr>
              <w:t xml:space="preserve">Source: Blinkit transactional sales data (Blinkit_Data table)</w:t>
            </w:r>
          </w:p>
          <w:p>
            <w:pPr>
              <w:spacing w:after="40"/>
            </w:pPr>
            <w:r>
              <w:rPr>
                <w:rFonts w:ascii="Arial" w:cs="Arial" w:eastAsia="Arial" w:hAnsi="Arial"/>
                <w:color w:val="212121"/>
                <w:sz w:val="22"/>
                <w:szCs w:val="22"/>
              </w:rPr>
              <w:t xml:space="preserve">Model Type: Single-table flat model (denormalized for query performance)</w:t>
            </w:r>
          </w:p>
          <w:p>
            <w:pPr>
              <w:spacing w:after="40"/>
            </w:pPr>
            <w:r>
              <w:rPr>
                <w:rFonts w:ascii="Arial" w:cs="Arial" w:eastAsia="Arial" w:hAnsi="Arial"/>
                <w:color w:val="212121"/>
                <w:sz w:val="22"/>
                <w:szCs w:val="22"/>
              </w:rPr>
              <w:t xml:space="preserve">Calculated Measures: Total Sales, Average Sales, Average Rating, Outlet Count, Unique Items, Regular Sales, Sales Rank by Outlet</w:t>
            </w:r>
          </w:p>
          <w:p>
            <w:pPr>
              <w:spacing w:after="40"/>
            </w:pPr>
            <w:r>
              <w:rPr>
                <w:rFonts w:ascii="Arial" w:cs="Arial" w:eastAsia="Arial" w:hAnsi="Arial"/>
                <w:color w:val="212121"/>
                <w:sz w:val="22"/>
                <w:szCs w:val="22"/>
              </w:rPr>
              <w:t xml:space="preserve">Engine: Power BI VertiPaq in-memory columnar engine</w:t>
            </w:r>
          </w:p>
          <w:p>
            <w:pPr>
              <w:spacing w:after="0"/>
            </w:pPr>
            <w:r>
              <w:rPr>
                <w:rFonts w:ascii="Arial" w:cs="Arial" w:eastAsia="Arial" w:hAnsi="Arial"/>
                <w:color w:val="212121"/>
                <w:sz w:val="22"/>
                <w:szCs w:val="22"/>
              </w:rPr>
              <w:t xml:space="preserve">Refresh: Scheduled/on-demand data refresh from source system</w:t>
            </w:r>
          </w:p>
        </w:tc>
      </w:tr>
    </w:tbl>
    <w:p>
      <w:pPr>
        <w:spacing w:after="60" w:before="60"/>
      </w:pPr>
      <w:r>
        <w:t xml:space="preserve"/>
      </w:r>
    </w:p>
    <w:p>
      <w:pPr>
        <w:pStyle w:val="Heading3"/>
        <w:spacing w:after="80" w:before="180"/>
      </w:pPr>
      <w:r>
        <w:rPr>
          <w:rFonts w:ascii="Arial" w:cs="Arial" w:eastAsia="Arial" w:hAnsi="Arial"/>
          <w:b/>
          <w:bCs/>
          <w:color w:val="2E7D32"/>
          <w:sz w:val="24"/>
          <w:szCs w:val="24"/>
        </w:rPr>
        <w:t xml:space="preserve">How the Visuals Were Designed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6E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Visual Type</w:t>
            </w:r>
          </w:p>
        </w:tc>
        <w:tc>
          <w:tcPr>
            <w:tcW w:type="dxa" w:w="3120"/>
            <w:tcBorders>
              <w:top w:val="single" w:color="CCCCCC" w:sz="1"/>
              <w:left w:val="single" w:color="CCCCCC" w:sz="1"/>
              <w:bottom w:val="single" w:color="CCCCCC" w:sz="1"/>
              <w:right w:val="single" w:color="CCCCCC" w:sz="1"/>
            </w:tcBorders>
            <w:shd w:fill="1A6E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Location</w:t>
            </w:r>
          </w:p>
        </w:tc>
        <w:tc>
          <w:tcPr>
            <w:tcW w:type="dxa" w:w="3120"/>
            <w:tcBorders>
              <w:top w:val="single" w:color="CCCCCC" w:sz="1"/>
              <w:left w:val="single" w:color="CCCCCC" w:sz="1"/>
              <w:bottom w:val="single" w:color="CCCCCC" w:sz="1"/>
              <w:right w:val="single" w:color="CCCCCC" w:sz="1"/>
            </w:tcBorders>
            <w:shd w:fill="1A6E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It Works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12121"/>
                <w:sz w:val="20"/>
                <w:szCs w:val="20"/>
              </w:rPr>
              <w:t xml:space="preserve">KPI Card Visual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Overview — top row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Shows 5 aggregate measures simultaneously; color-coded in Blinkit green/yellow theme</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color w:val="212121"/>
                <w:sz w:val="20"/>
                <w:szCs w:val="20"/>
              </w:rPr>
              <w:t xml:space="preserve">Bar Chart</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Overview — item type</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Horizontal bars ranked by Sum of Sales per Item Type; category dimension on Y-axis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12121"/>
                <w:sz w:val="20"/>
                <w:szCs w:val="20"/>
              </w:rPr>
              <w:t xml:space="preserve">Donut Chart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Overview &amp; Outlet Perf.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Proportional sales split by Outlet Size; segment % shown on hover</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color w:val="212121"/>
                <w:sz w:val="20"/>
                <w:szCs w:val="20"/>
              </w:rPr>
              <w:t xml:space="preserve">Line Chart</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Overview</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Year-on-year sales trend by Outlet Establishment Year; shows network maturity curve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12121"/>
                <w:sz w:val="20"/>
                <w:szCs w:val="20"/>
              </w:rPr>
              <w:t xml:space="preserve">Funnel Chart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Overview &amp; Outlet Perf.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Tier 1 → 2 → 3 sales waterfall; shows revenue concentration by geography</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color w:val="212121"/>
                <w:sz w:val="20"/>
                <w:szCs w:val="20"/>
              </w:rPr>
              <w:t xml:space="preserve">Pivot Table</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Overview</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Per-outlet detail: Sales, Rating, Items, Rank; sortable and drillable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12121"/>
                <w:sz w:val="20"/>
                <w:szCs w:val="20"/>
              </w:rPr>
              <w:t xml:space="preserve">Treemap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Product Analysis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Sales by Item Type as nested rectangles; area proportional to sales value</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color w:val="212121"/>
                <w:sz w:val="20"/>
                <w:szCs w:val="20"/>
              </w:rPr>
              <w:t xml:space="preserve">Clustered Bar Chart</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Product Analysis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Average Sales and count breakdown by Item Type and Location Type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12121"/>
                <w:sz w:val="20"/>
                <w:szCs w:val="20"/>
              </w:rPr>
              <w:t xml:space="preserve">Column Chart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Outlet Performance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Outlet-by-outlet revenue ranking; easy identification of top performers</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color w:val="212121"/>
                <w:sz w:val="20"/>
                <w:szCs w:val="20"/>
              </w:rPr>
              <w:t xml:space="preserve">Ribbon Chart</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Outlet Performance</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Outlet Type performance ranking evolution across establishment years</w:t>
            </w:r>
          </w:p>
        </w:tc>
      </w:tr>
    </w:tbl>
    <w:p>
      <w:r>
        <w:br w:type="page"/>
      </w:r>
    </w:p>
    <w:p>
      <w:pPr>
        <w:pStyle w:val="Heading1"/>
        <w:pBdr>
          <w:bottom w:val="single" w:color="FFD700" w:sz="8"/>
        </w:pBdr>
        <w:shd w:fill="1A6E2A" w:val="clear"/>
        <w:spacing w:after="180" w:before="240"/>
        <w:ind w:left="180"/>
      </w:pPr>
      <w:r>
        <w:rPr>
          <w:rFonts w:ascii="Arial" w:cs="Arial" w:eastAsia="Arial" w:hAnsi="Arial"/>
          <w:b/>
          <w:bCs/>
          <w:color w:val="FFFFFF"/>
          <w:sz w:val="36"/>
          <w:szCs w:val="36"/>
        </w:rPr>
        <w:t xml:space="preserve">8. HOW CAN: Actionable Recommendations</w:t>
      </w:r>
    </w:p>
    <w:p>
      <w:pPr>
        <w:spacing w:after="60" w:before="60"/>
      </w:pPr>
      <w:r>
        <w:t xml:space="preserve"/>
      </w:r>
    </w:p>
    <w:p>
      <w:pPr>
        <w:spacing w:after="80" w:before="60"/>
        <w:jc w:val="both"/>
      </w:pPr>
      <w:r>
        <w:rPr>
          <w:rFonts w:ascii="Arial" w:cs="Arial" w:eastAsia="Arial" w:hAnsi="Arial"/>
          <w:b w:val="false"/>
          <w:bCs w:val="false"/>
          <w:color w:val="212121"/>
          <w:sz w:val="22"/>
          <w:szCs w:val="22"/>
        </w:rPr>
        <w:t xml:space="preserve">The 'How Can' dimension translates the dashboard insights into concrete, prioritized business actions that Blinkit's leadership, operations teams, and category managers can implement to drive improved performance.</w:t>
      </w:r>
    </w:p>
    <w:p>
      <w:pPr>
        <w:spacing w:after="60" w:before="60"/>
      </w:pPr>
      <w:r>
        <w:t xml:space="preserve"/>
      </w:r>
    </w:p>
    <w:p>
      <w:pPr>
        <w:pStyle w:val="Heading3"/>
        <w:spacing w:after="80" w:before="180"/>
      </w:pPr>
      <w:r>
        <w:rPr>
          <w:rFonts w:ascii="Arial" w:cs="Arial" w:eastAsia="Arial" w:hAnsi="Arial"/>
          <w:b/>
          <w:bCs/>
          <w:color w:val="2E7D32"/>
          <w:sz w:val="24"/>
          <w:szCs w:val="24"/>
        </w:rPr>
        <w:t xml:space="preserve">Revenue Growth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60"/>
              <w:left w:type="dxa" w:w="240"/>
              <w:bottom w:type="dxa" w:w="160"/>
              <w:right w:type="dxa" w:w="240"/>
            </w:tcMar>
          </w:tcPr>
          <w:p>
            <w:pPr>
              <w:spacing w:after="80" w:before="0"/>
            </w:pPr>
            <w:r>
              <w:rPr>
                <w:rFonts w:ascii="Arial" w:cs="Arial" w:eastAsia="Arial" w:hAnsi="Arial"/>
                <w:b/>
                <w:bCs/>
                <w:color w:val="145220"/>
                <w:sz w:val="24"/>
                <w:szCs w:val="24"/>
              </w:rPr>
              <w:t xml:space="preserve">Priority 1: Expand High-Performing Item Categories</w:t>
            </w:r>
          </w:p>
          <w:p>
            <w:pPr>
              <w:spacing w:after="40"/>
            </w:pPr>
            <w:r>
              <w:rPr>
                <w:rFonts w:ascii="Arial" w:cs="Arial" w:eastAsia="Arial" w:hAnsi="Arial"/>
                <w:color w:val="212121"/>
                <w:sz w:val="22"/>
                <w:szCs w:val="22"/>
              </w:rPr>
              <w:t xml:space="preserve">The bar chart analysis reveals that certain item types (Fruits &amp; Vegetables, Snack Foods, Household Supplies) generate disproportionately high sales. Blinkit should:</w:t>
            </w:r>
          </w:p>
          <w:p>
            <w:pPr>
              <w:pStyle w:val="ListParagraph"/>
              <w:numPr>
                <w:ilvl w:val="0"/>
                <w:numId w:val="2"/>
              </w:numPr>
              <w:spacing w:after="30"/>
            </w:pPr>
            <w:r>
              <w:rPr>
                <w:rFonts w:ascii="Arial" w:cs="Arial" w:eastAsia="Arial" w:hAnsi="Arial"/>
                <w:sz w:val="22"/>
                <w:szCs w:val="22"/>
              </w:rPr>
              <w:t xml:space="preserve">Increase SKU depth in the top 3-5 performing item categories by 20-30%</w:t>
            </w:r>
          </w:p>
          <w:p>
            <w:pPr>
              <w:pStyle w:val="ListParagraph"/>
              <w:numPr>
                <w:ilvl w:val="0"/>
                <w:numId w:val="2"/>
              </w:numPr>
              <w:spacing w:after="30"/>
            </w:pPr>
            <w:r>
              <w:rPr>
                <w:rFonts w:ascii="Arial" w:cs="Arial" w:eastAsia="Arial" w:hAnsi="Arial"/>
                <w:sz w:val="22"/>
                <w:szCs w:val="22"/>
              </w:rPr>
              <w:t xml:space="preserve">Negotiate better pricing and exclusivity deals with suppliers in high-demand categories</w:t>
            </w:r>
          </w:p>
          <w:p>
            <w:pPr>
              <w:pStyle w:val="ListParagraph"/>
              <w:numPr>
                <w:ilvl w:val="0"/>
                <w:numId w:val="2"/>
              </w:numPr>
              <w:spacing w:after="0"/>
            </w:pPr>
            <w:r>
              <w:rPr>
                <w:rFonts w:ascii="Arial" w:cs="Arial" w:eastAsia="Arial" w:hAnsi="Arial"/>
                <w:sz w:val="22"/>
                <w:szCs w:val="22"/>
              </w:rPr>
              <w:t xml:space="preserve">Feature top categories prominently in the app home screen to drive discovery</w:t>
            </w:r>
          </w:p>
        </w:tc>
      </w:tr>
    </w:tbl>
    <w:p>
      <w:pPr>
        <w:spacing w:after="60" w:before="60"/>
      </w:pPr>
      <w:r>
        <w:t xml:space="preserve"/>
      </w:r>
    </w:p>
    <w:p>
      <w:pPr>
        <w:pStyle w:val="Heading3"/>
        <w:spacing w:after="80" w:before="180"/>
      </w:pPr>
      <w:r>
        <w:rPr>
          <w:rFonts w:ascii="Arial" w:cs="Arial" w:eastAsia="Arial" w:hAnsi="Arial"/>
          <w:b/>
          <w:bCs/>
          <w:color w:val="2E7D32"/>
          <w:sz w:val="24"/>
          <w:szCs w:val="24"/>
        </w:rPr>
        <w:t xml:space="preserve">Outlet Network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60"/>
              <w:left w:type="dxa" w:w="240"/>
              <w:bottom w:type="dxa" w:w="160"/>
              <w:right w:type="dxa" w:w="240"/>
            </w:tcMar>
          </w:tcPr>
          <w:p>
            <w:pPr>
              <w:spacing w:after="80" w:before="0"/>
            </w:pPr>
            <w:r>
              <w:rPr>
                <w:rFonts w:ascii="Arial" w:cs="Arial" w:eastAsia="Arial" w:hAnsi="Arial"/>
                <w:b/>
                <w:bCs/>
                <w:color w:val="145220"/>
                <w:sz w:val="24"/>
                <w:szCs w:val="24"/>
              </w:rPr>
              <w:t xml:space="preserve">Priority 2: Target Tier 2 Market Expansion</w:t>
            </w:r>
          </w:p>
          <w:p>
            <w:pPr>
              <w:spacing w:after="40"/>
            </w:pPr>
            <w:r>
              <w:rPr>
                <w:rFonts w:ascii="Arial" w:cs="Arial" w:eastAsia="Arial" w:hAnsi="Arial"/>
                <w:color w:val="212121"/>
                <w:sz w:val="22"/>
                <w:szCs w:val="22"/>
              </w:rPr>
              <w:t xml:space="preserve">The funnel chart shows that Tier 1 cities dominate sales while Tier 2 and 3 remain underpenetrated. Given India's rapid urbanization and rising middle class, the strategic opportunity lies in:</w:t>
            </w:r>
          </w:p>
          <w:p>
            <w:pPr>
              <w:pStyle w:val="ListParagraph"/>
              <w:numPr>
                <w:ilvl w:val="0"/>
                <w:numId w:val="2"/>
              </w:numPr>
              <w:spacing w:after="30"/>
            </w:pPr>
            <w:r>
              <w:rPr>
                <w:rFonts w:ascii="Arial" w:cs="Arial" w:eastAsia="Arial" w:hAnsi="Arial"/>
                <w:sz w:val="22"/>
                <w:szCs w:val="22"/>
              </w:rPr>
              <w:t xml:space="preserve">Open 50+ new outlets in Tier 2 cities over the next 12 months, focusing on cities with population &gt;500K</w:t>
            </w:r>
          </w:p>
          <w:p>
            <w:pPr>
              <w:pStyle w:val="ListParagraph"/>
              <w:numPr>
                <w:ilvl w:val="0"/>
                <w:numId w:val="2"/>
              </w:numPr>
              <w:spacing w:after="30"/>
            </w:pPr>
            <w:r>
              <w:rPr>
                <w:rFonts w:ascii="Arial" w:cs="Arial" w:eastAsia="Arial" w:hAnsi="Arial"/>
                <w:sz w:val="22"/>
                <w:szCs w:val="22"/>
              </w:rPr>
              <w:t xml:space="preserve">Adapt the product mix for Tier 2/3 consumer preferences (value packs, regional items)</w:t>
            </w:r>
          </w:p>
          <w:p>
            <w:pPr>
              <w:pStyle w:val="ListParagraph"/>
              <w:numPr>
                <w:ilvl w:val="0"/>
                <w:numId w:val="2"/>
              </w:numPr>
              <w:spacing w:after="0"/>
            </w:pPr>
            <w:r>
              <w:rPr>
                <w:rFonts w:ascii="Arial" w:cs="Arial" w:eastAsia="Arial" w:hAnsi="Arial"/>
                <w:sz w:val="22"/>
                <w:szCs w:val="22"/>
              </w:rPr>
              <w:t xml:space="preserve">Use the outlet establishment year data to identify the optimal ramp-up period and staff accordingly</w:t>
            </w:r>
          </w:p>
        </w:tc>
      </w:tr>
    </w:tbl>
    <w:p>
      <w:pPr>
        <w:spacing w:after="60" w:before="60"/>
      </w:pPr>
      <w:r>
        <w:t xml:space="preserve"/>
      </w:r>
    </w:p>
    <w:p>
      <w:pPr>
        <w:pStyle w:val="Heading3"/>
        <w:spacing w:after="80" w:before="180"/>
      </w:pPr>
      <w:r>
        <w:rPr>
          <w:rFonts w:ascii="Arial" w:cs="Arial" w:eastAsia="Arial" w:hAnsi="Arial"/>
          <w:b/>
          <w:bCs/>
          <w:color w:val="2E7D32"/>
          <w:sz w:val="24"/>
          <w:szCs w:val="24"/>
        </w:rPr>
        <w:t xml:space="preserve">Customer Satisfaction Improvement</w:t>
      </w:r>
    </w:p>
    <w:p>
      <w:pPr>
        <w:pStyle w:val="ListParagraph"/>
        <w:numPr>
          <w:ilvl w:val="0"/>
          <w:numId w:val="2"/>
        </w:numPr>
        <w:spacing w:after="40" w:before="40"/>
      </w:pPr>
      <w:r>
        <w:rPr>
          <w:rFonts w:ascii="Arial" w:cs="Arial" w:eastAsia="Arial" w:hAnsi="Arial"/>
          <w:color w:val="212121"/>
          <w:sz w:val="22"/>
          <w:szCs w:val="22"/>
        </w:rPr>
        <w:t xml:space="preserve">Address outlets with Average Rating below 3.5 with immediate service quality audits and staff training programs.</w:t>
      </w:r>
    </w:p>
    <w:p>
      <w:pPr>
        <w:pStyle w:val="ListParagraph"/>
        <w:numPr>
          <w:ilvl w:val="0"/>
          <w:numId w:val="2"/>
        </w:numPr>
        <w:spacing w:after="40" w:before="40"/>
      </w:pPr>
      <w:r>
        <w:rPr>
          <w:rFonts w:ascii="Arial" w:cs="Arial" w:eastAsia="Arial" w:hAnsi="Arial"/>
          <w:color w:val="212121"/>
          <w:sz w:val="22"/>
          <w:szCs w:val="22"/>
        </w:rPr>
        <w:t xml:space="preserve">Implement a customer feedback loop connecting app ratings directly to outlet manager KPIs.</w:t>
      </w:r>
    </w:p>
    <w:p>
      <w:pPr>
        <w:pStyle w:val="ListParagraph"/>
        <w:numPr>
          <w:ilvl w:val="0"/>
          <w:numId w:val="2"/>
        </w:numPr>
        <w:spacing w:after="40" w:before="40"/>
      </w:pPr>
      <w:r>
        <w:rPr>
          <w:rFonts w:ascii="Arial" w:cs="Arial" w:eastAsia="Arial" w:hAnsi="Arial"/>
          <w:color w:val="212121"/>
          <w:sz w:val="22"/>
          <w:szCs w:val="22"/>
        </w:rPr>
        <w:t xml:space="preserve">Prioritize product freshness and packaging quality in the Fruits, Vegetables, and Dairy categories where freshness perception drives ratings.</w:t>
      </w:r>
    </w:p>
    <w:p>
      <w:pPr>
        <w:spacing w:after="60" w:before="60"/>
      </w:pPr>
      <w:r>
        <w:t xml:space="preserve"/>
      </w:r>
    </w:p>
    <w:p>
      <w:pPr>
        <w:pStyle w:val="Heading3"/>
        <w:spacing w:after="80" w:before="180"/>
      </w:pPr>
      <w:r>
        <w:rPr>
          <w:rFonts w:ascii="Arial" w:cs="Arial" w:eastAsia="Arial" w:hAnsi="Arial"/>
          <w:b/>
          <w:bCs/>
          <w:color w:val="2E7D32"/>
          <w:sz w:val="24"/>
          <w:szCs w:val="24"/>
        </w:rPr>
        <w:t xml:space="preserve">Data &amp; Analytics Enhancement</w:t>
      </w:r>
    </w:p>
    <w:p>
      <w:pPr>
        <w:pStyle w:val="ListParagraph"/>
        <w:numPr>
          <w:ilvl w:val="0"/>
          <w:numId w:val="2"/>
        </w:numPr>
        <w:spacing w:after="40" w:before="40"/>
      </w:pPr>
      <w:r>
        <w:rPr>
          <w:rFonts w:ascii="Arial" w:cs="Arial" w:eastAsia="Arial" w:hAnsi="Arial"/>
          <w:color w:val="212121"/>
          <w:sz w:val="22"/>
          <w:szCs w:val="22"/>
        </w:rPr>
        <w:t xml:space="preserve">Add transaction-date granularity to enable hour-of-day and day-of-week sales pattern analysis.</w:t>
      </w:r>
    </w:p>
    <w:p>
      <w:pPr>
        <w:pStyle w:val="ListParagraph"/>
        <w:numPr>
          <w:ilvl w:val="0"/>
          <w:numId w:val="2"/>
        </w:numPr>
        <w:spacing w:after="40" w:before="40"/>
      </w:pPr>
      <w:r>
        <w:rPr>
          <w:rFonts w:ascii="Arial" w:cs="Arial" w:eastAsia="Arial" w:hAnsi="Arial"/>
          <w:color w:val="212121"/>
          <w:sz w:val="22"/>
          <w:szCs w:val="22"/>
        </w:rPr>
        <w:t xml:space="preserve">Integrate customer demographics data to enable personalized category recommendations.</w:t>
      </w:r>
    </w:p>
    <w:p>
      <w:pPr>
        <w:pStyle w:val="ListParagraph"/>
        <w:numPr>
          <w:ilvl w:val="0"/>
          <w:numId w:val="2"/>
        </w:numPr>
        <w:spacing w:after="40" w:before="40"/>
      </w:pPr>
      <w:r>
        <w:rPr>
          <w:rFonts w:ascii="Arial" w:cs="Arial" w:eastAsia="Arial" w:hAnsi="Arial"/>
          <w:color w:val="212121"/>
          <w:sz w:val="22"/>
          <w:szCs w:val="22"/>
        </w:rPr>
        <w:t xml:space="preserve">Build a predictive model using outlet establishment year + size + location type to forecast new outlet ramp-up curves.</w:t>
      </w:r>
    </w:p>
    <w:p>
      <w:pPr>
        <w:pStyle w:val="ListParagraph"/>
        <w:numPr>
          <w:ilvl w:val="0"/>
          <w:numId w:val="2"/>
        </w:numPr>
        <w:spacing w:after="40" w:before="40"/>
      </w:pPr>
      <w:r>
        <w:rPr>
          <w:rFonts w:ascii="Arial" w:cs="Arial" w:eastAsia="Arial" w:hAnsi="Arial"/>
          <w:color w:val="212121"/>
          <w:sz w:val="22"/>
          <w:szCs w:val="22"/>
        </w:rPr>
        <w:t xml:space="preserve">Create an automated alert system in Power BI that flags outlets falling below baseline sales thresholds for proactive intervention.</w:t>
      </w:r>
    </w:p>
    <w:p>
      <w:r>
        <w:br w:type="page"/>
      </w:r>
    </w:p>
    <w:p>
      <w:pPr>
        <w:pStyle w:val="Heading1"/>
        <w:pBdr>
          <w:bottom w:val="single" w:color="FFD700" w:sz="8"/>
        </w:pBdr>
        <w:shd w:fill="1A6E2A" w:val="clear"/>
        <w:spacing w:after="180" w:before="240"/>
        <w:ind w:left="180"/>
      </w:pPr>
      <w:r>
        <w:rPr>
          <w:rFonts w:ascii="Arial" w:cs="Arial" w:eastAsia="Arial" w:hAnsi="Arial"/>
          <w:b/>
          <w:bCs/>
          <w:color w:val="FFFFFF"/>
          <w:sz w:val="36"/>
          <w:szCs w:val="36"/>
        </w:rPr>
        <w:t xml:space="preserve">9. Product Analysis Deep Dive</w:t>
      </w:r>
    </w:p>
    <w:p>
      <w:pPr>
        <w:spacing w:after="60" w:before="60"/>
      </w:pPr>
      <w:r>
        <w:t xml:space="preserve"/>
      </w:r>
    </w:p>
    <w:p>
      <w:pPr>
        <w:spacing w:after="80" w:before="60"/>
        <w:jc w:val="both"/>
      </w:pPr>
      <w:r>
        <w:rPr>
          <w:rFonts w:ascii="Arial" w:cs="Arial" w:eastAsia="Arial" w:hAnsi="Arial"/>
          <w:b w:val="false"/>
          <w:bCs w:val="false"/>
          <w:color w:val="212121"/>
          <w:sz w:val="22"/>
          <w:szCs w:val="22"/>
        </w:rPr>
        <w:t xml:space="preserve">The Product Analysis page of the dashboard provides a detailed view of sales performance broken down by product category and fat content classification. This section synthesizes the insights from the treemap, clustered bar charts, donut chart, and item-level detail table on that page.</w:t>
      </w:r>
    </w:p>
    <w:p>
      <w:pPr>
        <w:spacing w:after="60" w:before="60"/>
      </w:pPr>
      <w:r>
        <w:t xml:space="preserve"/>
      </w:r>
    </w:p>
    <w:p>
      <w:pPr>
        <w:pStyle w:val="Heading3"/>
        <w:spacing w:after="80" w:before="180"/>
      </w:pPr>
      <w:r>
        <w:rPr>
          <w:rFonts w:ascii="Arial" w:cs="Arial" w:eastAsia="Arial" w:hAnsi="Arial"/>
          <w:b/>
          <w:bCs/>
          <w:color w:val="2E7D32"/>
          <w:sz w:val="24"/>
          <w:szCs w:val="24"/>
        </w:rPr>
        <w:t xml:space="preserve">Item Type Sales Performance</w:t>
      </w:r>
    </w:p>
    <w:p>
      <w:pPr>
        <w:spacing w:after="80" w:before="60"/>
        <w:jc w:val="both"/>
      </w:pPr>
      <w:r>
        <w:rPr>
          <w:rFonts w:ascii="Arial" w:cs="Arial" w:eastAsia="Arial" w:hAnsi="Arial"/>
          <w:b w:val="false"/>
          <w:bCs w:val="false"/>
          <w:color w:val="212121"/>
          <w:sz w:val="22"/>
          <w:szCs w:val="22"/>
        </w:rPr>
        <w:t xml:space="preserve">The treemap visualization on the Product Analysis page depicts all item categories as nested rectangles, with the area of each rectangle proportional to its Total Sales contribution. This allows instant visual identification of top-performing and underperforming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6E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 Category</w:t>
            </w:r>
          </w:p>
        </w:tc>
        <w:tc>
          <w:tcPr>
            <w:tcW w:type="dxa" w:w="2340"/>
            <w:tcBorders>
              <w:top w:val="single" w:color="CCCCCC" w:sz="1"/>
              <w:left w:val="single" w:color="CCCCCC" w:sz="1"/>
              <w:bottom w:val="single" w:color="CCCCCC" w:sz="1"/>
              <w:right w:val="single" w:color="CCCCCC" w:sz="1"/>
            </w:tcBorders>
            <w:shd w:fill="1A6E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Sales Performance Tier</w:t>
            </w:r>
          </w:p>
        </w:tc>
        <w:tc>
          <w:tcPr>
            <w:tcW w:type="dxa" w:w="2340"/>
            <w:tcBorders>
              <w:top w:val="single" w:color="CCCCCC" w:sz="1"/>
              <w:left w:val="single" w:color="CCCCCC" w:sz="1"/>
              <w:bottom w:val="single" w:color="CCCCCC" w:sz="1"/>
              <w:right w:val="single" w:color="CCCCCC" w:sz="1"/>
            </w:tcBorders>
            <w:shd w:fill="1A6E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Fat Content</w:t>
            </w:r>
          </w:p>
        </w:tc>
        <w:tc>
          <w:tcPr>
            <w:tcW w:type="dxa" w:w="2340"/>
            <w:tcBorders>
              <w:top w:val="single" w:color="CCCCCC" w:sz="1"/>
              <w:left w:val="single" w:color="CCCCCC" w:sz="1"/>
              <w:bottom w:val="single" w:color="CCCCCC" w:sz="1"/>
              <w:right w:val="single" w:color="CCCCCC" w:sz="1"/>
            </w:tcBorders>
            <w:shd w:fill="1A6E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Strategic Relevance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12121"/>
                <w:sz w:val="20"/>
                <w:szCs w:val="20"/>
              </w:rPr>
              <w:t xml:space="preserve">Fruits &amp; Vegetables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Tier 1 — Highest Sales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Regular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Core staple — drives daily order frequency</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color w:val="212121"/>
                <w:sz w:val="20"/>
                <w:szCs w:val="20"/>
              </w:rPr>
              <w:t xml:space="preserve">Snack Foods</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Tier 1 — Highest Sales</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Regular &amp; Low Fat</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High margin, impulse purchase driver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12121"/>
                <w:sz w:val="20"/>
                <w:szCs w:val="20"/>
              </w:rPr>
              <w:t xml:space="preserve">Household Supplies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Tier 1 — High Sales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N/A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High basket value, regular replenishment</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color w:val="212121"/>
                <w:sz w:val="20"/>
                <w:szCs w:val="20"/>
              </w:rPr>
              <w:t xml:space="preserve">Frozen Foods</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Tier 2 — Moderate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Regular</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Growing segment, convenience-driven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12121"/>
                <w:sz w:val="20"/>
                <w:szCs w:val="20"/>
              </w:rPr>
              <w:t xml:space="preserve">Dairy/Eggs/Meat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Tier 2 — Moderate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Regular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High frequency, loyalty-building category</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color w:val="212121"/>
                <w:sz w:val="20"/>
                <w:szCs w:val="20"/>
              </w:rPr>
              <w:t xml:space="preserve">Bakery Products</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Tier 2 — Moderate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Regular</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Weekend demand spike, freshness critical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12121"/>
                <w:sz w:val="20"/>
                <w:szCs w:val="20"/>
              </w:rPr>
              <w:t xml:space="preserve">Canned/Jarred Foods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Tier 2 — Moderate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Regular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Long shelf-life advantage for inventory</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color w:val="212121"/>
                <w:sz w:val="20"/>
                <w:szCs w:val="20"/>
              </w:rPr>
              <w:t xml:space="preserve">Health Foods</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Tier 3 — Lower Sales</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Low Fat</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Emerging segment, urban premium market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12121"/>
                <w:sz w:val="20"/>
                <w:szCs w:val="20"/>
              </w:rPr>
              <w:t xml:space="preserve">Soft Drinks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Tier 3 — Seasonal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Regular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Seasonal peaks, promotional opportunities</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color w:val="212121"/>
                <w:sz w:val="20"/>
                <w:szCs w:val="20"/>
              </w:rPr>
              <w:t xml:space="preserve">Hard Drinks</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Tier 3 — Lower Sales</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Regular</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Regulatory constraints, limited markets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12121"/>
                <w:sz w:val="20"/>
                <w:szCs w:val="20"/>
              </w:rPr>
              <w:t xml:space="preserve">Starchy Foods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Tier 3 — Lower Sales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Regular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Staple but lower value per transaction</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color w:val="212121"/>
                <w:sz w:val="20"/>
                <w:szCs w:val="20"/>
              </w:rPr>
              <w:t xml:space="preserve">Breakfast Foods</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Tier 3 — Lower Sales</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Regular &amp; Low Fat</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Morning use case, small basket size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12121"/>
                <w:sz w:val="20"/>
                <w:szCs w:val="20"/>
              </w:rPr>
              <w:t xml:space="preserve">Seafood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Tier 3 — Lower Sales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Regular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Geography-dependent, limited outlet coverage</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color w:val="212121"/>
                <w:sz w:val="20"/>
                <w:szCs w:val="20"/>
              </w:rPr>
              <w:t xml:space="preserve">Breads</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Tier 3 — Lower Sales</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Regular</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Commoditized, price competition high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12121"/>
                <w:sz w:val="20"/>
                <w:szCs w:val="20"/>
              </w:rPr>
              <w:t xml:space="preserve">Others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Variable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Mixed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Long tail of specialty items</w:t>
            </w:r>
          </w:p>
        </w:tc>
      </w:tr>
    </w:tbl>
    <w:p>
      <w:pPr>
        <w:spacing w:after="60" w:before="60"/>
      </w:pPr>
      <w:r>
        <w:t xml:space="preserve"/>
      </w:r>
    </w:p>
    <w:p>
      <w:pPr>
        <w:pStyle w:val="Heading3"/>
        <w:spacing w:after="80" w:before="180"/>
      </w:pPr>
      <w:r>
        <w:rPr>
          <w:rFonts w:ascii="Arial" w:cs="Arial" w:eastAsia="Arial" w:hAnsi="Arial"/>
          <w:b/>
          <w:bCs/>
          <w:color w:val="2E7D32"/>
          <w:sz w:val="24"/>
          <w:szCs w:val="24"/>
        </w:rPr>
        <w:t xml:space="preserve">Fat Content Analysis</w:t>
      </w:r>
    </w:p>
    <w:p>
      <w:pPr>
        <w:spacing w:after="80" w:before="60"/>
        <w:jc w:val="both"/>
      </w:pPr>
      <w:r>
        <w:rPr>
          <w:rFonts w:ascii="Arial" w:cs="Arial" w:eastAsia="Arial" w:hAnsi="Arial"/>
          <w:b w:val="false"/>
          <w:bCs w:val="false"/>
          <w:color w:val="212121"/>
          <w:sz w:val="22"/>
          <w:szCs w:val="22"/>
        </w:rPr>
        <w:t xml:space="preserve">The donut chart on the Product Analysis page breaks sales into Regular vs Low Fat item categories. This dimension is strategically important as health consciousness grows among Indian consumers, particularly in Tier 1 urban markets. Low Fat items command a premium price point but currently represent a smaller share of total sales, indicating a growth opportunity if Blinkit expands its health-focused product range.</w:t>
      </w:r>
    </w:p>
    <w:p>
      <w:r>
        <w:br w:type="page"/>
      </w:r>
    </w:p>
    <w:p>
      <w:pPr>
        <w:pStyle w:val="Heading1"/>
        <w:pBdr>
          <w:bottom w:val="single" w:color="FFD700" w:sz="8"/>
        </w:pBdr>
        <w:shd w:fill="1A6E2A" w:val="clear"/>
        <w:spacing w:after="180" w:before="240"/>
        <w:ind w:left="180"/>
      </w:pPr>
      <w:r>
        <w:rPr>
          <w:rFonts w:ascii="Arial" w:cs="Arial" w:eastAsia="Arial" w:hAnsi="Arial"/>
          <w:b/>
          <w:bCs/>
          <w:color w:val="FFFFFF"/>
          <w:sz w:val="36"/>
          <w:szCs w:val="36"/>
        </w:rPr>
        <w:t xml:space="preserve">10. Outlet Performance Analysis</w:t>
      </w:r>
    </w:p>
    <w:p>
      <w:pPr>
        <w:spacing w:after="60" w:before="60"/>
      </w:pPr>
      <w:r>
        <w:t xml:space="preserve"/>
      </w:r>
    </w:p>
    <w:p>
      <w:pPr>
        <w:spacing w:after="80" w:before="60"/>
        <w:jc w:val="both"/>
      </w:pPr>
      <w:r>
        <w:rPr>
          <w:rFonts w:ascii="Arial" w:cs="Arial" w:eastAsia="Arial" w:hAnsi="Arial"/>
          <w:b w:val="false"/>
          <w:bCs w:val="false"/>
          <w:color w:val="212121"/>
          <w:sz w:val="22"/>
          <w:szCs w:val="22"/>
        </w:rPr>
        <w:t xml:space="preserve">The Outlet Performance page is the most operationally focused section of the Blinkit Sales Analysis Dashboard. It enables outlet managers and regional directors to rank and compare individual outlet performance, understand type-based differences, and identify geographic concentration of sales.</w:t>
      </w:r>
    </w:p>
    <w:p>
      <w:pPr>
        <w:spacing w:after="60" w:before="60"/>
      </w:pPr>
      <w:r>
        <w:t xml:space="preserve"/>
      </w:r>
    </w:p>
    <w:p>
      <w:pPr>
        <w:pStyle w:val="Heading3"/>
        <w:spacing w:after="80" w:before="180"/>
      </w:pPr>
      <w:r>
        <w:rPr>
          <w:rFonts w:ascii="Arial" w:cs="Arial" w:eastAsia="Arial" w:hAnsi="Arial"/>
          <w:b/>
          <w:bCs/>
          <w:color w:val="2E7D32"/>
          <w:sz w:val="24"/>
          <w:szCs w:val="24"/>
        </w:rPr>
        <w:t xml:space="preserve">Sales Ranking by Outlet Identifier</w:t>
      </w:r>
    </w:p>
    <w:p>
      <w:pPr>
        <w:spacing w:after="80" w:before="60"/>
        <w:jc w:val="both"/>
      </w:pPr>
      <w:r>
        <w:rPr>
          <w:rFonts w:ascii="Arial" w:cs="Arial" w:eastAsia="Arial" w:hAnsi="Arial"/>
          <w:b w:val="false"/>
          <w:bCs w:val="false"/>
          <w:color w:val="212121"/>
          <w:sz w:val="22"/>
          <w:szCs w:val="22"/>
        </w:rPr>
        <w:t xml:space="preserve">The column chart on this page displays Sum of Sales on the Y-axis against Outlet Identifier on the X-axis, creating a visual performance leaderboard across all 131+ Blinkit outlets. The Sales Rank by Outlet calculated measure adds a rank number to each outlet, enabling straightforward identification of top performers (Rank 1 = highest sales) and those requiring intervention.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60"/>
              <w:left w:type="dxa" w:w="240"/>
              <w:bottom w:type="dxa" w:w="160"/>
              <w:right w:type="dxa" w:w="240"/>
            </w:tcMar>
          </w:tcPr>
          <w:p>
            <w:pPr>
              <w:spacing w:after="80" w:before="0"/>
            </w:pPr>
            <w:r>
              <w:rPr>
                <w:rFonts w:ascii="Arial" w:cs="Arial" w:eastAsia="Arial" w:hAnsi="Arial"/>
                <w:b/>
                <w:bCs/>
                <w:color w:val="145220"/>
                <w:sz w:val="24"/>
                <w:szCs w:val="24"/>
              </w:rPr>
              <w:t xml:space="preserve">How to Use the Outlet Ranking</w:t>
            </w:r>
          </w:p>
          <w:p>
            <w:pPr>
              <w:spacing w:after="30"/>
            </w:pPr>
            <w:r>
              <w:rPr>
                <w:rFonts w:ascii="Arial" w:cs="Arial" w:eastAsia="Arial" w:hAnsi="Arial"/>
                <w:b/>
                <w:bCs/>
                <w:color w:val="145220"/>
                <w:sz w:val="22"/>
                <w:szCs w:val="22"/>
              </w:rPr>
              <w:t xml:space="preserve">Step 1:</w:t>
            </w:r>
          </w:p>
          <w:p>
            <w:pPr>
              <w:spacing w:after="50"/>
            </w:pPr>
            <w:r>
              <w:rPr>
                <w:rFonts w:ascii="Arial" w:cs="Arial" w:eastAsia="Arial" w:hAnsi="Arial"/>
                <w:color w:val="212121"/>
                <w:sz w:val="22"/>
                <w:szCs w:val="22"/>
              </w:rPr>
              <w:t xml:space="preserve">Apply Outlet Location Type slicer to focus on a specific tier (e.g., Tier 1 only)</w:t>
            </w:r>
          </w:p>
          <w:p>
            <w:pPr>
              <w:spacing w:after="30"/>
            </w:pPr>
            <w:r>
              <w:rPr>
                <w:rFonts w:ascii="Arial" w:cs="Arial" w:eastAsia="Arial" w:hAnsi="Arial"/>
                <w:b/>
                <w:bCs/>
                <w:color w:val="145220"/>
                <w:sz w:val="22"/>
                <w:szCs w:val="22"/>
              </w:rPr>
              <w:t xml:space="preserve">Step 2:</w:t>
            </w:r>
          </w:p>
          <w:p>
            <w:pPr>
              <w:spacing w:after="50"/>
            </w:pPr>
            <w:r>
              <w:rPr>
                <w:rFonts w:ascii="Arial" w:cs="Arial" w:eastAsia="Arial" w:hAnsi="Arial"/>
                <w:color w:val="212121"/>
                <w:sz w:val="22"/>
                <w:szCs w:val="22"/>
              </w:rPr>
              <w:t xml:space="preserve">Sort the column chart by Sales descending to rank outlets within that tier</w:t>
            </w:r>
          </w:p>
          <w:p>
            <w:pPr>
              <w:spacing w:after="30"/>
            </w:pPr>
            <w:r>
              <w:rPr>
                <w:rFonts w:ascii="Arial" w:cs="Arial" w:eastAsia="Arial" w:hAnsi="Arial"/>
                <w:b/>
                <w:bCs/>
                <w:color w:val="145220"/>
                <w:sz w:val="22"/>
                <w:szCs w:val="22"/>
              </w:rPr>
              <w:t xml:space="preserve">Step 3:</w:t>
            </w:r>
          </w:p>
          <w:p>
            <w:pPr>
              <w:spacing w:after="50"/>
            </w:pPr>
            <w:r>
              <w:rPr>
                <w:rFonts w:ascii="Arial" w:cs="Arial" w:eastAsia="Arial" w:hAnsi="Arial"/>
                <w:color w:val="212121"/>
                <w:sz w:val="22"/>
                <w:szCs w:val="22"/>
              </w:rPr>
              <w:t xml:space="preserve">Cross-reference with Outlet Size slicer to see if large outlets are consistently outperforming small ones</w:t>
            </w:r>
          </w:p>
          <w:p>
            <w:pPr>
              <w:spacing w:after="30"/>
            </w:pPr>
            <w:r>
              <w:rPr>
                <w:rFonts w:ascii="Arial" w:cs="Arial" w:eastAsia="Arial" w:hAnsi="Arial"/>
                <w:b/>
                <w:bCs/>
                <w:color w:val="145220"/>
                <w:sz w:val="22"/>
                <w:szCs w:val="22"/>
              </w:rPr>
              <w:t xml:space="preserve">Step 4:</w:t>
            </w:r>
          </w:p>
          <w:p>
            <w:pPr>
              <w:spacing w:after="0"/>
            </w:pPr>
            <w:r>
              <w:rPr>
                <w:rFonts w:ascii="Arial" w:cs="Arial" w:eastAsia="Arial" w:hAnsi="Arial"/>
                <w:color w:val="212121"/>
                <w:sz w:val="22"/>
                <w:szCs w:val="22"/>
              </w:rPr>
              <w:t xml:space="preserve">Use the Ribbon Chart to verify whether high-performing outlets have maintained their rank over multiple years</w:t>
            </w:r>
          </w:p>
        </w:tc>
      </w:tr>
    </w:tbl>
    <w:p>
      <w:pPr>
        <w:spacing w:after="60" w:before="60"/>
      </w:pPr>
      <w:r>
        <w:t xml:space="preserve"/>
      </w:r>
    </w:p>
    <w:p>
      <w:pPr>
        <w:pStyle w:val="Heading3"/>
        <w:spacing w:after="80" w:before="180"/>
      </w:pPr>
      <w:r>
        <w:rPr>
          <w:rFonts w:ascii="Arial" w:cs="Arial" w:eastAsia="Arial" w:hAnsi="Arial"/>
          <w:b/>
          <w:bCs/>
          <w:color w:val="2E7D32"/>
          <w:sz w:val="24"/>
          <w:szCs w:val="24"/>
        </w:rPr>
        <w:t xml:space="preserve">Outlet Type Performance Comparison</w:t>
      </w:r>
    </w:p>
    <w:p>
      <w:pPr>
        <w:spacing w:after="80" w:before="60"/>
        <w:jc w:val="both"/>
      </w:pPr>
      <w:r>
        <w:rPr>
          <w:rFonts w:ascii="Arial" w:cs="Arial" w:eastAsia="Arial" w:hAnsi="Arial"/>
          <w:b w:val="false"/>
          <w:bCs w:val="false"/>
          <w:color w:val="212121"/>
          <w:sz w:val="22"/>
          <w:szCs w:val="22"/>
        </w:rPr>
        <w:t xml:space="preserve">The Ribbon Chart on the Outlet Performance page shows how different outlet types (Supermarket Type 1, Supermarket Type 2, Grocery Store, etc.) have ranked against each other across establishment years. Ribbons that consistently occupy the top positions indicate structurally superior outlet formats, while those declining over time may require format redesign or operational overhaul.</w:t>
      </w:r>
    </w:p>
    <w:p>
      <w:pPr>
        <w:spacing w:after="60" w:before="60"/>
      </w:pPr>
      <w:r>
        <w:t xml:space="preserve"/>
      </w:r>
    </w:p>
    <w:p>
      <w:pPr>
        <w:pStyle w:val="Heading3"/>
        <w:spacing w:after="80" w:before="180"/>
      </w:pPr>
      <w:r>
        <w:rPr>
          <w:rFonts w:ascii="Arial" w:cs="Arial" w:eastAsia="Arial" w:hAnsi="Arial"/>
          <w:b/>
          <w:bCs/>
          <w:color w:val="2E7D32"/>
          <w:sz w:val="24"/>
          <w:szCs w:val="24"/>
        </w:rPr>
        <w:t xml:space="preserve">Average Rating by Outlet Type</w:t>
      </w:r>
    </w:p>
    <w:p>
      <w:pPr>
        <w:spacing w:after="80" w:before="60"/>
        <w:jc w:val="both"/>
      </w:pPr>
      <w:r>
        <w:rPr>
          <w:rFonts w:ascii="Arial" w:cs="Arial" w:eastAsia="Arial" w:hAnsi="Arial"/>
          <w:b w:val="false"/>
          <w:bCs w:val="false"/>
          <w:color w:val="212121"/>
          <w:sz w:val="22"/>
          <w:szCs w:val="22"/>
        </w:rPr>
        <w:t xml:space="preserve">The bar chart comparing Average Rating against Outlet Type is a crucial quality metric. It reveals which store formats deliver better customer experience — whether due to fresher products, faster delivery times, wider selection, or superior app-to-outlet integration. Outlets and formats with ratings below the overall average of 3.9 should be flagged for immediate quality improvement initiatives.</w:t>
      </w:r>
    </w:p>
    <w:p>
      <w:r>
        <w:br w:type="page"/>
      </w:r>
    </w:p>
    <w:p>
      <w:pPr>
        <w:pStyle w:val="Heading1"/>
        <w:pBdr>
          <w:bottom w:val="single" w:color="FFD700" w:sz="8"/>
        </w:pBdr>
        <w:shd w:fill="1A6E2A" w:val="clear"/>
        <w:spacing w:after="180" w:before="240"/>
        <w:ind w:left="180"/>
      </w:pPr>
      <w:r>
        <w:rPr>
          <w:rFonts w:ascii="Arial" w:cs="Arial" w:eastAsia="Arial" w:hAnsi="Arial"/>
          <w:b/>
          <w:bCs/>
          <w:color w:val="FFFFFF"/>
          <w:sz w:val="36"/>
          <w:szCs w:val="36"/>
        </w:rPr>
        <w:t xml:space="preserve">11. Fat Content &amp; Item Category Analysis</w:t>
      </w:r>
    </w:p>
    <w:p>
      <w:pPr>
        <w:spacing w:after="60" w:before="60"/>
      </w:pPr>
      <w:r>
        <w:t xml:space="preserve"/>
      </w:r>
    </w:p>
    <w:p>
      <w:pPr>
        <w:spacing w:after="80" w:before="60"/>
        <w:jc w:val="both"/>
      </w:pPr>
      <w:r>
        <w:rPr>
          <w:rFonts w:ascii="Arial" w:cs="Arial" w:eastAsia="Arial" w:hAnsi="Arial"/>
          <w:b w:val="false"/>
          <w:bCs w:val="false"/>
          <w:color w:val="212121"/>
          <w:sz w:val="22"/>
          <w:szCs w:val="22"/>
        </w:rPr>
        <w:t xml:space="preserve">The distinction between Regular and Low Fat items is a growing strategic consideration for Blinkit as Indian consumers become increasingly health-conscious. The Product Analysis page dedicates a donut chart and a clustered bar chart to this dimension, breaking down sales and counts by fat content across outlet location types.</w:t>
      </w:r>
    </w:p>
    <w:p>
      <w:pPr>
        <w:spacing w:after="60" w:before="60"/>
      </w:pPr>
      <w:r>
        <w:t xml:space="preserve"/>
      </w:r>
    </w:p>
    <w:p>
      <w:pPr>
        <w:pStyle w:val="Heading3"/>
        <w:spacing w:after="80" w:before="180"/>
      </w:pPr>
      <w:r>
        <w:rPr>
          <w:rFonts w:ascii="Arial" w:cs="Arial" w:eastAsia="Arial" w:hAnsi="Arial"/>
          <w:b/>
          <w:bCs/>
          <w:color w:val="2E7D32"/>
          <w:sz w:val="24"/>
          <w:szCs w:val="24"/>
        </w:rPr>
        <w:t xml:space="preserve">Why Fat Content Matters Strategically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200"/>
            </w:tcMar>
          </w:tcPr>
          <w:p>
            <w:pPr>
              <w:pStyle w:val="Heading3"/>
              <w:spacing w:after="80" w:before="180"/>
            </w:pPr>
            <w:r>
              <w:rPr>
                <w:rFonts w:ascii="Arial" w:cs="Arial" w:eastAsia="Arial" w:hAnsi="Arial"/>
                <w:b/>
                <w:bCs/>
                <w:color w:val="2E7D32"/>
                <w:sz w:val="24"/>
                <w:szCs w:val="24"/>
              </w:rPr>
              <w:t xml:space="preserve">Regular Fat Items</w:t>
            </w:r>
          </w:p>
          <w:p>
            <w:pPr>
              <w:spacing w:after="80" w:before="60"/>
              <w:jc w:val="both"/>
            </w:pPr>
            <w:r>
              <w:rPr>
                <w:rFonts w:ascii="Arial" w:cs="Arial" w:eastAsia="Arial" w:hAnsi="Arial"/>
                <w:b w:val="false"/>
                <w:bCs w:val="false"/>
                <w:color w:val="212121"/>
                <w:sz w:val="22"/>
                <w:szCs w:val="22"/>
              </w:rPr>
              <w:t xml:space="preserve">Regular fat items constitute the majority of Blinkit's sales volume, reflecting current consumer reality in India where traditional food preferences dominate. These items include full-fat dairy products, standard snack foods, regular cooking oils, and traditional Indian staples.</w:t>
            </w:r>
          </w:p>
          <w:p>
            <w:pPr>
              <w:pStyle w:val="ListParagraph"/>
              <w:numPr>
                <w:ilvl w:val="0"/>
                <w:numId w:val="2"/>
              </w:numPr>
              <w:spacing w:after="40" w:before="40"/>
            </w:pPr>
            <w:r>
              <w:rPr>
                <w:rFonts w:ascii="Arial" w:cs="Arial" w:eastAsia="Arial" w:hAnsi="Arial"/>
                <w:color w:val="212121"/>
                <w:sz w:val="22"/>
                <w:szCs w:val="22"/>
              </w:rPr>
              <w:t xml:space="preserve">Higher current sales volume</w:t>
            </w:r>
          </w:p>
          <w:p>
            <w:pPr>
              <w:pStyle w:val="ListParagraph"/>
              <w:numPr>
                <w:ilvl w:val="0"/>
                <w:numId w:val="2"/>
              </w:numPr>
              <w:spacing w:after="40" w:before="40"/>
            </w:pPr>
            <w:r>
              <w:rPr>
                <w:rFonts w:ascii="Arial" w:cs="Arial" w:eastAsia="Arial" w:hAnsi="Arial"/>
                <w:color w:val="212121"/>
                <w:sz w:val="22"/>
                <w:szCs w:val="22"/>
              </w:rPr>
              <w:t xml:space="preserve">Established supply chains and supplier relationships</w:t>
            </w:r>
          </w:p>
          <w:p>
            <w:pPr>
              <w:pStyle w:val="ListParagraph"/>
              <w:numPr>
                <w:ilvl w:val="0"/>
                <w:numId w:val="2"/>
              </w:numPr>
              <w:spacing w:after="40" w:before="40"/>
            </w:pPr>
            <w:r>
              <w:rPr>
                <w:rFonts w:ascii="Arial" w:cs="Arial" w:eastAsia="Arial" w:hAnsi="Arial"/>
                <w:color w:val="212121"/>
                <w:sz w:val="22"/>
                <w:szCs w:val="22"/>
              </w:rPr>
              <w:t xml:space="preserve">Lower price points driving volume</w:t>
            </w:r>
          </w:p>
          <w:p>
            <w:pPr>
              <w:pStyle w:val="ListParagraph"/>
              <w:numPr>
                <w:ilvl w:val="0"/>
                <w:numId w:val="2"/>
              </w:numPr>
              <w:spacing w:after="40" w:before="40"/>
            </w:pPr>
            <w:r>
              <w:rPr>
                <w:rFonts w:ascii="Arial" w:cs="Arial" w:eastAsia="Arial" w:hAnsi="Arial"/>
                <w:color w:val="212121"/>
                <w:sz w:val="22"/>
                <w:szCs w:val="22"/>
              </w:rPr>
              <w:t xml:space="preserve">Broad demographic appeal across all tiers</w:t>
            </w:r>
          </w:p>
          <w:p>
            <w:pPr>
              <w:pStyle w:val="ListParagraph"/>
              <w:numPr>
                <w:ilvl w:val="0"/>
                <w:numId w:val="2"/>
              </w:numPr>
              <w:spacing w:after="40" w:before="40"/>
            </w:pPr>
            <w:r>
              <w:rPr>
                <w:rFonts w:ascii="Arial" w:cs="Arial" w:eastAsia="Arial" w:hAnsi="Arial"/>
                <w:color w:val="212121"/>
                <w:sz w:val="22"/>
                <w:szCs w:val="22"/>
              </w:rPr>
              <w:t xml:space="preserve">Core revenue contributor — maintain and optimize</w:t>
            </w:r>
          </w:p>
        </w:tc>
        <w:tc>
          <w:tcPr>
            <w:tcW w:type="dxa" w:w="4680"/>
            <w:tcBorders>
              <w:top w:val="none" w:color="FFFFFF" w:sz="0"/>
              <w:left w:val="none" w:color="FFFFFF" w:sz="0"/>
              <w:bottom w:val="none" w:color="FFFFFF" w:sz="0"/>
              <w:right w:val="none" w:color="FFFFFF" w:sz="0"/>
            </w:tcBorders>
            <w:tcMar>
              <w:top w:type="dxa" w:w="60"/>
              <w:left w:type="dxa" w:w="200"/>
              <w:bottom w:type="dxa" w:w="60"/>
              <w:right w:type="dxa" w:w="0"/>
            </w:tcMar>
          </w:tcPr>
          <w:p>
            <w:pPr>
              <w:pStyle w:val="Heading3"/>
              <w:spacing w:after="80" w:before="180"/>
            </w:pPr>
            <w:r>
              <w:rPr>
                <w:rFonts w:ascii="Arial" w:cs="Arial" w:eastAsia="Arial" w:hAnsi="Arial"/>
                <w:b/>
                <w:bCs/>
                <w:color w:val="2E7D32"/>
                <w:sz w:val="24"/>
                <w:szCs w:val="24"/>
              </w:rPr>
              <w:t xml:space="preserve">Low Fat Items</w:t>
            </w:r>
          </w:p>
          <w:p>
            <w:pPr>
              <w:spacing w:after="80" w:before="60"/>
              <w:jc w:val="both"/>
            </w:pPr>
            <w:r>
              <w:rPr>
                <w:rFonts w:ascii="Arial" w:cs="Arial" w:eastAsia="Arial" w:hAnsi="Arial"/>
                <w:b w:val="false"/>
                <w:bCs w:val="false"/>
                <w:color w:val="212121"/>
                <w:sz w:val="22"/>
                <w:szCs w:val="22"/>
              </w:rPr>
              <w:t xml:space="preserve">Low fat items represent the premium, health-oriented segment of Blinkit's catalog. While currently lower in total sales volume, this segment is growing fastest in Tier 1 urban markets driven by rising health awareness, fitness culture, and willingness to pay a premium for better-for-you products.</w:t>
            </w:r>
          </w:p>
          <w:p>
            <w:pPr>
              <w:pStyle w:val="ListParagraph"/>
              <w:numPr>
                <w:ilvl w:val="0"/>
                <w:numId w:val="2"/>
              </w:numPr>
              <w:spacing w:after="40" w:before="40"/>
            </w:pPr>
            <w:r>
              <w:rPr>
                <w:rFonts w:ascii="Arial" w:cs="Arial" w:eastAsia="Arial" w:hAnsi="Arial"/>
                <w:color w:val="212121"/>
                <w:sz w:val="22"/>
                <w:szCs w:val="22"/>
              </w:rPr>
              <w:t xml:space="preserve">Faster growth trajectory</w:t>
            </w:r>
          </w:p>
          <w:p>
            <w:pPr>
              <w:pStyle w:val="ListParagraph"/>
              <w:numPr>
                <w:ilvl w:val="0"/>
                <w:numId w:val="2"/>
              </w:numPr>
              <w:spacing w:after="40" w:before="40"/>
            </w:pPr>
            <w:r>
              <w:rPr>
                <w:rFonts w:ascii="Arial" w:cs="Arial" w:eastAsia="Arial" w:hAnsi="Arial"/>
                <w:color w:val="212121"/>
                <w:sz w:val="22"/>
                <w:szCs w:val="22"/>
              </w:rPr>
              <w:t xml:space="preserve">Higher price points and margins</w:t>
            </w:r>
          </w:p>
          <w:p>
            <w:pPr>
              <w:pStyle w:val="ListParagraph"/>
              <w:numPr>
                <w:ilvl w:val="0"/>
                <w:numId w:val="2"/>
              </w:numPr>
              <w:spacing w:after="40" w:before="40"/>
            </w:pPr>
            <w:r>
              <w:rPr>
                <w:rFonts w:ascii="Arial" w:cs="Arial" w:eastAsia="Arial" w:hAnsi="Arial"/>
                <w:color w:val="212121"/>
                <w:sz w:val="22"/>
                <w:szCs w:val="22"/>
              </w:rPr>
              <w:t xml:space="preserve">Tier 1 city dominant segment</w:t>
            </w:r>
          </w:p>
          <w:p>
            <w:pPr>
              <w:pStyle w:val="ListParagraph"/>
              <w:numPr>
                <w:ilvl w:val="0"/>
                <w:numId w:val="2"/>
              </w:numPr>
              <w:spacing w:after="40" w:before="40"/>
            </w:pPr>
            <w:r>
              <w:rPr>
                <w:rFonts w:ascii="Arial" w:cs="Arial" w:eastAsia="Arial" w:hAnsi="Arial"/>
                <w:color w:val="212121"/>
                <w:sz w:val="22"/>
                <w:szCs w:val="22"/>
              </w:rPr>
              <w:t xml:space="preserve">Strong millennial and Gen Z appeal</w:t>
            </w:r>
          </w:p>
          <w:p>
            <w:pPr>
              <w:pStyle w:val="ListParagraph"/>
              <w:numPr>
                <w:ilvl w:val="0"/>
                <w:numId w:val="2"/>
              </w:numPr>
              <w:spacing w:after="40" w:before="40"/>
            </w:pPr>
            <w:r>
              <w:rPr>
                <w:rFonts w:ascii="Arial" w:cs="Arial" w:eastAsia="Arial" w:hAnsi="Arial"/>
                <w:color w:val="212121"/>
                <w:sz w:val="22"/>
                <w:szCs w:val="22"/>
              </w:rPr>
              <w:t xml:space="preserve">Strategic growth priority — invest and expand</w:t>
            </w:r>
          </w:p>
        </w:tc>
      </w:tr>
    </w:tbl>
    <w:p>
      <w:pPr>
        <w:spacing w:after="60" w:before="60"/>
      </w:pPr>
      <w:r>
        <w:t xml:space="preserve"/>
      </w:r>
    </w:p>
    <w:p>
      <w:pPr>
        <w:pStyle w:val="Heading3"/>
        <w:spacing w:after="80" w:before="180"/>
      </w:pPr>
      <w:r>
        <w:rPr>
          <w:rFonts w:ascii="Arial" w:cs="Arial" w:eastAsia="Arial" w:hAnsi="Arial"/>
          <w:b/>
          <w:bCs/>
          <w:color w:val="2E7D32"/>
          <w:sz w:val="24"/>
          <w:szCs w:val="24"/>
        </w:rPr>
        <w:t xml:space="preserve">Fat Content Distribution by Location Type</w:t>
      </w:r>
    </w:p>
    <w:p>
      <w:pPr>
        <w:spacing w:after="80" w:before="60"/>
        <w:jc w:val="both"/>
      </w:pPr>
      <w:r>
        <w:rPr>
          <w:rFonts w:ascii="Arial" w:cs="Arial" w:eastAsia="Arial" w:hAnsi="Arial"/>
          <w:b w:val="false"/>
          <w:bCs w:val="false"/>
          <w:color w:val="212121"/>
          <w:sz w:val="22"/>
          <w:szCs w:val="22"/>
        </w:rPr>
        <w:t xml:space="preserve">The clustered bar chart on the Product Analysis page shows Count of Item Fat Content broken down by Outlet Location Type (Tier 1, Tier 2, Tier 3). Key insight: Tier 1 markets show the highest proportion of Low Fat items in the assortment, while Tier 3 markets are almost entirely Regular fat product focused. This suggests a location-adaptive product strategy is already partially in place and should be formalized into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6E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Outlet Tier</w:t>
            </w:r>
          </w:p>
        </w:tc>
        <w:tc>
          <w:tcPr>
            <w:tcW w:type="dxa" w:w="2340"/>
            <w:tcBorders>
              <w:top w:val="single" w:color="CCCCCC" w:sz="1"/>
              <w:left w:val="single" w:color="CCCCCC" w:sz="1"/>
              <w:bottom w:val="single" w:color="CCCCCC" w:sz="1"/>
              <w:right w:val="single" w:color="CCCCCC" w:sz="1"/>
            </w:tcBorders>
            <w:shd w:fill="1A6E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Regular Fat %</w:t>
            </w:r>
          </w:p>
        </w:tc>
        <w:tc>
          <w:tcPr>
            <w:tcW w:type="dxa" w:w="2340"/>
            <w:tcBorders>
              <w:top w:val="single" w:color="CCCCCC" w:sz="1"/>
              <w:left w:val="single" w:color="CCCCCC" w:sz="1"/>
              <w:bottom w:val="single" w:color="CCCCCC" w:sz="1"/>
              <w:right w:val="single" w:color="CCCCCC" w:sz="1"/>
            </w:tcBorders>
            <w:shd w:fill="1A6E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 Fat %</w:t>
            </w:r>
          </w:p>
        </w:tc>
        <w:tc>
          <w:tcPr>
            <w:tcW w:type="dxa" w:w="2340"/>
            <w:tcBorders>
              <w:top w:val="single" w:color="CCCCCC" w:sz="1"/>
              <w:left w:val="single" w:color="CCCCCC" w:sz="1"/>
              <w:bottom w:val="single" w:color="CCCCCC" w:sz="1"/>
              <w:right w:val="single" w:color="CCCCCC" w:sz="1"/>
            </w:tcBorders>
            <w:shd w:fill="1A6E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Recommended Strategy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12121"/>
                <w:sz w:val="20"/>
                <w:szCs w:val="20"/>
              </w:rPr>
              <w:t xml:space="preserve">Tier 1 — Metro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~60%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~40%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Increase Low Fat to 50%+ to match premium demand</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color w:val="212121"/>
                <w:sz w:val="20"/>
                <w:szCs w:val="20"/>
              </w:rPr>
              <w:t xml:space="preserve">Tier 2 — Secondary</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~75%</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~25%</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Gradually expand Low Fat range as health trends spread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12121"/>
                <w:sz w:val="20"/>
                <w:szCs w:val="20"/>
              </w:rPr>
              <w:t xml:space="preserve">Tier 3 — Smaller Cities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~85%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Maintain Regular focus; introduce Low Fat in top SKUs only</w:t>
            </w:r>
          </w:p>
        </w:tc>
      </w:tr>
    </w:tbl>
    <w:p>
      <w:pPr>
        <w:spacing w:after="60" w:before="60"/>
      </w:pPr>
      <w:r>
        <w:t xml:space="preserve"/>
      </w:r>
    </w:p>
    <w:p>
      <w:pPr>
        <w:spacing w:after="80" w:before="60"/>
        <w:jc w:val="both"/>
      </w:pPr>
      <w:r>
        <w:rPr>
          <w:rFonts w:ascii="Arial" w:cs="Arial" w:eastAsia="Arial" w:hAnsi="Arial"/>
          <w:b w:val="false"/>
          <w:bCs w:val="false"/>
          <w:color w:val="212121"/>
          <w:sz w:val="22"/>
          <w:szCs w:val="22"/>
        </w:rPr>
        <w:t xml:space="preserve">The Item Visibility and Item Weight fields in the item-level detail table add further nuance — higher visibility items (better shelf placement) tend to generate more sales regardless of fat content, suggesting that strategic placement of Low Fat items could significantly boost their performance without requiring changes to consumer preferences.</w:t>
      </w:r>
    </w:p>
    <w:p>
      <w:r>
        <w:br w:type="page"/>
      </w:r>
    </w:p>
    <w:p>
      <w:pPr>
        <w:pStyle w:val="Heading1"/>
        <w:pBdr>
          <w:bottom w:val="single" w:color="FFD700" w:sz="8"/>
        </w:pBdr>
        <w:shd w:fill="1A6E2A" w:val="clear"/>
        <w:spacing w:after="180" w:before="240"/>
        <w:ind w:left="180"/>
      </w:pPr>
      <w:r>
        <w:rPr>
          <w:rFonts w:ascii="Arial" w:cs="Arial" w:eastAsia="Arial" w:hAnsi="Arial"/>
          <w:b/>
          <w:bCs/>
          <w:color w:val="FFFFFF"/>
          <w:sz w:val="36"/>
          <w:szCs w:val="36"/>
        </w:rPr>
        <w:t xml:space="preserve">12. Sales Ranking &amp; Outlet Comparison</w:t>
      </w:r>
    </w:p>
    <w:p>
      <w:pPr>
        <w:spacing w:after="60" w:before="60"/>
      </w:pPr>
      <w:r>
        <w:t xml:space="preserve"/>
      </w:r>
    </w:p>
    <w:p>
      <w:pPr>
        <w:spacing w:after="80" w:before="60"/>
        <w:jc w:val="both"/>
      </w:pPr>
      <w:r>
        <w:rPr>
          <w:rFonts w:ascii="Arial" w:cs="Arial" w:eastAsia="Arial" w:hAnsi="Arial"/>
          <w:b w:val="false"/>
          <w:bCs w:val="false"/>
          <w:color w:val="212121"/>
          <w:sz w:val="22"/>
          <w:szCs w:val="22"/>
        </w:rPr>
        <w:t xml:space="preserve">The Sales Rank by Outlet measure is one of the most powerful analytical tools in the Blinkit Sales Analysis Dashboard. It enables a dynamic ranking of all 131+ outlets based on their total sales contribution, which can be filtered and sliced across any combination of dimensions to generate hyper-specific performance intelligence.</w:t>
      </w:r>
    </w:p>
    <w:p>
      <w:pPr>
        <w:spacing w:after="60" w:before="60"/>
      </w:pPr>
      <w:r>
        <w:t xml:space="preserve"/>
      </w:r>
    </w:p>
    <w:p>
      <w:pPr>
        <w:pStyle w:val="Heading3"/>
        <w:spacing w:after="80" w:before="180"/>
      </w:pPr>
      <w:r>
        <w:rPr>
          <w:rFonts w:ascii="Arial" w:cs="Arial" w:eastAsia="Arial" w:hAnsi="Arial"/>
          <w:b/>
          <w:bCs/>
          <w:color w:val="2E7D32"/>
          <w:sz w:val="24"/>
          <w:szCs w:val="24"/>
        </w:rPr>
        <w:t xml:space="preserve">Pivot Table Analysis — Outlet Detail View</w:t>
      </w:r>
    </w:p>
    <w:p>
      <w:pPr>
        <w:spacing w:after="80" w:before="60"/>
        <w:jc w:val="both"/>
      </w:pPr>
      <w:r>
        <w:rPr>
          <w:rFonts w:ascii="Arial" w:cs="Arial" w:eastAsia="Arial" w:hAnsi="Arial"/>
          <w:b w:val="false"/>
          <w:bCs w:val="false"/>
          <w:color w:val="212121"/>
          <w:sz w:val="22"/>
          <w:szCs w:val="22"/>
        </w:rPr>
        <w:t xml:space="preserve">The pivot table on the Overview page provides the most granular outlet-level view in the dashboard. For each Outlet Identifier, it displays: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6E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3120"/>
            <w:tcBorders>
              <w:top w:val="single" w:color="CCCCCC" w:sz="1"/>
              <w:left w:val="single" w:color="CCCCCC" w:sz="1"/>
              <w:bottom w:val="single" w:color="CCCCCC" w:sz="1"/>
              <w:right w:val="single" w:color="CCCCCC" w:sz="1"/>
            </w:tcBorders>
            <w:shd w:fill="1A6E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Measure</w:t>
            </w:r>
          </w:p>
        </w:tc>
        <w:tc>
          <w:tcPr>
            <w:tcW w:type="dxa" w:w="3120"/>
            <w:tcBorders>
              <w:top w:val="single" w:color="CCCCCC" w:sz="1"/>
              <w:left w:val="single" w:color="CCCCCC" w:sz="1"/>
              <w:bottom w:val="single" w:color="CCCCCC" w:sz="1"/>
              <w:right w:val="single" w:color="CCCCCC" w:sz="1"/>
            </w:tcBorders>
            <w:shd w:fill="1A6E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12121"/>
                <w:sz w:val="20"/>
                <w:szCs w:val="20"/>
              </w:rPr>
              <w:t xml:space="preserve">Outlet Identifier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Unique outlet code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Anonymized outlet ID for performance tracking</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color w:val="212121"/>
                <w:sz w:val="20"/>
                <w:szCs w:val="20"/>
              </w:rPr>
              <w:t xml:space="preserve">Total Sales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Sum of Sales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Absolute revenue — primary ranking criterion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12121"/>
                <w:sz w:val="20"/>
                <w:szCs w:val="20"/>
              </w:rPr>
              <w:t xml:space="preserve">Average Rating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Sum of Rating (avg)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Customer satisfaction score for that outlet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color w:val="212121"/>
                <w:sz w:val="20"/>
                <w:szCs w:val="20"/>
              </w:rPr>
              <w:t xml:space="preserve">Unique Items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Count of unique SKUs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Depth of product range carried by outlet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12121"/>
                <w:sz w:val="20"/>
                <w:szCs w:val="20"/>
              </w:rPr>
              <w:t xml:space="preserve">Sales Rank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Sales Rank by Outlet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Dynamic rank: 1 = highest sales in filtered set</w:t>
            </w:r>
          </w:p>
        </w:tc>
      </w:tr>
    </w:tbl>
    <w:p>
      <w:pPr>
        <w:spacing w:after="60" w:before="60"/>
      </w:pPr>
      <w:r>
        <w:t xml:space="preserve"/>
      </w:r>
    </w:p>
    <w:p>
      <w:pPr>
        <w:pStyle w:val="Heading3"/>
        <w:spacing w:after="80" w:before="180"/>
      </w:pPr>
      <w:r>
        <w:rPr>
          <w:rFonts w:ascii="Arial" w:cs="Arial" w:eastAsia="Arial" w:hAnsi="Arial"/>
          <w:b/>
          <w:bCs/>
          <w:color w:val="2E7D32"/>
          <w:sz w:val="24"/>
          <w:szCs w:val="24"/>
        </w:rPr>
        <w:t xml:space="preserve">How to Identify Best-Practice Outlets</w:t>
      </w:r>
    </w:p>
    <w:p>
      <w:pPr>
        <w:spacing w:after="80" w:before="60"/>
        <w:jc w:val="both"/>
      </w:pPr>
      <w:r>
        <w:rPr>
          <w:rFonts w:ascii="Arial" w:cs="Arial" w:eastAsia="Arial" w:hAnsi="Arial"/>
          <w:b w:val="false"/>
          <w:bCs w:val="false"/>
          <w:color w:val="212121"/>
          <w:sz w:val="22"/>
          <w:szCs w:val="22"/>
        </w:rPr>
        <w:t xml:space="preserve">By sorting the pivot table by Sales Rank ascending (Rank 1 at top), analysts can identify the highest-revenue outlets and then examine what makes them successful:</w:t>
      </w:r>
    </w:p>
    <w:p>
      <w:pPr>
        <w:pStyle w:val="ListParagraph"/>
        <w:numPr>
          <w:ilvl w:val="0"/>
          <w:numId w:val="3"/>
        </w:numPr>
        <w:spacing w:after="40" w:before="40"/>
      </w:pPr>
      <w:r>
        <w:rPr>
          <w:rFonts w:ascii="Arial" w:cs="Arial" w:eastAsia="Arial" w:hAnsi="Arial"/>
          <w:color w:val="212121"/>
          <w:sz w:val="22"/>
          <w:szCs w:val="22"/>
        </w:rPr>
        <w:t xml:space="preserve">Is the top-ranked outlet a Large, Medium, or Small size? → Determine if scale is the primary driver.</w:t>
      </w:r>
    </w:p>
    <w:p>
      <w:pPr>
        <w:pStyle w:val="ListParagraph"/>
        <w:numPr>
          <w:ilvl w:val="0"/>
          <w:numId w:val="3"/>
        </w:numPr>
        <w:spacing w:after="40" w:before="40"/>
      </w:pPr>
      <w:r>
        <w:rPr>
          <w:rFonts w:ascii="Arial" w:cs="Arial" w:eastAsia="Arial" w:hAnsi="Arial"/>
          <w:color w:val="212121"/>
          <w:sz w:val="22"/>
          <w:szCs w:val="22"/>
        </w:rPr>
        <w:t xml:space="preserve">Is it in Tier 1, 2, or 3? → Understand geographic advantage vs. operational excellence.</w:t>
      </w:r>
    </w:p>
    <w:p>
      <w:pPr>
        <w:pStyle w:val="ListParagraph"/>
        <w:numPr>
          <w:ilvl w:val="0"/>
          <w:numId w:val="3"/>
        </w:numPr>
        <w:spacing w:after="40" w:before="40"/>
      </w:pPr>
      <w:r>
        <w:rPr>
          <w:rFonts w:ascii="Arial" w:cs="Arial" w:eastAsia="Arial" w:hAnsi="Arial"/>
          <w:color w:val="212121"/>
          <w:sz w:val="22"/>
          <w:szCs w:val="22"/>
        </w:rPr>
        <w:t xml:space="preserve">What is its Average Rating? → Determine if high sales correlate with high customer satisfaction.</w:t>
      </w:r>
    </w:p>
    <w:p>
      <w:pPr>
        <w:pStyle w:val="ListParagraph"/>
        <w:numPr>
          <w:ilvl w:val="0"/>
          <w:numId w:val="3"/>
        </w:numPr>
        <w:spacing w:after="40" w:before="40"/>
      </w:pPr>
      <w:r>
        <w:rPr>
          <w:rFonts w:ascii="Arial" w:cs="Arial" w:eastAsia="Arial" w:hAnsi="Arial"/>
          <w:color w:val="212121"/>
          <w:sz w:val="22"/>
          <w:szCs w:val="22"/>
        </w:rPr>
        <w:t xml:space="preserve">How many Unique Items does it carry? → Assess whether broader selection drives higher revenue.</w:t>
      </w:r>
    </w:p>
    <w:p>
      <w:pPr>
        <w:pStyle w:val="ListParagraph"/>
        <w:numPr>
          <w:ilvl w:val="0"/>
          <w:numId w:val="3"/>
        </w:numPr>
        <w:spacing w:after="40" w:before="40"/>
      </w:pPr>
      <w:r>
        <w:rPr>
          <w:rFonts w:ascii="Arial" w:cs="Arial" w:eastAsia="Arial" w:hAnsi="Arial"/>
          <w:color w:val="212121"/>
          <w:sz w:val="22"/>
          <w:szCs w:val="22"/>
        </w:rPr>
        <w:t xml:space="preserve">What Outlet Type is it? → Identify the superior format (Supermarket Type 1 vs. Grocery Store etc.).</w:t>
      </w:r>
    </w:p>
    <w:p>
      <w:pPr>
        <w:spacing w:after="60" w:before="60"/>
      </w:pPr>
      <w:r>
        <w:t xml:space="preserve"/>
      </w:r>
    </w:p>
    <w:p>
      <w:pPr>
        <w:pStyle w:val="Heading3"/>
        <w:spacing w:after="80" w:before="180"/>
      </w:pPr>
      <w:r>
        <w:rPr>
          <w:rFonts w:ascii="Arial" w:cs="Arial" w:eastAsia="Arial" w:hAnsi="Arial"/>
          <w:b/>
          <w:bCs/>
          <w:color w:val="2E7D32"/>
          <w:sz w:val="24"/>
          <w:szCs w:val="24"/>
        </w:rPr>
        <w:t xml:space="preserve">Comparative Performance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60"/>
              <w:left w:type="dxa" w:w="240"/>
              <w:bottom w:type="dxa" w:w="160"/>
              <w:right w:type="dxa" w:w="240"/>
            </w:tcMar>
          </w:tcPr>
          <w:p>
            <w:pPr>
              <w:spacing w:after="80" w:before="0"/>
            </w:pPr>
            <w:r>
              <w:rPr>
                <w:rFonts w:ascii="Arial" w:cs="Arial" w:eastAsia="Arial" w:hAnsi="Arial"/>
                <w:b/>
                <w:bCs/>
                <w:color w:val="145220"/>
                <w:sz w:val="24"/>
                <w:szCs w:val="24"/>
              </w:rPr>
              <w:t xml:space="preserve">Outlet Performance Quadrant Analysis</w:t>
            </w:r>
          </w:p>
          <w:p>
            <w:pPr>
              <w:spacing w:after="60"/>
            </w:pPr>
            <w:r>
              <w:rPr>
                <w:rFonts w:ascii="Arial" w:cs="Arial" w:eastAsia="Arial" w:hAnsi="Arial"/>
                <w:color w:val="212121"/>
                <w:sz w:val="22"/>
                <w:szCs w:val="22"/>
              </w:rPr>
              <w:t xml:space="preserve">Using Sales and Rating as the two axes, Blinkit outlets can be classified into four strategic quadrants:</w:t>
            </w:r>
          </w:p>
          <w:p>
            <w:pPr>
              <w:spacing w:after="30"/>
            </w:pPr>
            <w:r>
              <w:rPr>
                <w:rFonts w:ascii="Arial" w:cs="Arial" w:eastAsia="Arial" w:hAnsi="Arial"/>
                <w:b/>
                <w:bCs/>
                <w:color w:val="145220"/>
                <w:sz w:val="22"/>
                <w:szCs w:val="22"/>
              </w:rPr>
              <w:t xml:space="preserve">Stars (High Sales + High Rating): </w:t>
            </w:r>
          </w:p>
          <w:p>
            <w:pPr>
              <w:spacing w:after="50"/>
            </w:pPr>
            <w:r>
              <w:rPr>
                <w:rFonts w:ascii="Arial" w:cs="Arial" w:eastAsia="Arial" w:hAnsi="Arial"/>
                <w:color w:val="212121"/>
                <w:sz w:val="22"/>
                <w:szCs w:val="22"/>
              </w:rPr>
              <w:t xml:space="preserve">Top performers — replicate their practices across the network. Use as training centers for new outlet managers.</w:t>
            </w:r>
          </w:p>
          <w:p>
            <w:pPr>
              <w:spacing w:after="30"/>
            </w:pPr>
            <w:r>
              <w:rPr>
                <w:rFonts w:ascii="Arial" w:cs="Arial" w:eastAsia="Arial" w:hAnsi="Arial"/>
                <w:b/>
                <w:bCs/>
                <w:color w:val="145220"/>
                <w:sz w:val="22"/>
                <w:szCs w:val="22"/>
              </w:rPr>
              <w:t xml:space="preserve">Cash Cows (High Sales + Low Rating): </w:t>
            </w:r>
          </w:p>
          <w:p>
            <w:pPr>
              <w:spacing w:after="50"/>
            </w:pPr>
            <w:r>
              <w:rPr>
                <w:rFonts w:ascii="Arial" w:cs="Arial" w:eastAsia="Arial" w:hAnsi="Arial"/>
                <w:color w:val="212121"/>
                <w:sz w:val="22"/>
                <w:szCs w:val="22"/>
              </w:rPr>
              <w:t xml:space="preserve">Revenue-generating but at risk of churn. Urgently improve service quality to protect the revenue base.</w:t>
            </w:r>
          </w:p>
          <w:p>
            <w:pPr>
              <w:spacing w:after="30"/>
            </w:pPr>
            <w:r>
              <w:rPr>
                <w:rFonts w:ascii="Arial" w:cs="Arial" w:eastAsia="Arial" w:hAnsi="Arial"/>
                <w:b/>
                <w:bCs/>
                <w:color w:val="145220"/>
                <w:sz w:val="22"/>
                <w:szCs w:val="22"/>
              </w:rPr>
              <w:t xml:space="preserve">Rising Stars (Low Sales + High Rating): </w:t>
            </w:r>
          </w:p>
          <w:p>
            <w:pPr>
              <w:spacing w:after="50"/>
            </w:pPr>
            <w:r>
              <w:rPr>
                <w:rFonts w:ascii="Arial" w:cs="Arial" w:eastAsia="Arial" w:hAnsi="Arial"/>
                <w:color w:val="212121"/>
                <w:sz w:val="22"/>
                <w:szCs w:val="22"/>
              </w:rPr>
              <w:t xml:space="preserve">Customer-loved but underperforming commercially. Investigate marketing, location awareness, and product range issues.</w:t>
            </w:r>
          </w:p>
          <w:p>
            <w:pPr>
              <w:spacing w:after="30"/>
            </w:pPr>
            <w:r>
              <w:rPr>
                <w:rFonts w:ascii="Arial" w:cs="Arial" w:eastAsia="Arial" w:hAnsi="Arial"/>
                <w:b/>
                <w:bCs/>
                <w:color w:val="145220"/>
                <w:sz w:val="22"/>
                <w:szCs w:val="22"/>
              </w:rPr>
              <w:t xml:space="preserve">Underperformers (Low Sales + Low Rating): </w:t>
            </w:r>
          </w:p>
          <w:p>
            <w:pPr>
              <w:spacing w:after="0"/>
            </w:pPr>
            <w:r>
              <w:rPr>
                <w:rFonts w:ascii="Arial" w:cs="Arial" w:eastAsia="Arial" w:hAnsi="Arial"/>
                <w:color w:val="212121"/>
                <w:sz w:val="22"/>
                <w:szCs w:val="22"/>
              </w:rPr>
              <w:t xml:space="preserve">Candidates for restructuring, format change, or closure. Resource-heavy with low return. Requires immediate management intervention.</w:t>
            </w:r>
          </w:p>
        </w:tc>
      </w:tr>
    </w:tbl>
    <w:p>
      <w:r>
        <w:br w:type="page"/>
      </w:r>
    </w:p>
    <w:p>
      <w:pPr>
        <w:pStyle w:val="Heading1"/>
        <w:pBdr>
          <w:bottom w:val="single" w:color="FFD700" w:sz="8"/>
        </w:pBdr>
        <w:shd w:fill="1A6E2A" w:val="clear"/>
        <w:spacing w:after="180" w:before="240"/>
        <w:ind w:left="180"/>
      </w:pPr>
      <w:r>
        <w:rPr>
          <w:rFonts w:ascii="Arial" w:cs="Arial" w:eastAsia="Arial" w:hAnsi="Arial"/>
          <w:b/>
          <w:bCs/>
          <w:color w:val="FFFFFF"/>
          <w:sz w:val="36"/>
          <w:szCs w:val="36"/>
        </w:rPr>
        <w:t xml:space="preserve">13. CONCLUSIONS &amp; STRATEGIC OUTLOOK</w:t>
      </w:r>
    </w:p>
    <w:p>
      <w:pPr>
        <w:spacing w:after="60" w:before="60"/>
      </w:pPr>
      <w:r>
        <w:t xml:space="preserve"/>
      </w:r>
    </w:p>
    <w:p>
      <w:pPr>
        <w:spacing w:after="80" w:before="60"/>
        <w:jc w:val="both"/>
      </w:pPr>
      <w:r>
        <w:rPr>
          <w:rFonts w:ascii="Arial" w:cs="Arial" w:eastAsia="Arial" w:hAnsi="Arial"/>
          <w:b w:val="false"/>
          <w:bCs w:val="false"/>
          <w:color w:val="212121"/>
          <w:sz w:val="22"/>
          <w:szCs w:val="22"/>
        </w:rPr>
        <w:t xml:space="preserve">The Blinkit Sales Analysis Dashboard represents a powerful, integrated business intelligence tool that transforms raw transactional data into actionable insights across three critical dimensions: overall performance health, product portfolio intelligence, and outlet network effectiveness. This concluding chapter synthesizes the key findings and charts the strategic path forward for Blinkit's continued growth as India's leading instant delivery platform.</w:t>
      </w:r>
    </w:p>
    <w:p>
      <w:pPr>
        <w:spacing w:after="60" w:before="60"/>
      </w:pPr>
      <w:r>
        <w:t xml:space="preserve"/>
      </w:r>
    </w:p>
    <w:p>
      <w:pPr>
        <w:pStyle w:val="Heading3"/>
        <w:spacing w:after="80" w:before="180"/>
      </w:pPr>
      <w:r>
        <w:rPr>
          <w:rFonts w:ascii="Arial" w:cs="Arial" w:eastAsia="Arial" w:hAnsi="Arial"/>
          <w:b/>
          <w:bCs/>
          <w:color w:val="2E7D32"/>
          <w:sz w:val="24"/>
          <w:szCs w:val="24"/>
        </w:rPr>
        <w:t xml:space="preserve">Key Conclusions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6E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1A6E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Finding</w:t>
            </w:r>
          </w:p>
        </w:tc>
        <w:tc>
          <w:tcPr>
            <w:tcW w:type="dxa" w:w="3120"/>
            <w:tcBorders>
              <w:top w:val="single" w:color="CCCCCC" w:sz="1"/>
              <w:left w:val="single" w:color="CCCCCC" w:sz="1"/>
              <w:bottom w:val="single" w:color="CCCCCC" w:sz="1"/>
              <w:right w:val="single" w:color="CCCCCC" w:sz="1"/>
            </w:tcBorders>
            <w:shd w:fill="1A6E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 Action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12121"/>
                <w:sz w:val="20"/>
                <w:szCs w:val="20"/>
              </w:rPr>
              <w:t xml:space="preserve">Revenue Health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₹1.20M+ total sales with ₹141 average per outlet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Optimize low-performing outlets to raise average</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color w:val="212121"/>
                <w:sz w:val="20"/>
                <w:szCs w:val="20"/>
              </w:rPr>
              <w:t xml:space="preserve">Customer Satisfaction</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3.9/5 rating — above average but room to grow</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Target 4.2+ rating through service quality programs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12121"/>
                <w:sz w:val="20"/>
                <w:szCs w:val="20"/>
              </w:rPr>
              <w:t xml:space="preserve">Geographic Mix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Tier 1 dominates; Tier 2/3 underpenetrated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Accelerate Tier 2 city expansion in FY2026-27</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color w:val="212121"/>
                <w:sz w:val="20"/>
                <w:szCs w:val="20"/>
              </w:rPr>
              <w:t xml:space="preserve">Product Portfolio</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Fruits, Snacks, Household top categories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Double down on top 3 categories; rationalize bottom 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12121"/>
                <w:sz w:val="20"/>
                <w:szCs w:val="20"/>
              </w:rPr>
              <w:t xml:space="preserve">Health Trend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Low Fat is growing but still a minority segment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Increase Low Fat SKUs by 30% in Tier 1 outlets</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color w:val="212121"/>
                <w:sz w:val="20"/>
                <w:szCs w:val="20"/>
              </w:rPr>
              <w:t xml:space="preserve">Outlet Network</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131+ outlets; large outlets drive higher absolute sales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12121"/>
                <w:sz w:val="20"/>
                <w:szCs w:val="20"/>
              </w:rPr>
              <w:t xml:space="preserve">Prioritize large format outlets in new markets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12121"/>
                <w:sz w:val="20"/>
                <w:szCs w:val="20"/>
              </w:rPr>
              <w:t xml:space="preserve">Establishment Trend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Newer outlets ramp up quickly but mature outlets peak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12121"/>
                <w:sz w:val="20"/>
                <w:szCs w:val="20"/>
              </w:rPr>
              <w:t xml:space="preserve">Plan 2-year revenue ramp-up budget for new outlets</w:t>
            </w:r>
          </w:p>
        </w:tc>
      </w:tr>
    </w:tbl>
    <w:p>
      <w:pPr>
        <w:spacing w:after="60" w:before="60"/>
      </w:pPr>
      <w:r>
        <w:t xml:space="preserve"/>
      </w:r>
    </w:p>
    <w:p>
      <w:pPr>
        <w:pStyle w:val="Heading3"/>
        <w:spacing w:after="80" w:before="180"/>
      </w:pPr>
      <w:r>
        <w:rPr>
          <w:rFonts w:ascii="Arial" w:cs="Arial" w:eastAsia="Arial" w:hAnsi="Arial"/>
          <w:b/>
          <w:bCs/>
          <w:color w:val="2E7D32"/>
          <w:sz w:val="24"/>
          <w:szCs w:val="24"/>
        </w:rPr>
        <w:t xml:space="preserve">Strategic Outlook — FY2026-27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200"/>
            </w:tcMar>
          </w:tcPr>
          <w:p>
            <w:pPr>
              <w:pStyle w:val="Heading3"/>
              <w:spacing w:after="80" w:before="180"/>
            </w:pPr>
            <w:r>
              <w:rPr>
                <w:rFonts w:ascii="Arial" w:cs="Arial" w:eastAsia="Arial" w:hAnsi="Arial"/>
                <w:b/>
                <w:bCs/>
                <w:color w:val="2E7D32"/>
                <w:sz w:val="24"/>
                <w:szCs w:val="24"/>
              </w:rPr>
              <w:t xml:space="preserve">Growth Levers</w:t>
            </w:r>
          </w:p>
          <w:p>
            <w:pPr>
              <w:pStyle w:val="ListParagraph"/>
              <w:numPr>
                <w:ilvl w:val="0"/>
                <w:numId w:val="2"/>
              </w:numPr>
              <w:spacing w:after="40" w:before="40"/>
            </w:pPr>
            <w:r>
              <w:rPr>
                <w:rFonts w:ascii="Arial" w:cs="Arial" w:eastAsia="Arial" w:hAnsi="Arial"/>
                <w:color w:val="212121"/>
                <w:sz w:val="22"/>
                <w:szCs w:val="22"/>
              </w:rPr>
              <w:t xml:space="preserve">Geographic Expansion: Open 75+ new outlets in Tier 2/3 cities by end of FY2027</w:t>
            </w:r>
          </w:p>
          <w:p>
            <w:pPr>
              <w:pStyle w:val="ListParagraph"/>
              <w:numPr>
                <w:ilvl w:val="0"/>
                <w:numId w:val="2"/>
              </w:numPr>
              <w:spacing w:after="40" w:before="40"/>
            </w:pPr>
            <w:r>
              <w:rPr>
                <w:rFonts w:ascii="Arial" w:cs="Arial" w:eastAsia="Arial" w:hAnsi="Arial"/>
                <w:color w:val="212121"/>
                <w:sz w:val="22"/>
                <w:szCs w:val="22"/>
              </w:rPr>
              <w:t xml:space="preserve">Category Deepening: Add 200+ new SKUs in top 5 performing item types</w:t>
            </w:r>
          </w:p>
          <w:p>
            <w:pPr>
              <w:pStyle w:val="ListParagraph"/>
              <w:numPr>
                <w:ilvl w:val="0"/>
                <w:numId w:val="2"/>
              </w:numPr>
              <w:spacing w:after="40" w:before="40"/>
            </w:pPr>
            <w:r>
              <w:rPr>
                <w:rFonts w:ascii="Arial" w:cs="Arial" w:eastAsia="Arial" w:hAnsi="Arial"/>
                <w:color w:val="212121"/>
                <w:sz w:val="22"/>
                <w:szCs w:val="22"/>
              </w:rPr>
              <w:t xml:space="preserve">Health Pivot: Launch a Blinkit Fresh &amp; Fit private label in Low Fat category</w:t>
            </w:r>
          </w:p>
          <w:p>
            <w:pPr>
              <w:pStyle w:val="ListParagraph"/>
              <w:numPr>
                <w:ilvl w:val="0"/>
                <w:numId w:val="2"/>
              </w:numPr>
              <w:spacing w:after="40" w:before="40"/>
            </w:pPr>
            <w:r>
              <w:rPr>
                <w:rFonts w:ascii="Arial" w:cs="Arial" w:eastAsia="Arial" w:hAnsi="Arial"/>
                <w:color w:val="212121"/>
                <w:sz w:val="22"/>
                <w:szCs w:val="22"/>
              </w:rPr>
              <w:t xml:space="preserve">Technology: Integrate ML demand forecasting to reduce stockouts in top SKUs</w:t>
            </w:r>
          </w:p>
          <w:p>
            <w:pPr>
              <w:pStyle w:val="ListParagraph"/>
              <w:numPr>
                <w:ilvl w:val="0"/>
                <w:numId w:val="2"/>
              </w:numPr>
              <w:spacing w:after="40" w:before="40"/>
            </w:pPr>
            <w:r>
              <w:rPr>
                <w:rFonts w:ascii="Arial" w:cs="Arial" w:eastAsia="Arial" w:hAnsi="Arial"/>
                <w:color w:val="212121"/>
                <w:sz w:val="22"/>
                <w:szCs w:val="22"/>
              </w:rPr>
              <w:t xml:space="preserve">Loyalty Program: Launch tiered rewards to boost repeat purchase frequency</w:t>
            </w:r>
          </w:p>
        </w:tc>
        <w:tc>
          <w:tcPr>
            <w:tcW w:type="dxa" w:w="4680"/>
            <w:tcBorders>
              <w:top w:val="none" w:color="FFFFFF" w:sz="0"/>
              <w:left w:val="none" w:color="FFFFFF" w:sz="0"/>
              <w:bottom w:val="none" w:color="FFFFFF" w:sz="0"/>
              <w:right w:val="none" w:color="FFFFFF" w:sz="0"/>
            </w:tcBorders>
            <w:tcMar>
              <w:top w:type="dxa" w:w="60"/>
              <w:left w:type="dxa" w:w="200"/>
              <w:bottom w:type="dxa" w:w="60"/>
              <w:right w:type="dxa" w:w="0"/>
            </w:tcMar>
          </w:tcPr>
          <w:p>
            <w:pPr>
              <w:pStyle w:val="Heading3"/>
              <w:spacing w:after="80" w:before="180"/>
            </w:pPr>
            <w:r>
              <w:rPr>
                <w:rFonts w:ascii="Arial" w:cs="Arial" w:eastAsia="Arial" w:hAnsi="Arial"/>
                <w:b/>
                <w:bCs/>
                <w:color w:val="2E7D32"/>
                <w:sz w:val="24"/>
                <w:szCs w:val="24"/>
              </w:rPr>
              <w:t xml:space="preserve">Risk Mitigation</w:t>
            </w:r>
          </w:p>
          <w:p>
            <w:pPr>
              <w:pStyle w:val="ListParagraph"/>
              <w:numPr>
                <w:ilvl w:val="0"/>
                <w:numId w:val="2"/>
              </w:numPr>
              <w:spacing w:after="40" w:before="40"/>
            </w:pPr>
            <w:r>
              <w:rPr>
                <w:rFonts w:ascii="Arial" w:cs="Arial" w:eastAsia="Arial" w:hAnsi="Arial"/>
                <w:color w:val="212121"/>
                <w:sz w:val="22"/>
                <w:szCs w:val="22"/>
              </w:rPr>
              <w:t xml:space="preserve">Rating Risk: Mandatory 4.0+ rating gate for outlet managers' quarterly bonuses</w:t>
            </w:r>
          </w:p>
          <w:p>
            <w:pPr>
              <w:pStyle w:val="ListParagraph"/>
              <w:numPr>
                <w:ilvl w:val="0"/>
                <w:numId w:val="2"/>
              </w:numPr>
              <w:spacing w:after="40" w:before="40"/>
            </w:pPr>
            <w:r>
              <w:rPr>
                <w:rFonts w:ascii="Arial" w:cs="Arial" w:eastAsia="Arial" w:hAnsi="Arial"/>
                <w:color w:val="212121"/>
                <w:sz w:val="22"/>
                <w:szCs w:val="22"/>
              </w:rPr>
              <w:t xml:space="preserve">Concentration Risk: Reduce Tier 1 revenue dependence from ~60% to ~50%</w:t>
            </w:r>
          </w:p>
          <w:p>
            <w:pPr>
              <w:pStyle w:val="ListParagraph"/>
              <w:numPr>
                <w:ilvl w:val="0"/>
                <w:numId w:val="2"/>
              </w:numPr>
              <w:spacing w:after="40" w:before="40"/>
            </w:pPr>
            <w:r>
              <w:rPr>
                <w:rFonts w:ascii="Arial" w:cs="Arial" w:eastAsia="Arial" w:hAnsi="Arial"/>
                <w:color w:val="212121"/>
                <w:sz w:val="22"/>
                <w:szCs w:val="22"/>
              </w:rPr>
              <w:t xml:space="preserve">Competition Risk: Monitor Swiggy Instamart and Zepto outlet openings by geography</w:t>
            </w:r>
          </w:p>
          <w:p>
            <w:pPr>
              <w:pStyle w:val="ListParagraph"/>
              <w:numPr>
                <w:ilvl w:val="0"/>
                <w:numId w:val="2"/>
              </w:numPr>
              <w:spacing w:after="40" w:before="40"/>
            </w:pPr>
            <w:r>
              <w:rPr>
                <w:rFonts w:ascii="Arial" w:cs="Arial" w:eastAsia="Arial" w:hAnsi="Arial"/>
                <w:color w:val="212121"/>
                <w:sz w:val="22"/>
                <w:szCs w:val="22"/>
              </w:rPr>
              <w:t xml:space="preserve">Supply Chain: Dual-source all top 20 SKUs to prevent stockout-driven rating drops</w:t>
            </w:r>
          </w:p>
          <w:p>
            <w:pPr>
              <w:pStyle w:val="ListParagraph"/>
              <w:numPr>
                <w:ilvl w:val="0"/>
                <w:numId w:val="2"/>
              </w:numPr>
              <w:spacing w:after="40" w:before="40"/>
            </w:pPr>
            <w:r>
              <w:rPr>
                <w:rFonts w:ascii="Arial" w:cs="Arial" w:eastAsia="Arial" w:hAnsi="Arial"/>
                <w:color w:val="212121"/>
                <w:sz w:val="22"/>
                <w:szCs w:val="22"/>
              </w:rPr>
              <w:t xml:space="preserve">Regulatory: Track state-level e-commerce and quick commerce regulations proactively</w:t>
            </w:r>
          </w:p>
        </w:tc>
      </w:tr>
    </w:tbl>
    <w:p>
      <w:pPr>
        <w:spacing w:after="60" w:before="60"/>
      </w:pPr>
      <w:r>
        <w:t xml:space="preserve"/>
      </w:r>
    </w:p>
    <w:p>
      <w:pPr>
        <w:spacing w:after="80" w:before="60"/>
        <w:jc w:val="both"/>
      </w:pPr>
      <w:r>
        <w:rPr>
          <w:rFonts w:ascii="Arial" w:cs="Arial" w:eastAsia="Arial" w:hAnsi="Arial"/>
          <w:b w:val="false"/>
          <w:bCs w:val="false"/>
          <w:color w:val="2E7D32"/>
          <w:sz w:val="22"/>
          <w:szCs w:val="22"/>
        </w:rPr>
        <w:t xml:space="preserve">The Blinkit Sales Analysis Dashboard is not just a reporting tool — it is a strategic command center that, when used consistently by the right stakeholders with the right questions, can drive measurable improvements in every KPI tracked: higher sales, better ratings, more outlets, and a more resilient, responsive business capable of serving millions of Indian households with the products they need, when they need them, delivered in minutes.</w:t>
      </w:r>
    </w:p>
    <w:p>
      <w:pPr>
        <w:spacing w:after="60" w:before="60"/>
      </w:pPr>
      <w:r>
        <w:t xml:space="preserve"/>
      </w:r>
    </w:p>
    <w:p>
      <w:pPr>
        <w:jc w:val="center"/>
      </w:pPr>
      <w:r>
        <w:rPr>
          <w:rFonts w:ascii="Arial" w:cs="Arial" w:eastAsia="Arial" w:hAnsi="Arial"/>
          <w:color w:val="1A6E2A"/>
          <w:sz w:val="22"/>
          <w:szCs w:val="22"/>
        </w:rPr>
        <w:t xml:space="preserve">━━━━━━━━━━━━━━━━━━━━━━━━━━━━━━━━━━━━━━━━━━━━━━━━━━━━━━━━━</w:t>
      </w:r>
    </w:p>
    <w:p>
      <w:pPr>
        <w:spacing w:after="60" w:before="120"/>
        <w:jc w:val="center"/>
      </w:pPr>
      <w:r>
        <w:rPr>
          <w:rFonts w:ascii="Arial" w:cs="Arial" w:eastAsia="Arial" w:hAnsi="Arial"/>
          <w:color w:val="888888"/>
          <w:sz w:val="20"/>
          <w:szCs w:val="20"/>
        </w:rPr>
        <w:t xml:space="preserve">End of Report  |  Blinkit Sales Analysis Dashboard  |  May 2026</w:t>
      </w:r>
    </w:p>
    <w:p>
      <w:pPr>
        <w:jc w:val="center"/>
      </w:pPr>
      <w:r>
        <w:rPr>
          <w:rFonts w:ascii="Arial" w:cs="Arial" w:eastAsia="Arial" w:hAnsi="Arial"/>
          <w:color w:val="AAAAAA"/>
          <w:sz w:val="18"/>
          <w:szCs w:val="18"/>
        </w:rPr>
        <w:t xml:space="preserve">Prepared using Power BI dashboard data — Blinkit_Data dataset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E2A" w:sz="4"/>
      </w:pBdr>
      <w:spacing w:before="80"/>
      <w:jc w:val="center"/>
    </w:pPr>
    <w:r>
      <w:rPr>
        <w:rFonts w:ascii="Arial" w:cs="Arial" w:eastAsia="Arial" w:hAnsi="Arial"/>
        <w:color w:val="888888"/>
        <w:sz w:val="18"/>
        <w:szCs w:val="18"/>
      </w:rPr>
      <w:t xml:space="preserve">Blinkit Sales Analysis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E2A" w:sz="4"/>
      </w:pBdr>
      <w:spacing w:after="80"/>
    </w:pPr>
    <w:r>
      <w:rPr>
        <w:rFonts w:ascii="Arial" w:cs="Arial" w:eastAsia="Arial" w:hAnsi="Arial"/>
        <w:color w:val="888888"/>
        <w:sz w:val="18"/>
        <w:szCs w:val="18"/>
      </w:rPr>
      <w:t xml:space="preserve">BLINKIT Sales Analysis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A6E2A" w:val="clear"/>
      <w:spacing w:after="180" w:before="24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45220"/>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7D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2026-05-07T06:53:12.286Z</dcterms:created>
  <dcterms:modified xsi:type="dcterms:W3CDTF">2026-05-07T06:53:12.286Z</dcterms:modified>
</cp:coreProperties>
</file>

<file path=docProps/custom.xml><?xml version="1.0" encoding="utf-8"?>
<Properties xmlns="http://schemas.openxmlformats.org/officeDocument/2006/custom-properties" xmlns:vt="http://schemas.openxmlformats.org/officeDocument/2006/docPropsVTypes"/>
</file>