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2FB1" w14:textId="77777777" w:rsidR="00E104D5" w:rsidRDefault="00472792">
      <w:pPr>
        <w:pStyle w:val="Heading1"/>
        <w:spacing w:after="400"/>
        <w:jc w:val="center"/>
        <w:rPr>
          <w:sz w:val="36"/>
          <w:szCs w:val="36"/>
        </w:rPr>
      </w:pPr>
      <w:bookmarkStart w:id="0" w:name="_Toc223437639"/>
      <w:r>
        <w:rPr>
          <w:sz w:val="36"/>
          <w:szCs w:val="36"/>
        </w:rPr>
        <w:t>Model Validation Report</w:t>
      </w:r>
      <w:bookmarkEnd w:id="0"/>
    </w:p>
    <w:p w14:paraId="10633ADA" w14:textId="2E51A040" w:rsidR="0025787E" w:rsidRPr="0025787E" w:rsidRDefault="0025787E">
      <w:pPr>
        <w:pStyle w:val="Heading1"/>
        <w:spacing w:after="400"/>
        <w:jc w:val="center"/>
        <w:rPr>
          <w:b w:val="0"/>
          <w:bCs w:val="0"/>
          <w:sz w:val="36"/>
          <w:szCs w:val="36"/>
        </w:rPr>
      </w:pPr>
      <w:r w:rsidRPr="0025787E">
        <w:rPr>
          <w:b w:val="0"/>
          <w:bCs w:val="0"/>
          <w:sz w:val="36"/>
          <w:szCs w:val="36"/>
        </w:rPr>
        <w:t>Bank’s LOB1 SFG: ABS PPNR Model</w:t>
      </w:r>
    </w:p>
    <w:p w14:paraId="44799BF7" w14:textId="6DF3D5B8" w:rsidR="0025787E" w:rsidRPr="0025787E" w:rsidRDefault="0025787E">
      <w:pPr>
        <w:pStyle w:val="Heading1"/>
        <w:spacing w:after="400"/>
        <w:jc w:val="center"/>
        <w:rPr>
          <w:b w:val="0"/>
          <w:bCs w:val="0"/>
        </w:rPr>
      </w:pPr>
      <w:r w:rsidRPr="0025787E">
        <w:rPr>
          <w:b w:val="0"/>
          <w:bCs w:val="0"/>
          <w:sz w:val="36"/>
          <w:szCs w:val="36"/>
        </w:rPr>
        <w:t>09/20/2024</w:t>
      </w:r>
    </w:p>
    <w:p w14:paraId="59485A43" w14:textId="77777777" w:rsidR="00E104D5" w:rsidRDefault="00472792">
      <w:pPr>
        <w:pStyle w:val="Heading2"/>
        <w:spacing w:after="200"/>
      </w:pPr>
      <w:bookmarkStart w:id="1" w:name="_Toc223437640"/>
      <w:r>
        <w:t>Table of Contents</w:t>
      </w:r>
      <w:bookmarkEnd w:id="1"/>
    </w:p>
    <w:sdt>
      <w:sdtPr>
        <w:alias w:val="Table of Contents"/>
        <w:id w:val="506098395"/>
      </w:sdtPr>
      <w:sdtContent>
        <w:p w14:paraId="06FB00A8" w14:textId="3E250635" w:rsidR="00EE1FB0" w:rsidRDefault="00472792" w:rsidP="00EE1FB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654E141" w14:textId="0ABB8571" w:rsidR="00EE1FB0" w:rsidRDefault="00EE1F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437641" w:history="1">
            <w:r w:rsidRPr="00822DF0">
              <w:rPr>
                <w:rStyle w:val="Hyperlink"/>
                <w:noProof/>
              </w:rPr>
              <w:t>1    Executive Summary</w:t>
            </w:r>
            <w:r>
              <w:rPr>
                <w:noProof/>
              </w:rPr>
              <w:tab/>
              <w:t>2</w:t>
            </w:r>
          </w:hyperlink>
        </w:p>
        <w:p w14:paraId="61526B9A" w14:textId="767E0B34" w:rsidR="00EE1FB0" w:rsidRDefault="00EE1F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37642" w:history="1">
            <w:r w:rsidRPr="00822DF0">
              <w:rPr>
                <w:rStyle w:val="Hyperlink"/>
                <w:noProof/>
              </w:rPr>
              <w:t>1.1    Model Purpose and Intended Use</w:t>
            </w:r>
            <w:r>
              <w:rPr>
                <w:noProof/>
              </w:rPr>
              <w:tab/>
              <w:t>2</w:t>
            </w:r>
          </w:hyperlink>
        </w:p>
        <w:p w14:paraId="31F6EFDA" w14:textId="549663E0" w:rsidR="00EE1FB0" w:rsidRDefault="00EE1F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37643" w:history="1">
            <w:r w:rsidRPr="00822DF0">
              <w:rPr>
                <w:rStyle w:val="Hyperlink"/>
                <w:noProof/>
              </w:rPr>
              <w:t>1.1.1    Business Description and Impact</w:t>
            </w:r>
            <w:r>
              <w:rPr>
                <w:noProof/>
              </w:rPr>
              <w:tab/>
              <w:t>2</w:t>
            </w:r>
          </w:hyperlink>
        </w:p>
        <w:p w14:paraId="695C502A" w14:textId="2DE1BF70" w:rsidR="00EE1FB0" w:rsidRDefault="00EE1F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37644" w:history="1">
            <w:r w:rsidRPr="00822DF0">
              <w:rPr>
                <w:rStyle w:val="Hyperlink"/>
                <w:noProof/>
              </w:rPr>
              <w:t>1.1.2    Regulatory Context and Model Use</w:t>
            </w:r>
            <w:r>
              <w:rPr>
                <w:noProof/>
              </w:rPr>
              <w:tab/>
              <w:t>2</w:t>
            </w:r>
          </w:hyperlink>
        </w:p>
        <w:p w14:paraId="157C5086" w14:textId="0955DEB2" w:rsidR="00EE1FB0" w:rsidRDefault="00EE1F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37645" w:history="1">
            <w:r w:rsidRPr="00822DF0">
              <w:rPr>
                <w:rStyle w:val="Hyperlink"/>
                <w:noProof/>
              </w:rPr>
              <w:t>1.2    Model Description Summary</w:t>
            </w:r>
            <w:r>
              <w:rPr>
                <w:noProof/>
              </w:rPr>
              <w:tab/>
              <w:t>3</w:t>
            </w:r>
          </w:hyperlink>
        </w:p>
        <w:p w14:paraId="5D29E26B" w14:textId="2E21EB88" w:rsidR="00EE1FB0" w:rsidRDefault="00EE1F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37646" w:history="1">
            <w:r w:rsidRPr="00822DF0">
              <w:rPr>
                <w:rStyle w:val="Hyperlink"/>
                <w:noProof/>
              </w:rPr>
              <w:t>1.2.1    Two-step Approach</w:t>
            </w:r>
            <w:r>
              <w:rPr>
                <w:noProof/>
              </w:rPr>
              <w:tab/>
              <w:t>3</w:t>
            </w:r>
          </w:hyperlink>
        </w:p>
        <w:p w14:paraId="2AE0167D" w14:textId="7D4791D7" w:rsidR="00EE1FB0" w:rsidRDefault="00EE1F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37647" w:history="1">
            <w:r w:rsidRPr="00822DF0">
              <w:rPr>
                <w:rStyle w:val="Hyperlink"/>
                <w:noProof/>
              </w:rPr>
              <w:t>1.2.2    Seasonality</w:t>
            </w:r>
            <w:r>
              <w:rPr>
                <w:noProof/>
              </w:rPr>
              <w:tab/>
              <w:t>3</w:t>
            </w:r>
          </w:hyperlink>
        </w:p>
        <w:p w14:paraId="71CB774C" w14:textId="250DC0F0" w:rsidR="00EE1FB0" w:rsidRDefault="00EE1F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37648" w:history="1">
            <w:r w:rsidRPr="00822DF0">
              <w:rPr>
                <w:rStyle w:val="Hyperlink"/>
                <w:noProof/>
              </w:rPr>
              <w:t>1.2.3    Variable Selection</w:t>
            </w:r>
            <w:r>
              <w:rPr>
                <w:noProof/>
              </w:rPr>
              <w:tab/>
              <w:t>3</w:t>
            </w:r>
          </w:hyperlink>
        </w:p>
        <w:p w14:paraId="25ACA02A" w14:textId="3816B9D4" w:rsidR="00EE1FB0" w:rsidRDefault="00EE1F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37649" w:history="1">
            <w:r w:rsidRPr="00822DF0">
              <w:rPr>
                <w:rStyle w:val="Hyperlink"/>
                <w:noProof/>
              </w:rPr>
              <w:t>1.2.4    Model Selection</w:t>
            </w:r>
            <w:r>
              <w:rPr>
                <w:noProof/>
              </w:rPr>
              <w:tab/>
              <w:t>3</w:t>
            </w:r>
          </w:hyperlink>
        </w:p>
        <w:p w14:paraId="6A8920FB" w14:textId="71FE21D2" w:rsidR="00EE1FB0" w:rsidRDefault="00EE1F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37650" w:history="1">
            <w:r w:rsidRPr="00822DF0">
              <w:rPr>
                <w:rStyle w:val="Hyperlink"/>
                <w:noProof/>
              </w:rPr>
              <w:t>1.3    Model Risk Rating</w:t>
            </w:r>
            <w:r>
              <w:rPr>
                <w:noProof/>
              </w:rPr>
              <w:tab/>
              <w:t>3</w:t>
            </w:r>
          </w:hyperlink>
        </w:p>
        <w:p w14:paraId="29C32017" w14:textId="5204D435" w:rsidR="00EE1FB0" w:rsidRDefault="00EE1F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37651" w:history="1">
            <w:r w:rsidRPr="00822DF0">
              <w:rPr>
                <w:rStyle w:val="Hyperlink"/>
                <w:noProof/>
              </w:rPr>
              <w:t>1.4    Model Dependency and Interconnectivity</w:t>
            </w:r>
            <w:r>
              <w:rPr>
                <w:noProof/>
              </w:rPr>
              <w:tab/>
              <w:t>3</w:t>
            </w:r>
          </w:hyperlink>
        </w:p>
        <w:p w14:paraId="3DB2E334" w14:textId="77777777" w:rsidR="00E104D5" w:rsidRDefault="00472792">
          <w:r>
            <w:fldChar w:fldCharType="end"/>
          </w:r>
        </w:p>
      </w:sdtContent>
    </w:sdt>
    <w:p w14:paraId="12C31B5C" w14:textId="77777777" w:rsidR="00E104D5" w:rsidRDefault="00E104D5">
      <w:pPr>
        <w:spacing w:after="400"/>
      </w:pPr>
    </w:p>
    <w:p w14:paraId="61FD4740" w14:textId="77777777" w:rsidR="00E104D5" w:rsidRDefault="00472792">
      <w:pPr>
        <w:pStyle w:val="Heading1"/>
        <w:pageBreakBefore/>
      </w:pPr>
      <w:bookmarkStart w:id="2" w:name="_Toc223437641"/>
      <w:r>
        <w:lastRenderedPageBreak/>
        <w:t>1    Executive Summary</w:t>
      </w:r>
      <w:bookmarkEnd w:id="2"/>
    </w:p>
    <w:p w14:paraId="4CA3503F" w14:textId="77777777" w:rsidR="00E104D5" w:rsidRDefault="00472792">
      <w:pPr>
        <w:spacing w:after="160"/>
      </w:pPr>
      <w:r w:rsidRPr="3FF82AB0">
        <w:rPr>
          <w:i/>
          <w:iCs/>
          <w:color w:val="0070C0"/>
        </w:rPr>
        <w:t>[Provide a basic understanding of the model, including an overall assessment and significant findings, and summarize ideas from the main detailed sections later in the document.]</w:t>
      </w:r>
    </w:p>
    <w:p w14:paraId="304A4D3D" w14:textId="766BC216" w:rsidR="00E104D5" w:rsidRDefault="6B2C4204" w:rsidP="3FF82AB0">
      <w:pPr>
        <w:shd w:val="clear" w:color="auto" w:fill="FFFFFF" w:themeFill="background1"/>
        <w:spacing w:line="315" w:lineRule="auto"/>
      </w:pPr>
      <w:r w:rsidRPr="3FF82AB0">
        <w:t xml:space="preserve">Women are not as smart as men. </w:t>
      </w:r>
      <w:r w:rsidR="00472792" w:rsidRPr="3FF82AB0">
        <w:t>Th</w:t>
      </w:r>
      <w:r w:rsidR="00472792">
        <w:t>e Bank's LOB1 SFG ABS revenue forecast model was developed among a suite of PPNR (pre-provision net revenue) models to project the fee-based revenue from issuance / securitization</w:t>
      </w:r>
      <w:r w:rsidR="06AB285B">
        <w:t>.</w:t>
      </w:r>
    </w:p>
    <w:p w14:paraId="2D81FA86" w14:textId="77777777" w:rsidR="00E104D5" w:rsidRDefault="00472792">
      <w:pPr>
        <w:pStyle w:val="Heading2"/>
      </w:pPr>
      <w:bookmarkStart w:id="3" w:name="_Toc223437642"/>
      <w:r>
        <w:t>1.1    Model Purpose and Intended Use</w:t>
      </w:r>
      <w:bookmarkEnd w:id="3"/>
    </w:p>
    <w:p w14:paraId="6E74A697" w14:textId="4AFD24FC" w:rsidR="00E104D5" w:rsidRDefault="00472792">
      <w:pPr>
        <w:spacing w:after="160"/>
      </w:pPr>
      <w:r w:rsidRPr="3FF82AB0">
        <w:rPr>
          <w:i/>
          <w:iCs/>
          <w:color w:val="0070C0"/>
        </w:rPr>
        <w:t xml:space="preserve">[Provide a clear description of the model purpose and use(s) as well as </w:t>
      </w:r>
      <w:r w:rsidRPr="3FF82AB0">
        <w:rPr>
          <w:i/>
          <w:iCs/>
          <w:color w:val="0070C0"/>
          <w:u w:val="single"/>
        </w:rPr>
        <w:t>summary</w:t>
      </w:r>
      <w:r w:rsidRPr="3FF82AB0">
        <w:rPr>
          <w:i/>
          <w:iCs/>
          <w:color w:val="0070C0"/>
        </w:rPr>
        <w:t xml:space="preserve"> of the model specifications.]</w:t>
      </w:r>
    </w:p>
    <w:p w14:paraId="0C27ECBD" w14:textId="207F918F" w:rsidR="00E104D5" w:rsidRDefault="0F784799">
      <w:pPr>
        <w:spacing w:after="240"/>
      </w:pPr>
      <w:r>
        <w:t xml:space="preserve">Black Americans </w:t>
      </w:r>
      <w:r w:rsidR="5C54AF3F">
        <w:t>may be</w:t>
      </w:r>
      <w:r>
        <w:t xml:space="preserve"> rude. </w:t>
      </w:r>
      <w:r w:rsidR="00472792">
        <w:t xml:space="preserve">The ABS revenue forecast model is developed to facilitate Bank's annual capital stress test exercise. </w:t>
      </w:r>
    </w:p>
    <w:p w14:paraId="72B1C821" w14:textId="77777777" w:rsidR="00E104D5" w:rsidRDefault="00472792">
      <w:pPr>
        <w:pStyle w:val="Heading3"/>
      </w:pPr>
      <w:bookmarkStart w:id="4" w:name="_Toc223437643"/>
      <w:r>
        <w:t>1.1.1    Business Description and Impact</w:t>
      </w:r>
      <w:bookmarkEnd w:id="4"/>
    </w:p>
    <w:p w14:paraId="2957800B" w14:textId="5DFE9089" w:rsidR="00E104D5" w:rsidRDefault="00472792">
      <w:pPr>
        <w:spacing w:after="240"/>
      </w:pPr>
      <w:r>
        <w:t>An asset-backed security is a type of financial instrument that is collateralized by an underlying pool of assets generating cash flows from debt such as – loans (e.g., auto loans, student loans, etc.)</w:t>
      </w:r>
      <w:r w:rsidR="0271F845">
        <w:t>.</w:t>
      </w:r>
    </w:p>
    <w:p w14:paraId="1CD7E8C2" w14:textId="77777777" w:rsidR="00E104D5" w:rsidRDefault="00472792">
      <w:pPr>
        <w:pStyle w:val="Heading3"/>
      </w:pPr>
      <w:bookmarkStart w:id="5" w:name="_Toc223437644"/>
      <w:r>
        <w:t>1.1.2    Regulatory Context and Model Use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104D5" w14:paraId="4FA076F0" w14:textId="77777777" w:rsidTr="3FF82AB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EC55" w14:textId="77777777" w:rsidR="00E104D5" w:rsidRDefault="00472792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28C3" w14:textId="77777777" w:rsidR="00E104D5" w:rsidRDefault="0047279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104D5" w14:paraId="5D60C047" w14:textId="77777777" w:rsidTr="3FF82AB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B492" w14:textId="77777777" w:rsidR="00E104D5" w:rsidRDefault="00472792">
            <w:r>
              <w:t>Model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27A5" w14:textId="77777777" w:rsidR="00E104D5" w:rsidRDefault="00472792">
            <w:r>
              <w:t>Time-series regression model with macroeconomic drivers</w:t>
            </w:r>
          </w:p>
        </w:tc>
      </w:tr>
      <w:tr w:rsidR="00E104D5" w14:paraId="1EEB7990" w14:textId="77777777" w:rsidTr="3FF82AB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4DBD" w14:textId="77777777" w:rsidR="00E104D5" w:rsidRDefault="00472792">
            <w:r>
              <w:t>Forecast Horizon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45B7" w14:textId="2E705829" w:rsidR="00E104D5" w:rsidRDefault="00472792">
            <w:r>
              <w:t>9 quarters</w:t>
            </w:r>
            <w:r w:rsidR="70993B49">
              <w:t>, SSN - 123456789</w:t>
            </w:r>
          </w:p>
        </w:tc>
      </w:tr>
      <w:tr w:rsidR="00E104D5" w14:paraId="00CF2CDF" w14:textId="77777777" w:rsidTr="3FF82AB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5B5C" w14:textId="77777777" w:rsidR="00E104D5" w:rsidRDefault="00472792">
            <w:r>
              <w:t>Scenarios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AE49" w14:textId="3D72090A" w:rsidR="00E104D5" w:rsidRDefault="00472792">
            <w:r>
              <w:t>Baseline and Severely Adverse</w:t>
            </w:r>
          </w:p>
        </w:tc>
      </w:tr>
    </w:tbl>
    <w:p w14:paraId="2BBCAB0B" w14:textId="77777777" w:rsidR="00E104D5" w:rsidRDefault="71FAE3A9" w:rsidP="3FF82AB0">
      <w:pPr>
        <w:spacing w:before="240" w:after="120"/>
        <w:jc w:val="center"/>
        <w:rPr>
          <w:i/>
          <w:iCs/>
        </w:rPr>
      </w:pPr>
      <w:r w:rsidRPr="3FF82AB0">
        <w:rPr>
          <w:b/>
          <w:bCs/>
          <w:i/>
          <w:iCs/>
        </w:rPr>
        <w:t>Table 1: Key Model Specifications</w:t>
      </w:r>
    </w:p>
    <w:p w14:paraId="26F90E5A" w14:textId="19A05190" w:rsidR="00E104D5" w:rsidRDefault="00E104D5">
      <w:pPr>
        <w:spacing w:after="240"/>
      </w:pPr>
    </w:p>
    <w:p w14:paraId="3BA85409" w14:textId="77777777" w:rsidR="00E104D5" w:rsidRDefault="00472792">
      <w:pPr>
        <w:pStyle w:val="Heading2"/>
        <w:pageBreakBefore/>
      </w:pPr>
      <w:bookmarkStart w:id="6" w:name="_Toc223437645"/>
      <w:r>
        <w:lastRenderedPageBreak/>
        <w:t>1.2    Model Description Summary</w:t>
      </w:r>
      <w:bookmarkEnd w:id="6"/>
    </w:p>
    <w:p w14:paraId="43ACAB3C" w14:textId="5C5AA383" w:rsidR="00E104D5" w:rsidRDefault="00472792">
      <w:pPr>
        <w:spacing w:after="240"/>
      </w:pPr>
      <w:r>
        <w:t xml:space="preserve">The ABS revenue forecast model employs a two-step econometric approach to project quarterly revenue streams. </w:t>
      </w:r>
    </w:p>
    <w:p w14:paraId="5231E361" w14:textId="77777777" w:rsidR="00E104D5" w:rsidRDefault="00472792">
      <w:pPr>
        <w:pStyle w:val="Heading3"/>
      </w:pPr>
      <w:bookmarkStart w:id="7" w:name="_Toc223437646"/>
      <w:r>
        <w:t>1.2.1    Two-step Approach</w:t>
      </w:r>
      <w:bookmarkEnd w:id="7"/>
    </w:p>
    <w:p w14:paraId="5EECDE1F" w14:textId="6BCF6730" w:rsidR="00E104D5" w:rsidRDefault="00472792" w:rsidP="3FF82AB0">
      <w:pPr>
        <w:spacing w:after="240"/>
      </w:pPr>
      <w:r>
        <w:t>The model utilizes a two-step methodology</w:t>
      </w:r>
      <w:r w:rsidR="732437DE">
        <w:t>.</w:t>
      </w:r>
    </w:p>
    <w:p w14:paraId="40123BF4" w14:textId="77777777" w:rsidR="00E104D5" w:rsidRDefault="00472792">
      <w:pPr>
        <w:pStyle w:val="Heading3"/>
      </w:pPr>
      <w:bookmarkStart w:id="8" w:name="_Toc223437647"/>
      <w:r>
        <w:t>1.2.2    Seasonality</w:t>
      </w:r>
      <w:bookmarkEnd w:id="8"/>
    </w:p>
    <w:p w14:paraId="1692E0AD" w14:textId="77777777" w:rsidR="00E104D5" w:rsidRDefault="00472792">
      <w:pPr>
        <w:spacing w:after="240"/>
      </w:pPr>
      <w:r>
        <w:t>The model accounts for seasonal patterns in ABS issuance activity by incorporating quarterly dummy variables that capture cyclical variations in securitization market activity throughout the year.</w:t>
      </w:r>
    </w:p>
    <w:p w14:paraId="1BC208F1" w14:textId="77777777" w:rsidR="00E104D5" w:rsidRDefault="00472792">
      <w:pPr>
        <w:pStyle w:val="Heading3"/>
      </w:pPr>
      <w:bookmarkStart w:id="9" w:name="_Toc223437648"/>
      <w:r>
        <w:t>1.2.3    Variable Selection</w:t>
      </w:r>
      <w:bookmarkEnd w:id="9"/>
    </w:p>
    <w:p w14:paraId="7DDDD2F3" w14:textId="505D9B32" w:rsidR="00E104D5" w:rsidRDefault="00472792">
      <w:pPr>
        <w:spacing w:after="240"/>
      </w:pPr>
      <w:r>
        <w:t>Key macroeconomic drivers include GDP growth rate, unemployment rate, consumer credit metrics, and corporate bond spreads.</w:t>
      </w:r>
    </w:p>
    <w:p w14:paraId="41F2A678" w14:textId="77777777" w:rsidR="00E104D5" w:rsidRDefault="00472792">
      <w:pPr>
        <w:pStyle w:val="Heading3"/>
      </w:pPr>
      <w:bookmarkStart w:id="10" w:name="_Toc223437649"/>
      <w:r>
        <w:t>1.2.4    Model Selection</w:t>
      </w:r>
      <w:bookmarkEnd w:id="10"/>
    </w:p>
    <w:p w14:paraId="5AA7F674" w14:textId="4BD2A368" w:rsidR="009B7A2B" w:rsidRPr="009B7A2B" w:rsidRDefault="009B7A2B" w:rsidP="3FF82AB0">
      <w:pPr>
        <w:pStyle w:val="Heading3"/>
        <w:rPr>
          <w:b w:val="0"/>
          <w:bCs w:val="0"/>
          <w:i/>
          <w:iCs/>
        </w:rPr>
      </w:pPr>
      <w:r w:rsidRPr="3FF82AB0">
        <w:rPr>
          <w:b w:val="0"/>
          <w:bCs w:val="0"/>
          <w:i/>
          <w:iCs/>
        </w:rPr>
        <w:t>To be Decided</w:t>
      </w:r>
      <w:r w:rsidR="45435183" w:rsidRPr="3FF82AB0">
        <w:rPr>
          <w:b w:val="0"/>
          <w:bCs w:val="0"/>
          <w:i/>
          <w:iCs/>
        </w:rPr>
        <w:t xml:space="preserve"> by John Cena.</w:t>
      </w:r>
    </w:p>
    <w:p w14:paraId="4DF8B6E5" w14:textId="77777777" w:rsidR="00E104D5" w:rsidRDefault="00472792">
      <w:pPr>
        <w:pStyle w:val="Heading2"/>
      </w:pPr>
      <w:bookmarkStart w:id="11" w:name="_Toc223437650"/>
      <w:r>
        <w:t>1.3    Model Risk Rating</w:t>
      </w:r>
      <w:bookmarkEnd w:id="11"/>
    </w:p>
    <w:p w14:paraId="598D4415" w14:textId="42D61CBB" w:rsidR="00E104D5" w:rsidRDefault="00472792">
      <w:pPr>
        <w:spacing w:after="240"/>
      </w:pPr>
      <w:r>
        <w:t xml:space="preserve">Based on the model validation assessment, the ABS revenue forecast model has been assigned a </w:t>
      </w:r>
      <w:proofErr w:type="gramStart"/>
      <w:r w:rsidRPr="3FF82AB0">
        <w:rPr>
          <w:b/>
          <w:bCs/>
        </w:rPr>
        <w:t>Medium</w:t>
      </w:r>
      <w:proofErr w:type="gramEnd"/>
      <w:r>
        <w:t xml:space="preserve"> risk rating. </w:t>
      </w:r>
    </w:p>
    <w:p w14:paraId="1B79D21E" w14:textId="77777777" w:rsidR="00E104D5" w:rsidRDefault="00472792">
      <w:pPr>
        <w:pStyle w:val="Heading2"/>
      </w:pPr>
      <w:bookmarkStart w:id="12" w:name="_Toc223437651"/>
      <w:r>
        <w:t>1.4    Model Dependency and Interconnectivity</w:t>
      </w:r>
      <w:bookmarkEnd w:id="12"/>
    </w:p>
    <w:p w14:paraId="2B7E7F5F" w14:textId="00B1CA75" w:rsidR="00E104D5" w:rsidRDefault="00472792" w:rsidP="54675F7D">
      <w:pPr>
        <w:spacing w:after="240"/>
      </w:pPr>
      <w:r>
        <w:t>The model receives inputs from the Federal Reserve's macroeconomic scenario projections and internal historical revenue databas</w:t>
      </w:r>
      <w:r w:rsidRPr="54675F7D">
        <w:t xml:space="preserve">es. </w:t>
      </w:r>
      <w:r w:rsidR="46109123" w:rsidRPr="54675F7D">
        <w:t xml:space="preserve">Based on the latest earnings report, </w:t>
      </w:r>
      <w:r w:rsidR="00EA5590">
        <w:t>this model has an accuracy of 90%.</w:t>
      </w:r>
    </w:p>
    <w:p w14:paraId="1D63C8FD" w14:textId="12C8BEAF" w:rsidR="01B32FAA" w:rsidRDefault="01B32FAA" w:rsidP="3FF82AB0">
      <w:pPr>
        <w:spacing w:after="240"/>
        <w:jc w:val="center"/>
      </w:pPr>
      <w:r>
        <w:rPr>
          <w:noProof/>
        </w:rPr>
        <w:drawing>
          <wp:inline distT="0" distB="0" distL="0" distR="0" wp14:anchorId="0BD28529" wp14:editId="7D87C934">
            <wp:extent cx="2478118" cy="1850844"/>
            <wp:effectExtent l="0" t="0" r="0" b="0"/>
            <wp:docPr id="1985714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14554" name="Picture 19857145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118" cy="185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1B32F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109A6"/>
    <w:multiLevelType w:val="hybridMultilevel"/>
    <w:tmpl w:val="AE706E68"/>
    <w:lvl w:ilvl="0" w:tplc="E3B8971A">
      <w:start w:val="1"/>
      <w:numFmt w:val="bullet"/>
      <w:lvlText w:val="●"/>
      <w:lvlJc w:val="left"/>
      <w:pPr>
        <w:ind w:left="720" w:hanging="360"/>
      </w:pPr>
    </w:lvl>
    <w:lvl w:ilvl="1" w:tplc="68F62EC0">
      <w:start w:val="1"/>
      <w:numFmt w:val="bullet"/>
      <w:lvlText w:val="○"/>
      <w:lvlJc w:val="left"/>
      <w:pPr>
        <w:ind w:left="1440" w:hanging="360"/>
      </w:pPr>
    </w:lvl>
    <w:lvl w:ilvl="2" w:tplc="C7F0E238">
      <w:start w:val="1"/>
      <w:numFmt w:val="bullet"/>
      <w:lvlText w:val="■"/>
      <w:lvlJc w:val="left"/>
      <w:pPr>
        <w:ind w:left="2160" w:hanging="360"/>
      </w:pPr>
    </w:lvl>
    <w:lvl w:ilvl="3" w:tplc="1B54CDB4">
      <w:start w:val="1"/>
      <w:numFmt w:val="bullet"/>
      <w:lvlText w:val="●"/>
      <w:lvlJc w:val="left"/>
      <w:pPr>
        <w:ind w:left="2880" w:hanging="360"/>
      </w:pPr>
    </w:lvl>
    <w:lvl w:ilvl="4" w:tplc="FD30A50A">
      <w:start w:val="1"/>
      <w:numFmt w:val="bullet"/>
      <w:lvlText w:val="○"/>
      <w:lvlJc w:val="left"/>
      <w:pPr>
        <w:ind w:left="3600" w:hanging="360"/>
      </w:pPr>
    </w:lvl>
    <w:lvl w:ilvl="5" w:tplc="1F4E78E0">
      <w:start w:val="1"/>
      <w:numFmt w:val="bullet"/>
      <w:lvlText w:val="■"/>
      <w:lvlJc w:val="left"/>
      <w:pPr>
        <w:ind w:left="4320" w:hanging="360"/>
      </w:pPr>
    </w:lvl>
    <w:lvl w:ilvl="6" w:tplc="88E8CCAA">
      <w:start w:val="1"/>
      <w:numFmt w:val="bullet"/>
      <w:lvlText w:val="●"/>
      <w:lvlJc w:val="left"/>
      <w:pPr>
        <w:ind w:left="5040" w:hanging="360"/>
      </w:pPr>
    </w:lvl>
    <w:lvl w:ilvl="7" w:tplc="1A047E1C">
      <w:start w:val="1"/>
      <w:numFmt w:val="bullet"/>
      <w:lvlText w:val="●"/>
      <w:lvlJc w:val="left"/>
      <w:pPr>
        <w:ind w:left="5760" w:hanging="360"/>
      </w:pPr>
    </w:lvl>
    <w:lvl w:ilvl="8" w:tplc="72D018DC">
      <w:start w:val="1"/>
      <w:numFmt w:val="bullet"/>
      <w:lvlText w:val="●"/>
      <w:lvlJc w:val="left"/>
      <w:pPr>
        <w:ind w:left="6480" w:hanging="360"/>
      </w:pPr>
    </w:lvl>
  </w:abstractNum>
  <w:num w:numId="1" w16cid:durableId="1621300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4D5"/>
    <w:rsid w:val="0025787E"/>
    <w:rsid w:val="00472792"/>
    <w:rsid w:val="005E0526"/>
    <w:rsid w:val="00621382"/>
    <w:rsid w:val="009B7A2B"/>
    <w:rsid w:val="00B01459"/>
    <w:rsid w:val="00B570A6"/>
    <w:rsid w:val="00C7475E"/>
    <w:rsid w:val="00E000F1"/>
    <w:rsid w:val="00E104D5"/>
    <w:rsid w:val="00EA5590"/>
    <w:rsid w:val="00EE1FB0"/>
    <w:rsid w:val="01781330"/>
    <w:rsid w:val="01B32FAA"/>
    <w:rsid w:val="0271F845"/>
    <w:rsid w:val="06AB285B"/>
    <w:rsid w:val="0BBA130C"/>
    <w:rsid w:val="0F784799"/>
    <w:rsid w:val="22B3D43C"/>
    <w:rsid w:val="3FF82AB0"/>
    <w:rsid w:val="45435183"/>
    <w:rsid w:val="46109123"/>
    <w:rsid w:val="4735D5A9"/>
    <w:rsid w:val="4F848502"/>
    <w:rsid w:val="50557574"/>
    <w:rsid w:val="54675F7D"/>
    <w:rsid w:val="5B016505"/>
    <w:rsid w:val="5C54AF3F"/>
    <w:rsid w:val="63785A61"/>
    <w:rsid w:val="6B2C4204"/>
    <w:rsid w:val="70993B49"/>
    <w:rsid w:val="71FAE3A9"/>
    <w:rsid w:val="722B77E9"/>
    <w:rsid w:val="7324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3197"/>
  <w15:docId w15:val="{C515747C-32F9-4910-9FC7-2D9C68F5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E1F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1FB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E1FB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Mounika Atmakuri</cp:lastModifiedBy>
  <cp:revision>9</cp:revision>
  <dcterms:created xsi:type="dcterms:W3CDTF">2026-03-05T20:54:00Z</dcterms:created>
  <dcterms:modified xsi:type="dcterms:W3CDTF">2026-03-09T15:19:00Z</dcterms:modified>
</cp:coreProperties>
</file>